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BC" w:rsidRPr="00A90904" w:rsidRDefault="00A90904" w:rsidP="00E334F8">
      <w:pPr>
        <w:spacing w:line="360" w:lineRule="auto"/>
        <w:rPr>
          <w:b/>
        </w:rPr>
      </w:pPr>
      <w:r w:rsidRPr="00A90904">
        <w:rPr>
          <w:b/>
        </w:rPr>
        <w:t>1 ИЗУЧЕНИЕ ОБЩЕЙ ХАРАКТЕРИСТИКИ ПРОИЗВОДСТВА</w:t>
      </w:r>
    </w:p>
    <w:p w:rsidR="00605B19" w:rsidRPr="00072002" w:rsidRDefault="00605B19" w:rsidP="00E334F8">
      <w:pPr>
        <w:spacing w:line="360" w:lineRule="auto"/>
      </w:pPr>
      <w:r w:rsidRPr="00072002">
        <w:t xml:space="preserve">Сырье: </w:t>
      </w:r>
    </w:p>
    <w:p w:rsidR="00605B19" w:rsidRPr="00072002" w:rsidRDefault="00605B19" w:rsidP="00E334F8">
      <w:pPr>
        <w:spacing w:line="360" w:lineRule="auto"/>
      </w:pPr>
      <w:r w:rsidRPr="00072002">
        <w:t xml:space="preserve">а) </w:t>
      </w:r>
      <w:r w:rsidR="00DB21D2" w:rsidRPr="00072002">
        <w:t>пропан-пропиленовая фракция,</w:t>
      </w:r>
      <w:r w:rsidRPr="00072002">
        <w:t xml:space="preserve"> поступающая с куба колоны-307в колонну К-308А/Б;</w:t>
      </w:r>
    </w:p>
    <w:p w:rsidR="00605B19" w:rsidRPr="00072002" w:rsidRDefault="00605B19" w:rsidP="00E334F8">
      <w:pPr>
        <w:spacing w:line="360" w:lineRule="auto"/>
      </w:pPr>
      <w:r w:rsidRPr="00072002">
        <w:t xml:space="preserve">б) </w:t>
      </w:r>
      <w:r w:rsidR="00DB21D2" w:rsidRPr="00072002">
        <w:t>пропан-пропиленовая фракция,</w:t>
      </w:r>
      <w:r w:rsidRPr="00072002">
        <w:t xml:space="preserve"> поступающая из куба колонны С-115 установки цеха 2021-2045 при помощи насоса Н-564А/</w:t>
      </w:r>
      <w:proofErr w:type="gramStart"/>
      <w:r w:rsidRPr="00072002">
        <w:t>В</w:t>
      </w:r>
      <w:proofErr w:type="gramEnd"/>
      <w:r w:rsidRPr="00072002">
        <w:t xml:space="preserve"> по мимо или через осушители К-207А/Б цеха 58-68 в линию питания колонны К-308А/Б.</w:t>
      </w:r>
    </w:p>
    <w:p w:rsidR="00605B19" w:rsidRPr="00072002" w:rsidRDefault="00605B19" w:rsidP="00E334F8">
      <w:pPr>
        <w:spacing w:line="360" w:lineRule="auto"/>
      </w:pPr>
      <w:r w:rsidRPr="00072002">
        <w:t>Верхний продукт колонны К-308А/Б - пропилен, поступает на щелочную очистку и осушку цеха 58-68 или помимо осушки по трубопроводам в цех 109-110.</w:t>
      </w:r>
    </w:p>
    <w:p w:rsidR="00605B19" w:rsidRPr="00072002" w:rsidRDefault="00605B19" w:rsidP="00E334F8">
      <w:pPr>
        <w:spacing w:line="360" w:lineRule="auto"/>
      </w:pPr>
      <w:r w:rsidRPr="00072002">
        <w:t>Кубовый остаток колонны К-308А/Б (пропан):</w:t>
      </w:r>
    </w:p>
    <w:p w:rsidR="00605B19" w:rsidRPr="00072002" w:rsidRDefault="00605B19" w:rsidP="00E334F8">
      <w:pPr>
        <w:spacing w:line="360" w:lineRule="auto"/>
      </w:pPr>
      <w:r w:rsidRPr="00072002">
        <w:t xml:space="preserve">- поступает через испарители Т-353А/Б в топливную сеть, в линию этана-рецикла, в систему печей пиролиза Р-510/Р-515 цеха 2021-2045, в цех 109-110 завода </w:t>
      </w:r>
      <w:proofErr w:type="spellStart"/>
      <w:r w:rsidRPr="00072002">
        <w:t>ОПиТГ</w:t>
      </w:r>
      <w:proofErr w:type="spellEnd"/>
      <w:r w:rsidRPr="00072002">
        <w:t>.</w:t>
      </w:r>
    </w:p>
    <w:p w:rsidR="00605B19" w:rsidRPr="00072002" w:rsidRDefault="00605B19" w:rsidP="00E334F8">
      <w:pPr>
        <w:spacing w:line="360" w:lineRule="auto"/>
      </w:pPr>
      <w:r w:rsidRPr="00072002">
        <w:t>- поступает в систему печей пиролиза цеха 2021-2045 с применением насосов Н-328А/Б.</w:t>
      </w:r>
    </w:p>
    <w:p w:rsidR="00605B19" w:rsidRPr="00072002" w:rsidRDefault="00605B19" w:rsidP="00E334F8">
      <w:pPr>
        <w:spacing w:line="360" w:lineRule="auto"/>
      </w:pPr>
      <w:r w:rsidRPr="00072002">
        <w:t>5.2.4.  Ниже приводится примерный состав сырья, поступающего на установку, а также состав продуктовой фракции.</w:t>
      </w:r>
    </w:p>
    <w:p w:rsidR="00605B19" w:rsidRPr="00072002" w:rsidRDefault="00605B19" w:rsidP="00E334F8">
      <w:pPr>
        <w:spacing w:line="360" w:lineRule="auto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2"/>
        <w:gridCol w:w="2867"/>
        <w:gridCol w:w="1535"/>
        <w:gridCol w:w="1593"/>
        <w:gridCol w:w="1535"/>
        <w:gridCol w:w="1535"/>
      </w:tblGrid>
      <w:tr w:rsidR="00605B19" w:rsidRPr="00072002" w:rsidTr="00E334F8">
        <w:trPr>
          <w:trHeight w:val="289"/>
        </w:trPr>
        <w:tc>
          <w:tcPr>
            <w:tcW w:w="1022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 xml:space="preserve">№ </w:t>
            </w:r>
          </w:p>
        </w:tc>
        <w:tc>
          <w:tcPr>
            <w:tcW w:w="2867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Наименование потока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С</w:t>
            </w:r>
            <w:r w:rsidRPr="00072002">
              <w:rPr>
                <w:vertAlign w:val="subscript"/>
              </w:rPr>
              <w:t>3</w:t>
            </w:r>
            <w:r w:rsidRPr="00072002">
              <w:t>Н</w:t>
            </w:r>
            <w:r w:rsidRPr="00072002">
              <w:rPr>
                <w:vertAlign w:val="subscript"/>
              </w:rPr>
              <w:t>4</w:t>
            </w:r>
          </w:p>
        </w:tc>
        <w:tc>
          <w:tcPr>
            <w:tcW w:w="1593" w:type="dxa"/>
          </w:tcPr>
          <w:p w:rsidR="00605B19" w:rsidRPr="00072002" w:rsidRDefault="00605B19" w:rsidP="00E334F8">
            <w:pPr>
              <w:spacing w:line="360" w:lineRule="auto"/>
              <w:ind w:firstLine="0"/>
              <w:rPr>
                <w:vertAlign w:val="subscript"/>
              </w:rPr>
            </w:pPr>
            <w:r w:rsidRPr="00072002">
              <w:t>С</w:t>
            </w:r>
            <w:r w:rsidRPr="00072002">
              <w:rPr>
                <w:vertAlign w:val="subscript"/>
              </w:rPr>
              <w:t>3</w:t>
            </w:r>
            <w:r w:rsidRPr="00072002">
              <w:t>Н</w:t>
            </w:r>
            <w:r w:rsidRPr="00072002">
              <w:rPr>
                <w:vertAlign w:val="subscript"/>
              </w:rPr>
              <w:t>6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  <w:rPr>
                <w:vertAlign w:val="subscript"/>
              </w:rPr>
            </w:pPr>
            <w:r w:rsidRPr="00072002">
              <w:t>С</w:t>
            </w:r>
            <w:r w:rsidRPr="00072002">
              <w:rPr>
                <w:vertAlign w:val="subscript"/>
              </w:rPr>
              <w:t>3</w:t>
            </w:r>
            <w:r w:rsidRPr="00072002">
              <w:t>Н</w:t>
            </w:r>
            <w:r w:rsidRPr="00072002">
              <w:rPr>
                <w:vertAlign w:val="subscript"/>
              </w:rPr>
              <w:t>8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  <w:rPr>
                <w:vertAlign w:val="subscript"/>
              </w:rPr>
            </w:pPr>
            <w:r w:rsidRPr="00072002">
              <w:t>С</w:t>
            </w:r>
            <w:r w:rsidRPr="00072002">
              <w:rPr>
                <w:vertAlign w:val="subscript"/>
              </w:rPr>
              <w:t>4</w:t>
            </w:r>
            <w:r w:rsidRPr="00072002">
              <w:t>Н</w:t>
            </w:r>
            <w:r w:rsidRPr="00072002">
              <w:rPr>
                <w:vertAlign w:val="subscript"/>
              </w:rPr>
              <w:t>6</w:t>
            </w:r>
          </w:p>
        </w:tc>
      </w:tr>
      <w:tr w:rsidR="00605B19" w:rsidRPr="00072002" w:rsidTr="00E334F8">
        <w:trPr>
          <w:trHeight w:val="410"/>
          <w:tblHeader/>
        </w:trPr>
        <w:tc>
          <w:tcPr>
            <w:tcW w:w="1022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1</w:t>
            </w:r>
          </w:p>
        </w:tc>
        <w:tc>
          <w:tcPr>
            <w:tcW w:w="2867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2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3</w:t>
            </w:r>
          </w:p>
        </w:tc>
        <w:tc>
          <w:tcPr>
            <w:tcW w:w="1593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4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5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6</w:t>
            </w:r>
          </w:p>
        </w:tc>
      </w:tr>
      <w:tr w:rsidR="00605B19" w:rsidRPr="00072002" w:rsidTr="00E334F8">
        <w:tc>
          <w:tcPr>
            <w:tcW w:w="1022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1</w:t>
            </w:r>
          </w:p>
        </w:tc>
        <w:tc>
          <w:tcPr>
            <w:tcW w:w="2867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>
              <w:t xml:space="preserve">Кубовый продукт </w:t>
            </w:r>
            <w:r w:rsidRPr="00072002">
              <w:t>колонны К-307,% об.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-</w:t>
            </w:r>
          </w:p>
        </w:tc>
        <w:tc>
          <w:tcPr>
            <w:tcW w:w="1593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82,4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17,4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0,2</w:t>
            </w:r>
          </w:p>
        </w:tc>
      </w:tr>
      <w:tr w:rsidR="00605B19" w:rsidRPr="00072002" w:rsidTr="00E334F8">
        <w:tc>
          <w:tcPr>
            <w:tcW w:w="1022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2</w:t>
            </w:r>
          </w:p>
        </w:tc>
        <w:tc>
          <w:tcPr>
            <w:tcW w:w="2867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>
              <w:t xml:space="preserve">Кубовый </w:t>
            </w:r>
            <w:r w:rsidRPr="00072002">
              <w:t>продукт колонны К-308, %об.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-</w:t>
            </w:r>
          </w:p>
        </w:tc>
        <w:tc>
          <w:tcPr>
            <w:tcW w:w="1593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8,1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90,9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1</w:t>
            </w:r>
          </w:p>
        </w:tc>
      </w:tr>
      <w:tr w:rsidR="00605B19" w:rsidRPr="00072002" w:rsidTr="00E334F8">
        <w:tc>
          <w:tcPr>
            <w:tcW w:w="1022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3</w:t>
            </w:r>
          </w:p>
        </w:tc>
        <w:tc>
          <w:tcPr>
            <w:tcW w:w="2867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>
              <w:t xml:space="preserve">Верхний </w:t>
            </w:r>
            <w:r w:rsidRPr="00072002">
              <w:t>продукт колонны К-308,% об.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-</w:t>
            </w:r>
          </w:p>
        </w:tc>
        <w:tc>
          <w:tcPr>
            <w:tcW w:w="1593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99,5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0,5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-</w:t>
            </w:r>
          </w:p>
        </w:tc>
      </w:tr>
      <w:tr w:rsidR="00605B19" w:rsidRPr="00072002" w:rsidTr="00E334F8">
        <w:tc>
          <w:tcPr>
            <w:tcW w:w="1022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4</w:t>
            </w:r>
          </w:p>
        </w:tc>
        <w:tc>
          <w:tcPr>
            <w:tcW w:w="2867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>
              <w:t xml:space="preserve">Кубовый продукт </w:t>
            </w:r>
            <w:r w:rsidRPr="00072002">
              <w:t>колонны С-115, % об.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2,3</w:t>
            </w:r>
          </w:p>
        </w:tc>
        <w:tc>
          <w:tcPr>
            <w:tcW w:w="1593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72,34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25,8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0,27</w:t>
            </w:r>
          </w:p>
        </w:tc>
      </w:tr>
      <w:tr w:rsidR="00605B19" w:rsidRPr="00072002" w:rsidTr="00E334F8">
        <w:tc>
          <w:tcPr>
            <w:tcW w:w="1022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5</w:t>
            </w:r>
          </w:p>
        </w:tc>
        <w:tc>
          <w:tcPr>
            <w:tcW w:w="2867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Кубовый продукт колонны С-115, кг/ч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158</w:t>
            </w:r>
          </w:p>
        </w:tc>
        <w:tc>
          <w:tcPr>
            <w:tcW w:w="1593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4964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1721</w:t>
            </w:r>
          </w:p>
        </w:tc>
        <w:tc>
          <w:tcPr>
            <w:tcW w:w="1535" w:type="dxa"/>
          </w:tcPr>
          <w:p w:rsidR="00605B19" w:rsidRPr="00072002" w:rsidRDefault="00605B19" w:rsidP="00E334F8">
            <w:pPr>
              <w:spacing w:line="360" w:lineRule="auto"/>
              <w:ind w:firstLine="0"/>
            </w:pPr>
            <w:r w:rsidRPr="00072002">
              <w:t>19</w:t>
            </w:r>
          </w:p>
        </w:tc>
      </w:tr>
    </w:tbl>
    <w:p w:rsidR="00605B19" w:rsidRPr="00072002" w:rsidRDefault="00605B19" w:rsidP="00E334F8">
      <w:pPr>
        <w:spacing w:line="360" w:lineRule="auto"/>
      </w:pPr>
    </w:p>
    <w:p w:rsidR="00605B19" w:rsidRPr="00072002" w:rsidRDefault="00605B19" w:rsidP="00E334F8">
      <w:pPr>
        <w:spacing w:line="360" w:lineRule="auto"/>
      </w:pPr>
      <w:r w:rsidRPr="00072002">
        <w:t>Вышеуказанные компоненты являются огневзрывоопасными. С воздухом, при определённых концентрациях они образуют взрывоопасные смеси, которые взрываются при наличии открытого огня.</w:t>
      </w:r>
    </w:p>
    <w:p w:rsidR="00F20304" w:rsidRDefault="00F20304" w:rsidP="00E334F8">
      <w:pPr>
        <w:spacing w:line="360" w:lineRule="auto"/>
      </w:pPr>
      <w:r>
        <w:br w:type="page"/>
      </w:r>
    </w:p>
    <w:p w:rsidR="00F20304" w:rsidRDefault="00F20304" w:rsidP="00E334F8">
      <w:pPr>
        <w:spacing w:line="360" w:lineRule="auto"/>
        <w:rPr>
          <w:b/>
        </w:rPr>
      </w:pPr>
      <w:r>
        <w:rPr>
          <w:b/>
        </w:rPr>
        <w:lastRenderedPageBreak/>
        <w:t xml:space="preserve">2 </w:t>
      </w:r>
      <w:r w:rsidRPr="00F20304">
        <w:rPr>
          <w:b/>
        </w:rPr>
        <w:t>И</w:t>
      </w:r>
      <w:r w:rsidR="00605B19">
        <w:rPr>
          <w:b/>
        </w:rPr>
        <w:t>ЗУЧЕНИЕ ТЕХНОЛОГИИ ПРОИЗВОДСТВА</w:t>
      </w:r>
      <w:r w:rsidRPr="00F20304">
        <w:rPr>
          <w:b/>
        </w:rPr>
        <w:t xml:space="preserve"> И ЕГО АВТОМАТИЗАЦИИ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Для автоматизации технологического процесса применены электронные приборы, регулирование параметров осуществляется компьютером с помощью заданной программы, программно-технического комплекса «Delta V».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С достижением режимных уровней и давлений в системах установки получения пропилена, установка вступает в период нормальной работы.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Расход циркуляционной воды на кипятильник Т-348 регулируется регулятором расхода. Регулирующие клапаны поз. FE 10-1, FE 3-1 установлены на линии подачи циркуляционной воды в Т-348.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Исполнение клапанов «НЗ».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Температура пропана на выходе из испарителя Т-353Б регулируется регулятором температуры.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Исполнение клапана «НО».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Уровень в кубе колонны К-308А регулируется регулятором уровня.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Регулирующий клапан поз. H-726 установлен на линии нагнетания насосов Н-308А/Б/В.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Исполнение клапана «НЗ».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Расход флегмы на колонну К-308А регулируется регулятором расхода. Регулирующий клапан поз. FE 14-1 установлен на линии подачи флегмы в колонну К-308А.  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Исполнение клапана «НЗ».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Уровень в </w:t>
      </w:r>
      <w:proofErr w:type="spellStart"/>
      <w:r w:rsidRPr="00E334F8">
        <w:rPr>
          <w:szCs w:val="28"/>
        </w:rPr>
        <w:t>рефлюксной</w:t>
      </w:r>
      <w:proofErr w:type="spellEnd"/>
      <w:r w:rsidRPr="00E334F8">
        <w:rPr>
          <w:szCs w:val="28"/>
        </w:rPr>
        <w:t xml:space="preserve"> емкости Е-325 регулируется регулятором уровня. Регулирующий клапан поз. LS 23-1 установлен на общей линии подачи пропилена в цех 109-110.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Исполнение клапана «НЗ».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lastRenderedPageBreak/>
        <w:t>Давление в колонне К-308А/Б регулируется регулятором давления. Регулирующие клапана установлены: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а) поз. PV 2-1 на линии выхода оборотной воды из дефлегматора Т-349А/Б.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Исполнение «НО».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б) поз. PV 20-1 А на линии </w:t>
      </w:r>
      <w:proofErr w:type="spellStart"/>
      <w:r w:rsidRPr="00E334F8">
        <w:rPr>
          <w:szCs w:val="28"/>
        </w:rPr>
        <w:t>сдувок</w:t>
      </w:r>
      <w:proofErr w:type="spellEnd"/>
      <w:r w:rsidRPr="00E334F8">
        <w:rPr>
          <w:szCs w:val="28"/>
        </w:rPr>
        <w:t xml:space="preserve"> из </w:t>
      </w:r>
      <w:proofErr w:type="spellStart"/>
      <w:r w:rsidRPr="00E334F8">
        <w:rPr>
          <w:szCs w:val="28"/>
        </w:rPr>
        <w:t>емксоти</w:t>
      </w:r>
      <w:proofErr w:type="spellEnd"/>
      <w:r w:rsidRPr="00E334F8">
        <w:rPr>
          <w:szCs w:val="28"/>
        </w:rPr>
        <w:t xml:space="preserve"> Е-325 на факел.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Исполнение клапана «НЗ».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Расход пропилена из осушителей К-207А/Б в цех №109-110 регулируется регулятором расхода, с коррекцией по давлению. Регулирующий клапан поз. 376В установлен на линии пропилена из цеха. Исполнение клапана «НЗ».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Температура пропана на выходе из испарителя Т-353А регулируется регулятором температуры. Регулирующий клапан поз. TV 610-6а установлен на линии подачи пара 3,5 кгс/см2 в испаритель Т-353А.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Исполнение клапана «НО».</w:t>
      </w:r>
    </w:p>
    <w:p w:rsidR="00086DDF" w:rsidRPr="00086DDF" w:rsidRDefault="00086DDF" w:rsidP="00E334F8">
      <w:pPr>
        <w:spacing w:line="360" w:lineRule="auto"/>
        <w:rPr>
          <w:szCs w:val="28"/>
        </w:rPr>
      </w:pPr>
      <w:r w:rsidRPr="00086DDF">
        <w:rPr>
          <w:szCs w:val="28"/>
        </w:rPr>
        <w:t>Порядок действий при срабатывании блокировки.</w:t>
      </w:r>
    </w:p>
    <w:p w:rsidR="00086DDF" w:rsidRDefault="00086DDF" w:rsidP="00E334F8">
      <w:pPr>
        <w:spacing w:line="360" w:lineRule="auto"/>
        <w:rPr>
          <w:szCs w:val="28"/>
        </w:rPr>
      </w:pPr>
      <w:r w:rsidRPr="00086DDF">
        <w:rPr>
          <w:szCs w:val="28"/>
        </w:rPr>
        <w:t>Аппаратчик обязан немедленно доложить о срабатывании блокировки нач</w:t>
      </w:r>
      <w:r>
        <w:rPr>
          <w:szCs w:val="28"/>
        </w:rPr>
        <w:t xml:space="preserve">альнику смены. Начальник смены </w:t>
      </w:r>
      <w:r w:rsidRPr="00086DDF">
        <w:rPr>
          <w:szCs w:val="28"/>
        </w:rPr>
        <w:t xml:space="preserve">сообщает о срабатывании блокировки начальнику цеха, диспетчеру ПАО, принимает решение о кратковременном останове узла установки газоразделения. Принимает меры по выявлению причины срабатывания блокировки с привлечением специалистов службы КИП и А, </w:t>
      </w:r>
      <w:proofErr w:type="spellStart"/>
      <w:r w:rsidRPr="00086DDF">
        <w:rPr>
          <w:szCs w:val="28"/>
        </w:rPr>
        <w:t>энергослужбы</w:t>
      </w:r>
      <w:proofErr w:type="spellEnd"/>
      <w:r w:rsidRPr="00086DDF">
        <w:rPr>
          <w:szCs w:val="28"/>
        </w:rPr>
        <w:t xml:space="preserve">, механической службы. После выявления причины срабатывания блокировки проводятся работы по устранению неисправности. С получением </w:t>
      </w:r>
      <w:r>
        <w:rPr>
          <w:szCs w:val="28"/>
        </w:rPr>
        <w:t xml:space="preserve">удовлетворительных результатов </w:t>
      </w:r>
      <w:r w:rsidRPr="00086DDF">
        <w:rPr>
          <w:szCs w:val="28"/>
        </w:rPr>
        <w:t>проведения ремонта, узел пускается в работу по распоряжению.</w:t>
      </w:r>
    </w:p>
    <w:p w:rsid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Схемы сигнализации служат для предупреждения обслуживающего персонала</w:t>
      </w:r>
      <w:r>
        <w:rPr>
          <w:szCs w:val="28"/>
        </w:rPr>
        <w:t xml:space="preserve"> </w:t>
      </w:r>
      <w:r w:rsidRPr="00E334F8">
        <w:rPr>
          <w:szCs w:val="28"/>
        </w:rPr>
        <w:t>технологических установок о выходе технологического параметра за пределы,</w:t>
      </w:r>
      <w:r>
        <w:rPr>
          <w:szCs w:val="28"/>
        </w:rPr>
        <w:t xml:space="preserve"> </w:t>
      </w:r>
      <w:r w:rsidRPr="00E334F8">
        <w:rPr>
          <w:szCs w:val="28"/>
        </w:rPr>
        <w:t>определяемые — технологическим — регламентом, и скорейшего — принятия — мер,</w:t>
      </w:r>
      <w:r>
        <w:rPr>
          <w:szCs w:val="28"/>
        </w:rPr>
        <w:t xml:space="preserve"> </w:t>
      </w:r>
      <w:r w:rsidRPr="00E334F8">
        <w:rPr>
          <w:szCs w:val="28"/>
        </w:rPr>
        <w:t>предотвращающих дальнейшее нарушение.</w:t>
      </w:r>
    </w:p>
    <w:p w:rsid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Схемы блокировок предназначены для автоматического воздействия на работающий</w:t>
      </w:r>
      <w:r>
        <w:rPr>
          <w:szCs w:val="28"/>
        </w:rPr>
        <w:t xml:space="preserve"> </w:t>
      </w:r>
      <w:r w:rsidRPr="00E334F8">
        <w:rPr>
          <w:szCs w:val="28"/>
        </w:rPr>
        <w:t>агрегат в случае отклонения одного или нескольких параметров технологического</w:t>
      </w:r>
      <w:r>
        <w:rPr>
          <w:szCs w:val="28"/>
        </w:rPr>
        <w:t xml:space="preserve"> </w:t>
      </w:r>
      <w:r w:rsidRPr="00E334F8">
        <w:rPr>
          <w:szCs w:val="28"/>
        </w:rPr>
        <w:t xml:space="preserve">процесса за пределы, предусмотренные технологическим </w:t>
      </w:r>
      <w:r w:rsidRPr="00E334F8">
        <w:rPr>
          <w:szCs w:val="28"/>
        </w:rPr>
        <w:lastRenderedPageBreak/>
        <w:t>регламентом, помогают</w:t>
      </w:r>
      <w:r>
        <w:rPr>
          <w:szCs w:val="28"/>
        </w:rPr>
        <w:t xml:space="preserve"> </w:t>
      </w:r>
      <w:r w:rsidRPr="00E334F8">
        <w:rPr>
          <w:szCs w:val="28"/>
        </w:rPr>
        <w:t>обслуживающему персоналу ликвидировать возникающие аварийные ситуации и</w:t>
      </w:r>
      <w:r>
        <w:rPr>
          <w:szCs w:val="28"/>
        </w:rPr>
        <w:t xml:space="preserve"> </w:t>
      </w:r>
      <w:r w:rsidRPr="00E334F8">
        <w:rPr>
          <w:szCs w:val="28"/>
        </w:rPr>
        <w:t>предотвращают аварии при неправильных действиях персонала в нормальных условиях.</w:t>
      </w:r>
    </w:p>
    <w:p w:rsid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В схему сигнализации входят</w:t>
      </w:r>
      <w:r>
        <w:rPr>
          <w:szCs w:val="28"/>
        </w:rPr>
        <w:t>:</w:t>
      </w:r>
    </w:p>
    <w:p w:rsidR="00E334F8" w:rsidRDefault="00E334F8" w:rsidP="00E334F8">
      <w:pPr>
        <w:pStyle w:val="a5"/>
        <w:numPr>
          <w:ilvl w:val="0"/>
          <w:numId w:val="10"/>
        </w:numPr>
        <w:spacing w:line="360" w:lineRule="auto"/>
        <w:rPr>
          <w:szCs w:val="28"/>
        </w:rPr>
      </w:pPr>
      <w:r w:rsidRPr="00E334F8">
        <w:rPr>
          <w:szCs w:val="28"/>
        </w:rPr>
        <w:t>датчик технологического параметра;</w:t>
      </w:r>
    </w:p>
    <w:p w:rsidR="00E334F8" w:rsidRDefault="00E334F8" w:rsidP="00E334F8">
      <w:pPr>
        <w:pStyle w:val="a5"/>
        <w:numPr>
          <w:ilvl w:val="0"/>
          <w:numId w:val="10"/>
        </w:numPr>
        <w:spacing w:line="360" w:lineRule="auto"/>
        <w:rPr>
          <w:szCs w:val="28"/>
        </w:rPr>
      </w:pPr>
      <w:r w:rsidRPr="00E334F8">
        <w:rPr>
          <w:szCs w:val="28"/>
        </w:rPr>
        <w:t>релейная схема для преобразования дискретного сигнала от контактного</w:t>
      </w:r>
      <w:r>
        <w:rPr>
          <w:szCs w:val="28"/>
        </w:rPr>
        <w:t xml:space="preserve"> </w:t>
      </w:r>
      <w:r w:rsidRPr="00E334F8">
        <w:rPr>
          <w:szCs w:val="28"/>
        </w:rPr>
        <w:t>датчика и/или программно-логический контроллер, служащий для преобразования</w:t>
      </w:r>
      <w:r>
        <w:rPr>
          <w:szCs w:val="28"/>
        </w:rPr>
        <w:t xml:space="preserve"> </w:t>
      </w:r>
      <w:r w:rsidRPr="00E334F8">
        <w:rPr>
          <w:szCs w:val="28"/>
        </w:rPr>
        <w:t>датчика и/или программно-логический контроллер, служащий для преобразования</w:t>
      </w:r>
      <w:r>
        <w:rPr>
          <w:szCs w:val="28"/>
        </w:rPr>
        <w:t xml:space="preserve"> </w:t>
      </w:r>
      <w:r w:rsidRPr="00E334F8">
        <w:rPr>
          <w:szCs w:val="28"/>
        </w:rPr>
        <w:t>алгоритмам, вызывающий предупредительную светозвуковую сигнализацию;</w:t>
      </w:r>
    </w:p>
    <w:p w:rsidR="00E334F8" w:rsidRDefault="00E334F8" w:rsidP="00E334F8">
      <w:pPr>
        <w:pStyle w:val="a5"/>
        <w:numPr>
          <w:ilvl w:val="0"/>
          <w:numId w:val="10"/>
        </w:numPr>
        <w:spacing w:line="360" w:lineRule="auto"/>
        <w:rPr>
          <w:szCs w:val="28"/>
        </w:rPr>
      </w:pPr>
      <w:r w:rsidRPr="00E334F8">
        <w:rPr>
          <w:szCs w:val="28"/>
        </w:rPr>
        <w:t>система индикации (световое табло, лампа, на станциях — оператора:</w:t>
      </w:r>
      <w:r>
        <w:rPr>
          <w:szCs w:val="28"/>
        </w:rPr>
        <w:t xml:space="preserve"> </w:t>
      </w:r>
      <w:r w:rsidRPr="00E334F8">
        <w:rPr>
          <w:szCs w:val="28"/>
        </w:rPr>
        <w:t>сигнализаторы, шкальные индикаторы и т.п.)</w:t>
      </w:r>
      <w:r>
        <w:rPr>
          <w:szCs w:val="28"/>
        </w:rPr>
        <w:t>;</w:t>
      </w:r>
    </w:p>
    <w:p w:rsid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В схему блокировок входят:</w:t>
      </w:r>
    </w:p>
    <w:p w:rsidR="00E334F8" w:rsidRDefault="00E334F8" w:rsidP="00E334F8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E334F8">
        <w:rPr>
          <w:szCs w:val="28"/>
        </w:rPr>
        <w:t>датчик технологического параметра;</w:t>
      </w:r>
    </w:p>
    <w:p w:rsidR="00E334F8" w:rsidRDefault="00E334F8" w:rsidP="00E334F8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E334F8">
        <w:rPr>
          <w:szCs w:val="28"/>
        </w:rPr>
        <w:t>релейная схема и/или программно-логический контроллер, служащий для</w:t>
      </w:r>
      <w:r>
        <w:rPr>
          <w:szCs w:val="28"/>
        </w:rPr>
        <w:t xml:space="preserve"> </w:t>
      </w:r>
      <w:r w:rsidRPr="00E334F8">
        <w:rPr>
          <w:szCs w:val="28"/>
        </w:rPr>
        <w:t>преобразования и/или обработки дискретных или аналоговых сигналов от датчиков,</w:t>
      </w:r>
      <w:r>
        <w:rPr>
          <w:szCs w:val="28"/>
        </w:rPr>
        <w:t xml:space="preserve"> </w:t>
      </w:r>
      <w:r w:rsidRPr="00E334F8">
        <w:rPr>
          <w:szCs w:val="28"/>
        </w:rPr>
        <w:t>и по программным алгоритмам, вызывающий противоаварийную защиту и</w:t>
      </w:r>
      <w:r>
        <w:rPr>
          <w:szCs w:val="28"/>
        </w:rPr>
        <w:t xml:space="preserve"> </w:t>
      </w:r>
      <w:r w:rsidRPr="00E334F8">
        <w:rPr>
          <w:szCs w:val="28"/>
        </w:rPr>
        <w:t>блокировку;</w:t>
      </w:r>
    </w:p>
    <w:p w:rsidR="00E334F8" w:rsidRDefault="00E334F8" w:rsidP="00E334F8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E334F8">
        <w:rPr>
          <w:szCs w:val="28"/>
        </w:rPr>
        <w:t>исполнительный — механизм, — служащий</w:t>
      </w:r>
      <w:r>
        <w:rPr>
          <w:szCs w:val="28"/>
        </w:rPr>
        <w:t xml:space="preserve"> </w:t>
      </w:r>
      <w:r w:rsidRPr="00E334F8">
        <w:rPr>
          <w:szCs w:val="28"/>
        </w:rPr>
        <w:t>технологического оборудования или всей установки;</w:t>
      </w:r>
    </w:p>
    <w:p w:rsidR="00E334F8" w:rsidRDefault="00E334F8" w:rsidP="00E334F8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E334F8">
        <w:rPr>
          <w:szCs w:val="28"/>
        </w:rPr>
        <w:t>система индикации состояния технологического оборудования (световое табло,</w:t>
      </w:r>
      <w:r>
        <w:rPr>
          <w:szCs w:val="28"/>
        </w:rPr>
        <w:t xml:space="preserve"> </w:t>
      </w:r>
      <w:r w:rsidRPr="00E334F8">
        <w:rPr>
          <w:szCs w:val="28"/>
        </w:rPr>
        <w:t>лампа, на станциях оператора: сигнализаторы, шкальные индикаторы и т.п.).</w:t>
      </w:r>
    </w:p>
    <w:p w:rsidR="00E334F8" w:rsidRPr="00E334F8" w:rsidRDefault="00E334F8" w:rsidP="00E334F8">
      <w:pPr>
        <w:spacing w:line="360" w:lineRule="auto"/>
        <w:rPr>
          <w:szCs w:val="28"/>
        </w:rPr>
      </w:pPr>
    </w:p>
    <w:p w:rsidR="00605B19" w:rsidRPr="00003549" w:rsidRDefault="00605B19" w:rsidP="00E334F8">
      <w:pPr>
        <w:spacing w:line="360" w:lineRule="auto"/>
      </w:pPr>
      <w:r>
        <w:br w:type="page"/>
      </w:r>
    </w:p>
    <w:p w:rsidR="003A48AC" w:rsidRPr="003A48AC" w:rsidRDefault="003A48AC" w:rsidP="00E334F8">
      <w:pPr>
        <w:suppressAutoHyphens/>
        <w:spacing w:line="360" w:lineRule="auto"/>
        <w:rPr>
          <w:b/>
          <w:sz w:val="26"/>
          <w:szCs w:val="26"/>
        </w:rPr>
      </w:pPr>
      <w:r w:rsidRPr="003A48AC">
        <w:rPr>
          <w:b/>
        </w:rPr>
        <w:lastRenderedPageBreak/>
        <w:t>3 ИЗУЧЕНИЕ МЕТРОЛОГИЧЕСКОГО ОБЕСПЕЧЕНИЯ И ЭКСПЛУАТАЦИЮ СИСТЕМ АВТОМАТИЗАЦИИ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Трубные проводки. Обеспечивают связь между отдельными элементами систем автоматического контроля, регулирования и управления производством. Трубной проводкой называют совокупность труб и трубных пневматических кабелей, соединительных и присоединительных устройств, арматуры, устройств защиты от внешних воздействий, крепежных и установочных узлов и деталей, собранных в цельную конструкцию, проложенную и закрепленную на элементах зданий и сооружений или на технологическом оборудовании.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По функциональному назначению трубные проводки можно разделить на импульсные, командные, питающие, дренажные, обогревающие, охлаждающие и вспомогательные.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Импульсной линией связи является трубная проводка, соединяющая отборное устройство с контрольно-измерительным прибором, датчиком или регулятором.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Командной линией связи называется трубная проводка, соединяющая между собой отдельные функциональные блоки автоматизации. Командные линии связи предназначены для передачи пневматических или гидравлических сигналов и команд от измерительных устройств к регуляторам, от них к исполнительным механизмам, от передающих блоков к приемным.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Питающие линии служат для подвода газа или жидкости (воды, масла) под давлением и для снабжения энергией пневматических и гидравлических систем автоматизации.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Обогревающие проводки применяют для подвода тепла к щитам, приборам, отборным устройствам, трубным проводкам с целью их обогрева.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Охлаждающие проводки предназначены для охлаждения датчиков, отборных устройств, исполнительных механизмов и других средств автоматизации, работающих в условиях высоких температур.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Вспомогательные проводки применяют для подвода инертных жидкостей или газов к импульсным линиям с целью предохранения отборных устройств от </w:t>
      </w:r>
      <w:r w:rsidRPr="00E334F8">
        <w:rPr>
          <w:szCs w:val="28"/>
        </w:rPr>
        <w:lastRenderedPageBreak/>
        <w:t>засорения, а измерительных приборов (например, расходомеров) – от действия агрессивных сред;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По расположению трубные проводки подразделяют на внутренние и наружные, на скрытые и открытые.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Внутренней называется трубная проводка или ее часть, проложенная внутри закрытого помещения.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Наружной называют трубную проводку или ее часть, проложенную по наружным стенам зданий и сооружений, под навесами, а также по эстакадам и другим наружным сооружениям.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Трубные проводки и пневмокабели. Для трубных проводок к приборам и средствам автоматизации применяют следующие виды труб: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Стальные, </w:t>
      </w:r>
      <w:proofErr w:type="spellStart"/>
      <w:r w:rsidRPr="00E334F8">
        <w:rPr>
          <w:szCs w:val="28"/>
        </w:rPr>
        <w:t>водогазопроводные</w:t>
      </w:r>
      <w:proofErr w:type="spellEnd"/>
      <w:r w:rsidRPr="00E334F8">
        <w:rPr>
          <w:szCs w:val="28"/>
        </w:rPr>
        <w:t xml:space="preserve">, </w:t>
      </w:r>
      <w:proofErr w:type="spellStart"/>
      <w:r w:rsidRPr="00E334F8">
        <w:rPr>
          <w:szCs w:val="28"/>
        </w:rPr>
        <w:t>неоцинкованные</w:t>
      </w:r>
      <w:proofErr w:type="spellEnd"/>
      <w:r w:rsidRPr="00E334F8">
        <w:rPr>
          <w:szCs w:val="28"/>
        </w:rPr>
        <w:t xml:space="preserve"> и </w:t>
      </w:r>
      <w:proofErr w:type="spellStart"/>
      <w:r w:rsidRPr="00E334F8">
        <w:rPr>
          <w:szCs w:val="28"/>
        </w:rPr>
        <w:t>оцинкованые</w:t>
      </w:r>
      <w:proofErr w:type="spellEnd"/>
      <w:r w:rsidRPr="00E334F8">
        <w:rPr>
          <w:szCs w:val="28"/>
        </w:rPr>
        <w:t xml:space="preserve"> обыкновенные и легкие с условным переходом 8; 15; 20; 25; 40; и 50мм.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Стальные бесшовные холодно-деформируемые наружным диаметром 8; 10; 14; 22мм.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Стальные бесшовные холодно-</w:t>
      </w:r>
      <w:proofErr w:type="spellStart"/>
      <w:r w:rsidRPr="00E334F8">
        <w:rPr>
          <w:szCs w:val="28"/>
        </w:rPr>
        <w:t>теплодеформируемы</w:t>
      </w:r>
      <w:proofErr w:type="spellEnd"/>
      <w:r w:rsidRPr="00E334F8">
        <w:rPr>
          <w:szCs w:val="28"/>
        </w:rPr>
        <w:t xml:space="preserve"> </w:t>
      </w:r>
      <w:proofErr w:type="gramStart"/>
      <w:r w:rsidRPr="00E334F8">
        <w:rPr>
          <w:szCs w:val="28"/>
        </w:rPr>
        <w:t>из коррозийной стойкой</w:t>
      </w:r>
      <w:proofErr w:type="gramEnd"/>
      <w:r w:rsidRPr="00E334F8">
        <w:rPr>
          <w:szCs w:val="28"/>
        </w:rPr>
        <w:t xml:space="preserve"> стали диаметром 8; 10; 14; 22мм.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Медные диаметром 6; 8; 10мм.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Алюминиевые диаметром 8 и 10мм.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Полиэтиленовые размером 6х1 и 8х16 диаметром 10; 12; 16; 20; 25мм.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Поливинилхлоридные размером 6х1; 9х2; 11х2 диаметром 8мм.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В </w:t>
      </w:r>
      <w:proofErr w:type="gramStart"/>
      <w:r w:rsidRPr="00E334F8">
        <w:rPr>
          <w:szCs w:val="28"/>
        </w:rPr>
        <w:t>промышленности  выпускают</w:t>
      </w:r>
      <w:proofErr w:type="gramEnd"/>
      <w:r w:rsidRPr="00E334F8">
        <w:rPr>
          <w:szCs w:val="28"/>
        </w:rPr>
        <w:t xml:space="preserve"> пневмокабели с пластиковой оболочкой марки ТПО и бронированные стальными лентами марок </w:t>
      </w:r>
      <w:proofErr w:type="spellStart"/>
      <w:r w:rsidRPr="00E334F8">
        <w:rPr>
          <w:szCs w:val="28"/>
        </w:rPr>
        <w:t>ТПВБбГ</w:t>
      </w:r>
      <w:proofErr w:type="spellEnd"/>
      <w:r w:rsidRPr="00E334F8">
        <w:rPr>
          <w:szCs w:val="28"/>
        </w:rPr>
        <w:t xml:space="preserve"> и </w:t>
      </w:r>
      <w:proofErr w:type="spellStart"/>
      <w:r w:rsidRPr="00E334F8">
        <w:rPr>
          <w:szCs w:val="28"/>
        </w:rPr>
        <w:t>ТПББбГ</w:t>
      </w:r>
      <w:proofErr w:type="spellEnd"/>
      <w:r w:rsidRPr="00E334F8">
        <w:rPr>
          <w:szCs w:val="28"/>
        </w:rPr>
        <w:t xml:space="preserve">. Также есть полиэтиленовые трубы обмотаны лентой из поливинилхлоридного пластика или кабели бумаги с защитным покровам типа </w:t>
      </w:r>
      <w:proofErr w:type="spellStart"/>
      <w:r w:rsidRPr="00E334F8">
        <w:rPr>
          <w:szCs w:val="28"/>
        </w:rPr>
        <w:t>БбГ</w:t>
      </w:r>
      <w:proofErr w:type="spellEnd"/>
      <w:r w:rsidRPr="00E334F8">
        <w:rPr>
          <w:szCs w:val="28"/>
        </w:rPr>
        <w:t xml:space="preserve"> и броней из стальных лент.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Электрические проводки. К приборам и средствам автоматизации называется совокупность проложенных и закрепленных на элементах зданий, сооружений или на технологическом оборудовании проводов и кабелей с относящимися к ним соединительными муфтами, концевыми заделками, соединительными и протяжными коробками.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lastRenderedPageBreak/>
        <w:t>Под кабелем понимаю одну изолированную жилу, заключенная в оболочку, поверх которой в зависимости от условия прокладки и эксплуатации может быть соответствующие защитное покрытие.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Провод состоит из одной неизолированной или одной изолированной жилы, неметаллическая оболочка, обмотка и оплетка волокнистыми материалами или проволокой.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Для электрических проводок к приборам и средствам автоматизации применяют установочные и термоэлектродные провода, силовые и контрольные кабели.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Установочные провода. При монтаже электрических проводок в основном применяют провода следующих марок: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ПР — провод установочный одножильный с медной жилой в резиновой изоляции, в оплётке из хлопчатобумажной пряжи, пропитанной противогнилостным составом;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АПР — то же, но с алюминиевой жилой;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ПРТО — провод установочный многожильный и одножильный с медными жилами и резиновой изоляции, в оплетке из хлопчатобумажной пряжи, пропитанной противогнилостным составом;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АПРТО — то же, но с алюминиевой жилой;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ПРВ — провод установочный с медной жилой в резиновой изоляции с поливинилхлоридной оболочкой;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АПРВ — то же, но с алюминиевой жилой (ГОСТ 20520—80);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ПВ — провод установочный одножильный с медной жилой в поливинилхлоридной изоляции;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АПВ — то же</w:t>
      </w:r>
      <w:proofErr w:type="gramStart"/>
      <w:r w:rsidRPr="00E334F8">
        <w:rPr>
          <w:szCs w:val="28"/>
        </w:rPr>
        <w:t>.</w:t>
      </w:r>
      <w:proofErr w:type="gramEnd"/>
      <w:r w:rsidRPr="00E334F8">
        <w:rPr>
          <w:szCs w:val="28"/>
        </w:rPr>
        <w:t xml:space="preserve"> но с алюминиевой жилой;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ПГВ — провод установочный одножильный с гибкой медной жилой и поливинилхлоридной изоляции. 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Термоэлектродные кабели и провода. Данные виды кабелей предназначены для удлинения электродов термопар и присоединения их к средствам измерения </w:t>
      </w:r>
      <w:r w:rsidRPr="00E334F8">
        <w:rPr>
          <w:szCs w:val="28"/>
        </w:rPr>
        <w:lastRenderedPageBreak/>
        <w:t>температуры, а также могут использоваться для изготовления преобразователей термоэлектрических (термопар).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Промышленность выпускает термоэлектродные провода следующих марок: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ПКВ — провод с поливинилхлоридной изоляцией и поливинилхлоридной оболочкой с сечением жилы 2,5 мм2; предназначен для прокладки в сырых и сухих помещениях и в местах, где возможно воздействие химических реагентов;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ПКГВ — провод гибкий с поливинилхлоридной изоляцией и поливинилхлоридной оболочкой с сечением жил 1; 1,5; 1,8 или 2,5 мм2; применяют в местах, где требуется повышенная гибкость 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ПКВП — провод с поливинилхлоридной изоляцией и поливинилхлоридной оболочкой в оплетке из стальных проволок, экранированный, с </w:t>
      </w:r>
      <w:proofErr w:type="spellStart"/>
      <w:r w:rsidRPr="00E334F8">
        <w:rPr>
          <w:szCs w:val="28"/>
        </w:rPr>
        <w:t>сечснием</w:t>
      </w:r>
      <w:proofErr w:type="spellEnd"/>
      <w:r w:rsidRPr="00E334F8">
        <w:rPr>
          <w:szCs w:val="28"/>
        </w:rPr>
        <w:t xml:space="preserve"> жилы 1 мм, применяют для всех видов прокладки при необходимости экранирования.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Силовые кабели. При прокладке силовых линий применяют двух и трехжильные силовые кабели с резиновой изоляцией и с сечением медных жил 1; 1,5 и 2,5 мм2, а алюминиевых — 2,5 и 4 мм2. Кабели больших сечений применяют редко. Наиболее часто применяют силовые кабели следующих марок: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ВРГ — с медными жилами в поливинилхлоридной оболочке;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АВРГ — то же, с алюминиевыми жилами;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ВРБ — с медными жилами в поливинилхлоридной оболочке, бронированной двумя стальными лентами, с защитным наружным слоем;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АВРБ — то же, с алюминиевыми жилами;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НРГ — с медными жилами в резиновой (</w:t>
      </w:r>
      <w:proofErr w:type="spellStart"/>
      <w:r w:rsidRPr="00E334F8">
        <w:rPr>
          <w:szCs w:val="28"/>
        </w:rPr>
        <w:t>найритовой</w:t>
      </w:r>
      <w:proofErr w:type="spellEnd"/>
      <w:r w:rsidRPr="00E334F8">
        <w:rPr>
          <w:szCs w:val="28"/>
        </w:rPr>
        <w:t>) негорючей оболочке;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АНГРГ — то же, с алюминиевыми жилами;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НРБ — с медными жилами в резиновой (</w:t>
      </w:r>
      <w:proofErr w:type="spellStart"/>
      <w:r w:rsidRPr="00E334F8">
        <w:rPr>
          <w:szCs w:val="28"/>
        </w:rPr>
        <w:t>найритовой</w:t>
      </w:r>
      <w:proofErr w:type="spellEnd"/>
      <w:r w:rsidRPr="00E334F8">
        <w:rPr>
          <w:szCs w:val="28"/>
        </w:rPr>
        <w:t>) негорючей оболочке, бронированной двумя стальными лентами, с защитным наружным слоем;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АНРБ — то же, с алюминиевыми жилами.</w:t>
      </w:r>
    </w:p>
    <w:p w:rsidR="00E334F8" w:rsidRPr="00E334F8" w:rsidRDefault="00E334F8" w:rsidP="00E334F8">
      <w:pPr>
        <w:spacing w:line="360" w:lineRule="auto"/>
        <w:rPr>
          <w:szCs w:val="28"/>
        </w:rPr>
      </w:pP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 xml:space="preserve">Контрольные кабели. Предназначены для присоединения к электрическим приборам, аппаратам и средствам автоматизации с поминальным напряжением до </w:t>
      </w:r>
      <w:r w:rsidRPr="00E334F8">
        <w:rPr>
          <w:szCs w:val="28"/>
        </w:rPr>
        <w:lastRenderedPageBreak/>
        <w:t xml:space="preserve">400 </w:t>
      </w:r>
      <w:proofErr w:type="gramStart"/>
      <w:r w:rsidRPr="00E334F8">
        <w:rPr>
          <w:szCs w:val="28"/>
        </w:rPr>
        <w:t>В</w:t>
      </w:r>
      <w:proofErr w:type="gramEnd"/>
      <w:r w:rsidRPr="00E334F8">
        <w:rPr>
          <w:szCs w:val="28"/>
        </w:rPr>
        <w:t xml:space="preserve"> переменного и 440 В постоянного тока. Контрольные кабели имеют от 4 до 37 жил сечением 0,75—6 мм2 (медные) и 2,5—10 мм2 (алюминиевые).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Резиновая: КРВГ; АКРВГ; КРВБ; АКРВБ.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Поливинилхлоридная: КВВГ; АКВВГ; КВВБ; АКВВБ.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Полиэтиленовая: КПВГ; АКПВГ; КПВБ; АКПВБ.</w:t>
      </w:r>
    </w:p>
    <w:p w:rsidR="00E334F8" w:rsidRPr="00E334F8" w:rsidRDefault="00E334F8" w:rsidP="00E334F8">
      <w:pPr>
        <w:spacing w:line="360" w:lineRule="auto"/>
        <w:rPr>
          <w:szCs w:val="28"/>
        </w:rPr>
      </w:pP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Кабели управления — это кабели, которые применяются для создания цепей информации, сигнализации и связи. Также эти кабели используются для создания цепей контроля и управления в разных электрических установках и соединении между приборами. Кабель управления имеет изоляцию и оболочку из резины или пластика.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Кабель управления с полиэтиленовой изоляцией — это кабели КПВ, КУПР, КУПР-П, КУПВ, КУПВ-П, КУПЭВ и КУПЭВ-П. Они используются в температурных условиях от -50 до +70 градусов. Кабели управления с изоляцией из пластиката это кабели КГВВ, КУГВВ, КУГВВЭ и КУГВЭВ. Они применяются в условиях не ниже 40 градусов и не больше 50-60 градусов.</w:t>
      </w:r>
    </w:p>
    <w:p w:rsidR="00E334F8" w:rsidRPr="00E334F8" w:rsidRDefault="00E334F8" w:rsidP="00E334F8">
      <w:pPr>
        <w:spacing w:line="360" w:lineRule="auto"/>
        <w:rPr>
          <w:szCs w:val="28"/>
        </w:rPr>
      </w:pP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Волоконно-оптическая линия передачи (ВОСП). Волоконно-оптическая линия связи (ВОЛС) — волоконно-оптическая система, состоящая из пассивных и активных элементов, предназначенная для передачи информации в оптическом диапазоне.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Преимущества ВОСП. Волоконно-оптические линии обладают рядом преимуществ перед проводными (медными) и радиорелейными системами связи: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Малое затухание сигнала (0,15 дБ/км в третьем окне прозрачности) позволяет передавать информацию на значительно большее расстояние без использования усилителей. Усилители в ВОЛП могут ставиться через 40, 80 и 120 километров, в зависимости от класса оконечного оборудования.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Высокая пропускная способность оптического волокна позволяет передавать информацию на высокой скорости, недостижимой для других систем связи.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lastRenderedPageBreak/>
        <w:t>Высокая надёжность оптической среды: оптические волокна не окисляются, не намокают, не подвержены слабому электромагнитному воздействию.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Информационная безопасность — информация по оптическому волокну передаётся «из точки в точку».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Высокая защищённость от межволоконных влияний — уровень экранирования излучения более 100 дБ. Излучение в одном волокне совершенно не влияет на сигнал в соседнем волокне.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proofErr w:type="spellStart"/>
      <w:r w:rsidRPr="00E334F8">
        <w:rPr>
          <w:szCs w:val="28"/>
        </w:rPr>
        <w:t>Пожаро</w:t>
      </w:r>
      <w:proofErr w:type="spellEnd"/>
      <w:r w:rsidRPr="00E334F8">
        <w:rPr>
          <w:szCs w:val="28"/>
        </w:rPr>
        <w:t>- и взрывобезопасность при изменении физических и химических параметров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Малые габариты и масса.</w:t>
      </w:r>
    </w:p>
    <w:p w:rsidR="00E334F8" w:rsidRPr="00E334F8" w:rsidRDefault="00E334F8" w:rsidP="002C0841">
      <w:pPr>
        <w:spacing w:line="360" w:lineRule="auto"/>
        <w:rPr>
          <w:szCs w:val="28"/>
        </w:rPr>
      </w:pPr>
      <w:r w:rsidRPr="00E334F8">
        <w:rPr>
          <w:szCs w:val="28"/>
        </w:rPr>
        <w:t>Недостатки ВОСП. Относительная хрупкость оптического волокна. При сильном изгибании кабеля (особенно, если в качестве силового элемента используется стеклопластиковый пруток) возможна поломка волокон или их замутнение из-за возникновения микротрещин. Сложность соединения в случае разрыва. Сложная технология изготовления как самого волокна, так и компонентов ВОСП. Сложность преобразования сигнала (в интерфейсном оборудовании). Относительная дороговизна оптического оконечного оборудования. Однако, оборудование является дорогим в абсолютных цифрах. Соотношение цены и пропускной способности для ВОСП лучше, чем для других систем. Замутнение волокна с течением времени вследствие старения.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Монтаж ВОСП Оптический кабель для линий связи может быть уложен следующим образом:</w:t>
      </w:r>
    </w:p>
    <w:p w:rsidR="00E334F8" w:rsidRPr="00E334F8" w:rsidRDefault="00E334F8" w:rsidP="00E334F8">
      <w:pPr>
        <w:pStyle w:val="a5"/>
        <w:numPr>
          <w:ilvl w:val="0"/>
          <w:numId w:val="14"/>
        </w:numPr>
        <w:spacing w:line="360" w:lineRule="auto"/>
        <w:rPr>
          <w:szCs w:val="28"/>
        </w:rPr>
      </w:pPr>
      <w:r w:rsidRPr="00E334F8">
        <w:rPr>
          <w:szCs w:val="28"/>
        </w:rPr>
        <w:t>В кабельную канализацию или кабельный коллектор;</w:t>
      </w:r>
    </w:p>
    <w:p w:rsidR="00E334F8" w:rsidRPr="00E334F8" w:rsidRDefault="00E334F8" w:rsidP="00E334F8">
      <w:pPr>
        <w:pStyle w:val="a5"/>
        <w:numPr>
          <w:ilvl w:val="0"/>
          <w:numId w:val="14"/>
        </w:numPr>
        <w:spacing w:line="360" w:lineRule="auto"/>
        <w:rPr>
          <w:szCs w:val="28"/>
        </w:rPr>
      </w:pPr>
      <w:r w:rsidRPr="00E334F8">
        <w:rPr>
          <w:szCs w:val="28"/>
        </w:rPr>
        <w:t>Непосредственно в грунт — в предварительно подготовленную траншею или с использованием кабелеукладчика;</w:t>
      </w:r>
    </w:p>
    <w:p w:rsidR="00E334F8" w:rsidRPr="00E334F8" w:rsidRDefault="00E334F8" w:rsidP="00E334F8">
      <w:pPr>
        <w:pStyle w:val="a5"/>
        <w:numPr>
          <w:ilvl w:val="0"/>
          <w:numId w:val="14"/>
        </w:numPr>
        <w:spacing w:line="360" w:lineRule="auto"/>
        <w:rPr>
          <w:szCs w:val="28"/>
        </w:rPr>
      </w:pPr>
      <w:r w:rsidRPr="00E334F8">
        <w:rPr>
          <w:szCs w:val="28"/>
        </w:rPr>
        <w:t>Подвес кабеля — воздушная линия связи.</w:t>
      </w:r>
    </w:p>
    <w:p w:rsidR="00E334F8" w:rsidRPr="00E334F8" w:rsidRDefault="00E334F8" w:rsidP="00E334F8">
      <w:pPr>
        <w:spacing w:line="360" w:lineRule="auto"/>
        <w:rPr>
          <w:szCs w:val="28"/>
        </w:rPr>
      </w:pPr>
      <w:r w:rsidRPr="00E334F8">
        <w:rPr>
          <w:szCs w:val="28"/>
        </w:rPr>
        <w:t>Для каждого случая изготавливаются специальные кабели, отличающиеся типом оболочки, брони, допустимым растягивающим усилием и другими параметрами.</w:t>
      </w:r>
    </w:p>
    <w:p w:rsidR="00E334F8" w:rsidRDefault="00E334F8" w:rsidP="002C0841">
      <w:pPr>
        <w:spacing w:line="360" w:lineRule="auto"/>
        <w:ind w:firstLine="0"/>
        <w:rPr>
          <w:szCs w:val="28"/>
        </w:rPr>
      </w:pPr>
    </w:p>
    <w:p w:rsidR="00E334F8" w:rsidRDefault="00E334F8" w:rsidP="00E334F8">
      <w:pPr>
        <w:pStyle w:val="a7"/>
        <w:sectPr w:rsidR="00E334F8" w:rsidSect="00E334F8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</w:p>
    <w:p w:rsidR="00E334F8" w:rsidRPr="002C0841" w:rsidRDefault="00E334F8" w:rsidP="00E334F8">
      <w:pPr>
        <w:pStyle w:val="a7"/>
        <w:rPr>
          <w:rFonts w:cs="Times New Roman"/>
          <w:b w:val="0"/>
          <w:color w:val="000000" w:themeColor="text1"/>
          <w:szCs w:val="28"/>
        </w:rPr>
      </w:pPr>
      <w:r w:rsidRPr="002C0841">
        <w:rPr>
          <w:b w:val="0"/>
        </w:rPr>
        <w:lastRenderedPageBreak/>
        <w:t>спецификация приборов и средств автоматизации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992"/>
        <w:gridCol w:w="5528"/>
        <w:gridCol w:w="992"/>
        <w:gridCol w:w="709"/>
        <w:gridCol w:w="709"/>
        <w:gridCol w:w="992"/>
        <w:gridCol w:w="815"/>
      </w:tblGrid>
      <w:tr w:rsidR="002C0841" w:rsidTr="00E7584F">
        <w:tc>
          <w:tcPr>
            <w:tcW w:w="1271" w:type="dxa"/>
            <w:vMerge w:val="restart"/>
          </w:tcPr>
          <w:p w:rsidR="002C0841" w:rsidRDefault="002C0841" w:rsidP="00E7584F">
            <w:pPr>
              <w:ind w:firstLine="0"/>
            </w:pPr>
            <w:r>
              <w:t>Номер позиции по функциональной схеме</w:t>
            </w:r>
          </w:p>
        </w:tc>
        <w:tc>
          <w:tcPr>
            <w:tcW w:w="1276" w:type="dxa"/>
            <w:vMerge w:val="restart"/>
          </w:tcPr>
          <w:p w:rsidR="002C0841" w:rsidRDefault="002C0841" w:rsidP="00E7584F">
            <w:pPr>
              <w:ind w:firstLine="0"/>
            </w:pPr>
            <w:r>
              <w:t>Наименование параметра, среды и места отбора импульса</w:t>
            </w:r>
          </w:p>
        </w:tc>
        <w:tc>
          <w:tcPr>
            <w:tcW w:w="1276" w:type="dxa"/>
            <w:vMerge w:val="restart"/>
          </w:tcPr>
          <w:p w:rsidR="002C0841" w:rsidRDefault="002C0841" w:rsidP="00E7584F">
            <w:pPr>
              <w:ind w:firstLine="0"/>
            </w:pPr>
            <w:r>
              <w:t>Предельно рабочее значение параметра</w:t>
            </w:r>
          </w:p>
        </w:tc>
        <w:tc>
          <w:tcPr>
            <w:tcW w:w="992" w:type="dxa"/>
            <w:vMerge w:val="restart"/>
          </w:tcPr>
          <w:p w:rsidR="002C0841" w:rsidRDefault="002C0841" w:rsidP="00E7584F">
            <w:pPr>
              <w:ind w:firstLine="0"/>
            </w:pPr>
            <w:r>
              <w:t>Место установки</w:t>
            </w:r>
          </w:p>
        </w:tc>
        <w:tc>
          <w:tcPr>
            <w:tcW w:w="5528" w:type="dxa"/>
            <w:vMerge w:val="restart"/>
          </w:tcPr>
          <w:p w:rsidR="002C0841" w:rsidRDefault="002C0841" w:rsidP="00E7584F">
            <w:pPr>
              <w:ind w:firstLine="0"/>
            </w:pPr>
            <w:r>
              <w:t>Наименование и характеристики</w:t>
            </w:r>
          </w:p>
        </w:tc>
        <w:tc>
          <w:tcPr>
            <w:tcW w:w="992" w:type="dxa"/>
            <w:vMerge w:val="restart"/>
          </w:tcPr>
          <w:p w:rsidR="002C0841" w:rsidRDefault="002C0841" w:rsidP="00E7584F">
            <w:pPr>
              <w:ind w:firstLine="0"/>
            </w:pPr>
            <w:r>
              <w:t>Тип модель</w:t>
            </w:r>
          </w:p>
        </w:tc>
        <w:tc>
          <w:tcPr>
            <w:tcW w:w="1418" w:type="dxa"/>
            <w:gridSpan w:val="2"/>
          </w:tcPr>
          <w:p w:rsidR="002C0841" w:rsidRDefault="002C0841" w:rsidP="00E7584F">
            <w:pPr>
              <w:ind w:firstLine="0"/>
            </w:pPr>
            <w:r>
              <w:t>Количество</w:t>
            </w:r>
          </w:p>
        </w:tc>
        <w:tc>
          <w:tcPr>
            <w:tcW w:w="992" w:type="dxa"/>
            <w:vMerge w:val="restart"/>
          </w:tcPr>
          <w:p w:rsidR="002C0841" w:rsidRDefault="002C0841" w:rsidP="00E7584F">
            <w:pPr>
              <w:ind w:firstLine="0"/>
            </w:pPr>
            <w:r>
              <w:t>Завод-изготовитель</w:t>
            </w:r>
          </w:p>
        </w:tc>
        <w:tc>
          <w:tcPr>
            <w:tcW w:w="815" w:type="dxa"/>
            <w:vMerge w:val="restart"/>
          </w:tcPr>
          <w:p w:rsidR="002C0841" w:rsidRDefault="002C0841" w:rsidP="00E7584F">
            <w:pPr>
              <w:ind w:firstLine="0"/>
            </w:pPr>
            <w:r>
              <w:t>Примечание</w:t>
            </w:r>
          </w:p>
        </w:tc>
      </w:tr>
      <w:tr w:rsidR="002C0841" w:rsidTr="00E7584F">
        <w:tc>
          <w:tcPr>
            <w:tcW w:w="1271" w:type="dxa"/>
            <w:vMerge/>
          </w:tcPr>
          <w:p w:rsidR="002C0841" w:rsidRDefault="002C0841" w:rsidP="00E7584F">
            <w:pPr>
              <w:ind w:firstLine="0"/>
            </w:pPr>
          </w:p>
        </w:tc>
        <w:tc>
          <w:tcPr>
            <w:tcW w:w="1276" w:type="dxa"/>
            <w:vMerge/>
          </w:tcPr>
          <w:p w:rsidR="002C0841" w:rsidRDefault="002C0841" w:rsidP="00E7584F">
            <w:pPr>
              <w:ind w:firstLine="0"/>
            </w:pPr>
          </w:p>
        </w:tc>
        <w:tc>
          <w:tcPr>
            <w:tcW w:w="1276" w:type="dxa"/>
            <w:vMerge/>
          </w:tcPr>
          <w:p w:rsidR="002C0841" w:rsidRDefault="002C0841" w:rsidP="00E7584F">
            <w:pPr>
              <w:ind w:firstLine="0"/>
            </w:pPr>
          </w:p>
        </w:tc>
        <w:tc>
          <w:tcPr>
            <w:tcW w:w="992" w:type="dxa"/>
            <w:vMerge/>
          </w:tcPr>
          <w:p w:rsidR="002C0841" w:rsidRDefault="002C0841" w:rsidP="00E7584F">
            <w:pPr>
              <w:ind w:firstLine="0"/>
            </w:pPr>
          </w:p>
        </w:tc>
        <w:tc>
          <w:tcPr>
            <w:tcW w:w="5528" w:type="dxa"/>
            <w:vMerge/>
          </w:tcPr>
          <w:p w:rsidR="002C0841" w:rsidRDefault="002C0841" w:rsidP="00E7584F">
            <w:pPr>
              <w:ind w:firstLine="0"/>
            </w:pPr>
          </w:p>
        </w:tc>
        <w:tc>
          <w:tcPr>
            <w:tcW w:w="992" w:type="dxa"/>
            <w:vMerge/>
          </w:tcPr>
          <w:p w:rsidR="002C0841" w:rsidRDefault="002C0841" w:rsidP="00E7584F">
            <w:pPr>
              <w:ind w:firstLine="0"/>
            </w:pP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  <w:r>
              <w:t>На один агрегат</w:t>
            </w: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  <w:r>
              <w:t>На все агрегаты</w:t>
            </w:r>
          </w:p>
        </w:tc>
        <w:tc>
          <w:tcPr>
            <w:tcW w:w="992" w:type="dxa"/>
            <w:vMerge/>
          </w:tcPr>
          <w:p w:rsidR="002C0841" w:rsidRDefault="002C0841" w:rsidP="00E7584F">
            <w:pPr>
              <w:ind w:firstLine="0"/>
            </w:pPr>
          </w:p>
        </w:tc>
        <w:tc>
          <w:tcPr>
            <w:tcW w:w="815" w:type="dxa"/>
            <w:vMerge/>
          </w:tcPr>
          <w:p w:rsidR="002C0841" w:rsidRDefault="002C0841" w:rsidP="00E7584F">
            <w:pPr>
              <w:ind w:firstLine="0"/>
            </w:pPr>
          </w:p>
        </w:tc>
      </w:tr>
      <w:tr w:rsidR="002C0841" w:rsidTr="00E7584F">
        <w:tc>
          <w:tcPr>
            <w:tcW w:w="1271" w:type="dxa"/>
          </w:tcPr>
          <w:p w:rsidR="002C0841" w:rsidRDefault="002C0841" w:rsidP="00E7584F">
            <w:pPr>
              <w:ind w:firstLine="0"/>
            </w:pPr>
            <w:r>
              <w:t>1</w:t>
            </w: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</w:pPr>
            <w:r>
              <w:t>2</w:t>
            </w: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</w:pPr>
            <w:r>
              <w:t>3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t>4</w:t>
            </w:r>
          </w:p>
        </w:tc>
        <w:tc>
          <w:tcPr>
            <w:tcW w:w="5528" w:type="dxa"/>
          </w:tcPr>
          <w:p w:rsidR="002C0841" w:rsidRDefault="002C0841" w:rsidP="00E7584F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t>6</w:t>
            </w: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  <w:r>
              <w:t>8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t>9</w:t>
            </w:r>
          </w:p>
        </w:tc>
        <w:tc>
          <w:tcPr>
            <w:tcW w:w="815" w:type="dxa"/>
          </w:tcPr>
          <w:p w:rsidR="002C0841" w:rsidRDefault="002C0841" w:rsidP="00E7584F">
            <w:pPr>
              <w:ind w:firstLine="0"/>
            </w:pPr>
            <w:r>
              <w:t>10</w:t>
            </w:r>
          </w:p>
        </w:tc>
      </w:tr>
      <w:tr w:rsidR="002C0841" w:rsidTr="00E7584F">
        <w:tc>
          <w:tcPr>
            <w:tcW w:w="1271" w:type="dxa"/>
          </w:tcPr>
          <w:p w:rsidR="002C0841" w:rsidRDefault="002C0841" w:rsidP="00E7584F">
            <w:pPr>
              <w:ind w:firstLine="0"/>
            </w:pPr>
            <w:r>
              <w:t>1-1, 3-1, 8-1, 10-1, 14-1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1-2, 3-2, 8-2, 10-2, 14-2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lastRenderedPageBreak/>
              <w:t>1-3, 3-3, 8-3, 10-3, 14-3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1-4, 3-4, 8-4, 10-4, 14-4</w:t>
            </w: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</w:pPr>
            <w:r>
              <w:lastRenderedPageBreak/>
              <w:t>Расход пропилена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Расход пропилена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lastRenderedPageBreak/>
              <w:t>Расход пропилена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Расход пропилена</w:t>
            </w: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</w:pPr>
            <w:r w:rsidRPr="00A44BE1">
              <w:lastRenderedPageBreak/>
              <w:t>0,5÷7 т/ч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 w:rsidRPr="00A44BE1">
              <w:t>0,5÷7 т/ч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 w:rsidRPr="00A44BE1">
              <w:t>0,5÷7 т/ч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 w:rsidRPr="00A44BE1">
              <w:t>0,5÷7 т/ч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lastRenderedPageBreak/>
              <w:t>На трубопроводе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щите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щите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трубопроводе</w:t>
            </w:r>
          </w:p>
          <w:p w:rsidR="002C0841" w:rsidRDefault="002C0841" w:rsidP="00E7584F">
            <w:pPr>
              <w:ind w:firstLine="0"/>
            </w:pPr>
          </w:p>
        </w:tc>
        <w:tc>
          <w:tcPr>
            <w:tcW w:w="5528" w:type="dxa"/>
          </w:tcPr>
          <w:p w:rsidR="002C0841" w:rsidRPr="00C74410" w:rsidRDefault="002C0841" w:rsidP="00E7584F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основан на </w:t>
            </w:r>
            <w:r>
              <w:t>взаимодействии движущегося проводника с магнитным полем</w:t>
            </w:r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6300 м</w:t>
            </w:r>
            <w:r w:rsidRPr="007E6B39"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/ч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Номинал фланца </w:t>
            </w:r>
            <w:r>
              <w:t xml:space="preserve">нержавеющая сталь 12Х18Н10, исполнение E </w:t>
            </w:r>
            <w:proofErr w:type="spellStart"/>
            <w:r>
              <w:t>пo</w:t>
            </w:r>
            <w:proofErr w:type="spellEnd"/>
            <w:r>
              <w:t xml:space="preserve"> ГOСT 33259-15</w:t>
            </w:r>
            <w:r w:rsidRPr="00C74410">
              <w:rPr>
                <w:szCs w:val="28"/>
              </w:rPr>
              <w:t>.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2C0841" w:rsidRPr="00C74410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750х600х350 мм.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>RP810 является регулятором давления «после себя» с пилотным управлением. Конструкция включает в себя основной 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2C0841" w:rsidRPr="00934B5E" w:rsidRDefault="002C0841" w:rsidP="00E75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Rosemount</w:t>
            </w:r>
            <w:r w:rsidRPr="00934B5E">
              <w:rPr>
                <w:lang w:val="en-US"/>
              </w:rPr>
              <w:t xml:space="preserve"> 8700 </w:t>
            </w:r>
            <w:r>
              <w:rPr>
                <w:lang w:val="en-US"/>
              </w:rPr>
              <w:t>Dy</w:t>
            </w:r>
            <w:r w:rsidRPr="00934B5E">
              <w:rPr>
                <w:lang w:val="en-US"/>
              </w:rPr>
              <w:t>-450</w:t>
            </w: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  <w:p w:rsidR="002C0841" w:rsidRDefault="002C0841" w:rsidP="00E7584F">
            <w:pPr>
              <w:ind w:firstLine="0"/>
              <w:rPr>
                <w:lang w:val="en-US"/>
              </w:rPr>
            </w:pP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Rosemount</w:t>
            </w:r>
            <w:r w:rsidRPr="00934B5E">
              <w:rPr>
                <w:lang w:val="en-US"/>
              </w:rPr>
              <w:t xml:space="preserve"> 8700 </w:t>
            </w:r>
            <w:r>
              <w:rPr>
                <w:lang w:val="en-US"/>
              </w:rPr>
              <w:t>Dy</w:t>
            </w:r>
            <w:r w:rsidRPr="00934B5E">
              <w:rPr>
                <w:lang w:val="en-US"/>
              </w:rPr>
              <w:t>-450</w:t>
            </w: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  <w:r w:rsidRPr="001F7A2E">
              <w:rPr>
                <w:szCs w:val="28"/>
              </w:rPr>
              <w:t>ТРМ</w:t>
            </w:r>
            <w:r w:rsidRPr="00934B5E">
              <w:rPr>
                <w:szCs w:val="28"/>
                <w:lang w:val="en-US"/>
              </w:rPr>
              <w:t>210</w:t>
            </w: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  <w:r w:rsidRPr="00A66A4B">
              <w:rPr>
                <w:lang w:val="en-US"/>
              </w:rPr>
              <w:t>RP</w:t>
            </w:r>
            <w:r w:rsidRPr="00934B5E">
              <w:rPr>
                <w:lang w:val="en-US"/>
              </w:rPr>
              <w:t>810</w:t>
            </w:r>
          </w:p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</w:tc>
        <w:tc>
          <w:tcPr>
            <w:tcW w:w="709" w:type="dxa"/>
          </w:tcPr>
          <w:p w:rsidR="002C0841" w:rsidRPr="00934B5E" w:rsidRDefault="002C0841" w:rsidP="00E7584F">
            <w:pPr>
              <w:ind w:firstLine="0"/>
              <w:rPr>
                <w:lang w:val="en-US"/>
              </w:rPr>
            </w:pPr>
          </w:p>
        </w:tc>
        <w:tc>
          <w:tcPr>
            <w:tcW w:w="709" w:type="dxa"/>
          </w:tcPr>
          <w:p w:rsidR="002C0841" w:rsidRPr="00A66A4B" w:rsidRDefault="002C0841" w:rsidP="00E7584F">
            <w:pPr>
              <w:ind w:firstLine="0"/>
            </w:pPr>
            <w:r w:rsidRPr="00A66A4B">
              <w:t>5</w:t>
            </w: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  <w:r w:rsidRPr="00A66A4B">
              <w:t>5</w:t>
            </w: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5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Pr="0044092F" w:rsidRDefault="002C0841" w:rsidP="00E7584F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lastRenderedPageBreak/>
              <w:t>Челябинск, Метран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Челябинск, Метран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lastRenderedPageBreak/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2C0841" w:rsidRDefault="002C0841" w:rsidP="00E7584F">
            <w:pPr>
              <w:ind w:firstLine="0"/>
            </w:pPr>
          </w:p>
          <w:p w:rsidR="002C0841" w:rsidRPr="00934B5E" w:rsidRDefault="002C0841" w:rsidP="00E7584F">
            <w:pPr>
              <w:ind w:firstLine="0"/>
              <w:jc w:val="left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  <w:r w:rsidRPr="00934B5E">
              <w:t>Mankenberg</w:t>
            </w:r>
          </w:p>
          <w:p w:rsidR="002C0841" w:rsidRDefault="002C0841" w:rsidP="00E7584F">
            <w:pPr>
              <w:ind w:firstLine="0"/>
            </w:pPr>
          </w:p>
        </w:tc>
        <w:tc>
          <w:tcPr>
            <w:tcW w:w="815" w:type="dxa"/>
          </w:tcPr>
          <w:p w:rsidR="002C0841" w:rsidRDefault="002C0841" w:rsidP="00E7584F">
            <w:pPr>
              <w:ind w:firstLine="0"/>
            </w:pPr>
          </w:p>
        </w:tc>
      </w:tr>
      <w:tr w:rsidR="002C0841" w:rsidTr="00E7584F">
        <w:tc>
          <w:tcPr>
            <w:tcW w:w="1271" w:type="dxa"/>
          </w:tcPr>
          <w:p w:rsidR="002C0841" w:rsidRDefault="002C0841" w:rsidP="00E7584F">
            <w:pPr>
              <w:ind w:firstLine="0"/>
            </w:pPr>
            <w:r>
              <w:lastRenderedPageBreak/>
              <w:t>2-1, 12-1, 20-1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2-2, 12-2, 20-2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lastRenderedPageBreak/>
              <w:t>2-3, 12-3, 20-3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2-4, 12-4, 20-4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</w:pPr>
            <w:r>
              <w:lastRenderedPageBreak/>
              <w:t>Давление пропилена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Давление пропилена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lastRenderedPageBreak/>
              <w:t>Давление пропилена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Давление пропилена</w:t>
            </w: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  <w:contextualSpacing/>
            </w:pPr>
            <w:r w:rsidRPr="00C53AF7">
              <w:lastRenderedPageBreak/>
              <w:t>1,4÷1,85 Мпа</w:t>
            </w: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Pr="00C53AF7" w:rsidRDefault="002C0841" w:rsidP="00E7584F">
            <w:pPr>
              <w:ind w:firstLine="0"/>
              <w:contextualSpacing/>
            </w:pPr>
            <w:r w:rsidRPr="00C53AF7">
              <w:t>1,4÷1,85 МПа</w:t>
            </w: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Pr="00C53AF7" w:rsidRDefault="002C0841" w:rsidP="00E7584F">
            <w:pPr>
              <w:ind w:firstLine="0"/>
              <w:contextualSpacing/>
            </w:pPr>
            <w:r w:rsidRPr="00C53AF7">
              <w:lastRenderedPageBreak/>
              <w:t>1,4÷1,85 МПа</w:t>
            </w: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Pr="00C53AF7" w:rsidRDefault="002C0841" w:rsidP="00E7584F">
            <w:pPr>
              <w:ind w:firstLine="0"/>
              <w:contextualSpacing/>
            </w:pPr>
            <w:r w:rsidRPr="00C53AF7">
              <w:t>1,4÷1,85 МПа</w:t>
            </w:r>
          </w:p>
          <w:p w:rsidR="002C0841" w:rsidRPr="00C53AF7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</w:pP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lastRenderedPageBreak/>
              <w:t>На трубопроводе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щите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lastRenderedPageBreak/>
              <w:t>На щите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трубопроводе</w:t>
            </w:r>
          </w:p>
          <w:p w:rsidR="002C0841" w:rsidRDefault="002C0841" w:rsidP="00E7584F">
            <w:pPr>
              <w:ind w:firstLine="0"/>
            </w:pPr>
          </w:p>
        </w:tc>
        <w:tc>
          <w:tcPr>
            <w:tcW w:w="5528" w:type="dxa"/>
          </w:tcPr>
          <w:p w:rsidR="002C0841" w:rsidRDefault="002C0841" w:rsidP="00E7584F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основан на </w:t>
            </w:r>
            <w:r>
              <w:t>тензорезистивный принцип</w:t>
            </w:r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6 МПа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>
              <w:t>Ниппель для соединения по наружному диаметру трубы 14 мм.</w:t>
            </w:r>
            <w:r w:rsidRPr="00C74410">
              <w:rPr>
                <w:szCs w:val="28"/>
              </w:rPr>
              <w:t xml:space="preserve">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2C0841" w:rsidRPr="00C74410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202х98х128 мм.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lastRenderedPageBreak/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>RP810 является регулятором давления «после себя» с пилотным управлением. Конструкция включает в себя основной 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lastRenderedPageBreak/>
              <w:t>150TG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150TG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  <w:r w:rsidRPr="001F7A2E">
              <w:rPr>
                <w:szCs w:val="28"/>
              </w:rPr>
              <w:lastRenderedPageBreak/>
              <w:t>ТРМ210</w:t>
            </w: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 w:rsidRPr="00A66A4B">
              <w:rPr>
                <w:lang w:val="en-US"/>
              </w:rPr>
              <w:t>RP</w:t>
            </w:r>
            <w:r w:rsidRPr="00A66A4B">
              <w:t>810</w:t>
            </w: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  <w:r>
              <w:t>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lastRenderedPageBreak/>
              <w:t>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3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lastRenderedPageBreak/>
              <w:t>Челябинск, Метран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Челябинск, Метран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lastRenderedPageBreak/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Pr="00934B5E" w:rsidRDefault="002C0841" w:rsidP="00E7584F">
            <w:pPr>
              <w:ind w:firstLine="0"/>
              <w:jc w:val="left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</w:p>
          <w:p w:rsidR="002C0841" w:rsidRPr="00934B5E" w:rsidRDefault="002C0841" w:rsidP="00E7584F">
            <w:pPr>
              <w:ind w:firstLine="0"/>
              <w:jc w:val="left"/>
            </w:pPr>
            <w:r w:rsidRPr="00934B5E">
              <w:t>Mankenberg</w:t>
            </w:r>
          </w:p>
          <w:p w:rsidR="002C0841" w:rsidRDefault="002C0841" w:rsidP="00E7584F">
            <w:pPr>
              <w:ind w:firstLine="0"/>
              <w:jc w:val="left"/>
            </w:pPr>
          </w:p>
        </w:tc>
        <w:tc>
          <w:tcPr>
            <w:tcW w:w="815" w:type="dxa"/>
          </w:tcPr>
          <w:p w:rsidR="002C0841" w:rsidRDefault="002C0841" w:rsidP="00E7584F">
            <w:pPr>
              <w:ind w:firstLine="0"/>
            </w:pPr>
          </w:p>
        </w:tc>
      </w:tr>
      <w:tr w:rsidR="002C0841" w:rsidTr="00E7584F">
        <w:tc>
          <w:tcPr>
            <w:tcW w:w="1271" w:type="dxa"/>
          </w:tcPr>
          <w:p w:rsidR="002C0841" w:rsidRDefault="002C0841" w:rsidP="00E7584F">
            <w:pPr>
              <w:ind w:firstLine="0"/>
            </w:pPr>
            <w:r>
              <w:lastRenderedPageBreak/>
              <w:t>5-1, 7-1, 13-1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5-2, 7-2, 13-2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5-3, 7-3, 13-3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5-4, 7-4, 13-4</w:t>
            </w: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</w:pPr>
            <w:r>
              <w:lastRenderedPageBreak/>
              <w:t>Температура пропилена и пропана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 xml:space="preserve">Температура </w:t>
            </w:r>
            <w:r>
              <w:lastRenderedPageBreak/>
              <w:t>пропилена и пропана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Температура пропилена и пропана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Температура пропилена и пропана</w:t>
            </w: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</w:pPr>
            <w:r>
              <w:lastRenderedPageBreak/>
              <w:t>38-55</w:t>
            </w:r>
            <w:r w:rsidRPr="00C50801">
              <w:t>°С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38-55</w:t>
            </w:r>
            <w:r w:rsidRPr="00C50801">
              <w:t>°С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38-55</w:t>
            </w:r>
            <w:r w:rsidRPr="00C50801">
              <w:t>°С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Pr="00C50801" w:rsidRDefault="002C0841" w:rsidP="00E7584F">
            <w:pPr>
              <w:ind w:firstLine="0"/>
            </w:pPr>
            <w:r>
              <w:t>38-55</w:t>
            </w:r>
            <w:r w:rsidRPr="00C50801">
              <w:t>°С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lastRenderedPageBreak/>
              <w:t>На колонне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щите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щите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трубопроводе</w:t>
            </w:r>
          </w:p>
          <w:p w:rsidR="002C0841" w:rsidRDefault="002C0841" w:rsidP="00E7584F">
            <w:pPr>
              <w:ind w:firstLine="0"/>
            </w:pPr>
          </w:p>
        </w:tc>
        <w:tc>
          <w:tcPr>
            <w:tcW w:w="5528" w:type="dxa"/>
          </w:tcPr>
          <w:p w:rsidR="002C0841" w:rsidRPr="00C74410" w:rsidRDefault="002C0841" w:rsidP="00E7584F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</w:t>
            </w:r>
            <w:r w:rsidRPr="003D0435">
              <w:rPr>
                <w:szCs w:val="28"/>
              </w:rPr>
              <w:t xml:space="preserve">термоэлектрическом эффекте или эффекте </w:t>
            </w:r>
            <w:proofErr w:type="spellStart"/>
            <w:r w:rsidRPr="003D0435">
              <w:rPr>
                <w:szCs w:val="28"/>
              </w:rPr>
              <w:t>Зеебека</w:t>
            </w:r>
            <w:proofErr w:type="spellEnd"/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180</w:t>
            </w:r>
            <w:r w:rsidRPr="003D0435">
              <w:rPr>
                <w:szCs w:val="28"/>
              </w:rPr>
              <w:t>°С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Номинал фланца </w:t>
            </w:r>
            <w:r w:rsidRPr="003D0435">
              <w:rPr>
                <w:szCs w:val="28"/>
              </w:rPr>
              <w:t>нержавеющая сталь 12Х18Н10, исполнение</w:t>
            </w:r>
            <w:r>
              <w:t xml:space="preserve"> E </w:t>
            </w:r>
            <w:proofErr w:type="spellStart"/>
            <w:r>
              <w:t>пo</w:t>
            </w:r>
            <w:proofErr w:type="spellEnd"/>
            <w:r>
              <w:t xml:space="preserve"> ГOСT 33259-15</w:t>
            </w:r>
            <w:r w:rsidRPr="00C74410">
              <w:rPr>
                <w:szCs w:val="28"/>
              </w:rPr>
              <w:t>.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2C0841" w:rsidRPr="00C74410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</w:t>
            </w:r>
            <w:r>
              <w:rPr>
                <w:szCs w:val="28"/>
              </w:rPr>
              <w:lastRenderedPageBreak/>
              <w:t xml:space="preserve">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276х95х95 мм.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Pr="00C74410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>RP810 является регулятором давления «после себя» с пилотным управлением. Конструкция включает в себя основной 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2C0841" w:rsidRPr="003D0435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271</w:t>
            </w:r>
            <w:r w:rsidRPr="003D0435">
              <w:rPr>
                <w:szCs w:val="28"/>
              </w:rPr>
              <w:t>- ТС</w:t>
            </w: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271</w:t>
            </w:r>
            <w:r w:rsidRPr="003D0435">
              <w:rPr>
                <w:szCs w:val="28"/>
              </w:rPr>
              <w:t>- ТС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  <w:r w:rsidRPr="001F7A2E">
              <w:rPr>
                <w:szCs w:val="28"/>
              </w:rPr>
              <w:t>ТРМ210</w:t>
            </w:r>
          </w:p>
          <w:p w:rsidR="002C0841" w:rsidRPr="00A66A4B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 w:rsidRPr="00A66A4B">
              <w:rPr>
                <w:lang w:val="en-US"/>
              </w:rPr>
              <w:t>RP</w:t>
            </w:r>
            <w:r w:rsidRPr="00A66A4B">
              <w:t>810</w:t>
            </w: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  <w:r>
              <w:t>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3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lastRenderedPageBreak/>
              <w:t>Челябинск, Метран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 xml:space="preserve">Челябинск, </w:t>
            </w:r>
            <w:r>
              <w:lastRenderedPageBreak/>
              <w:t>Метран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Pr="00934B5E" w:rsidRDefault="002C0841" w:rsidP="00E7584F">
            <w:pPr>
              <w:ind w:firstLine="0"/>
              <w:jc w:val="left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  <w:r w:rsidRPr="00934B5E">
              <w:t>Mankenberg</w:t>
            </w:r>
          </w:p>
          <w:p w:rsidR="002C0841" w:rsidRDefault="002C0841" w:rsidP="00E7584F">
            <w:pPr>
              <w:ind w:firstLine="0"/>
            </w:pPr>
          </w:p>
        </w:tc>
        <w:tc>
          <w:tcPr>
            <w:tcW w:w="815" w:type="dxa"/>
          </w:tcPr>
          <w:p w:rsidR="002C0841" w:rsidRDefault="002C0841" w:rsidP="00E7584F">
            <w:pPr>
              <w:ind w:firstLine="0"/>
            </w:pPr>
          </w:p>
        </w:tc>
      </w:tr>
      <w:tr w:rsidR="002C0841" w:rsidTr="00E7584F">
        <w:tc>
          <w:tcPr>
            <w:tcW w:w="1271" w:type="dxa"/>
          </w:tcPr>
          <w:p w:rsidR="002C0841" w:rsidRDefault="002C0841" w:rsidP="00E7584F">
            <w:pPr>
              <w:ind w:firstLine="0"/>
            </w:pPr>
            <w:r>
              <w:lastRenderedPageBreak/>
              <w:t>16-1, 17-1, 18-1, 19-1, 24-1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16-2, 17-2, 18-2, 19-2, 24-2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16-3, 17-3, 18-3, 19-3, 24-3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16-4, 17-4, 18-4, 19-4, 24-4</w:t>
            </w: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</w:pPr>
            <w:r>
              <w:lastRenderedPageBreak/>
              <w:t>Температура пропилена и пропана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Температура пропилена и пропана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Температура пропилена и пропана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Температура пропилена и пропана</w:t>
            </w:r>
          </w:p>
        </w:tc>
        <w:tc>
          <w:tcPr>
            <w:tcW w:w="1276" w:type="dxa"/>
          </w:tcPr>
          <w:p w:rsidR="002C0841" w:rsidRDefault="002C0841" w:rsidP="00E7584F">
            <w:pPr>
              <w:ind w:firstLine="0"/>
              <w:contextualSpacing/>
            </w:pPr>
            <w:r>
              <w:lastRenderedPageBreak/>
              <w:t>40-100</w:t>
            </w:r>
            <w:r w:rsidRPr="00C50801">
              <w:t>°С</w:t>
            </w: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  <w:r>
              <w:t>40-100</w:t>
            </w:r>
            <w:r w:rsidRPr="00C50801">
              <w:t>°С</w:t>
            </w: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  <w:r>
              <w:t>40-100</w:t>
            </w:r>
            <w:r w:rsidRPr="00C50801">
              <w:t>°С</w:t>
            </w: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</w:p>
          <w:p w:rsidR="002C0841" w:rsidRDefault="002C0841" w:rsidP="00E7584F">
            <w:pPr>
              <w:ind w:firstLine="0"/>
              <w:contextualSpacing/>
            </w:pPr>
            <w:r>
              <w:t>40-100</w:t>
            </w:r>
            <w:r w:rsidRPr="00C50801">
              <w:t>°С</w:t>
            </w:r>
          </w:p>
          <w:p w:rsidR="002C0841" w:rsidRPr="00C53AF7" w:rsidRDefault="002C0841" w:rsidP="00E7584F">
            <w:pPr>
              <w:ind w:firstLine="0"/>
              <w:contextualSpacing/>
            </w:pP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lastRenderedPageBreak/>
              <w:t>На трубопроводе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щите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щите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На трубопроводе</w:t>
            </w:r>
          </w:p>
          <w:p w:rsidR="002C0841" w:rsidRDefault="002C0841" w:rsidP="00E7584F">
            <w:pPr>
              <w:ind w:firstLine="0"/>
            </w:pPr>
          </w:p>
        </w:tc>
        <w:tc>
          <w:tcPr>
            <w:tcW w:w="5528" w:type="dxa"/>
          </w:tcPr>
          <w:p w:rsidR="002C0841" w:rsidRPr="00C74410" w:rsidRDefault="002C0841" w:rsidP="00E7584F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</w:t>
            </w:r>
            <w:r w:rsidRPr="003D0435">
              <w:rPr>
                <w:szCs w:val="28"/>
              </w:rPr>
              <w:t xml:space="preserve">термоэлектрическом эффекте или эффекте </w:t>
            </w:r>
            <w:proofErr w:type="spellStart"/>
            <w:r w:rsidRPr="003D0435">
              <w:rPr>
                <w:szCs w:val="28"/>
              </w:rPr>
              <w:t>Зеебека</w:t>
            </w:r>
            <w:proofErr w:type="spellEnd"/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180</w:t>
            </w:r>
            <w:r w:rsidRPr="003D0435">
              <w:rPr>
                <w:szCs w:val="28"/>
              </w:rPr>
              <w:t>°С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Номинал фланца </w:t>
            </w:r>
            <w:r w:rsidRPr="003D0435">
              <w:rPr>
                <w:szCs w:val="28"/>
              </w:rPr>
              <w:t>нержавеющая сталь 12Х18Н10, исполнение</w:t>
            </w:r>
            <w:r>
              <w:t xml:space="preserve"> </w:t>
            </w:r>
            <w:r>
              <w:lastRenderedPageBreak/>
              <w:t xml:space="preserve">E </w:t>
            </w:r>
            <w:proofErr w:type="spellStart"/>
            <w:r>
              <w:t>пo</w:t>
            </w:r>
            <w:proofErr w:type="spellEnd"/>
            <w:r>
              <w:t xml:space="preserve"> ГOСT 33259-15</w:t>
            </w:r>
            <w:r w:rsidRPr="00C74410">
              <w:rPr>
                <w:szCs w:val="28"/>
              </w:rPr>
              <w:t>.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2C0841" w:rsidRPr="00C74410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276х95х95 мм.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Pr="00C74410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>RP810 является регулятором давления «после себя» с пилотным управлением. Конструкция включает в себя основной 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lastRenderedPageBreak/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2C0841" w:rsidRPr="003D0435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271</w:t>
            </w:r>
            <w:r w:rsidRPr="003D0435">
              <w:rPr>
                <w:szCs w:val="28"/>
              </w:rPr>
              <w:t>- ТС</w:t>
            </w: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Pr="003D0435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271</w:t>
            </w:r>
            <w:r w:rsidRPr="003D0435">
              <w:rPr>
                <w:szCs w:val="28"/>
              </w:rPr>
              <w:t>- ТС</w:t>
            </w: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  <w:rPr>
                <w:szCs w:val="28"/>
              </w:rPr>
            </w:pPr>
          </w:p>
          <w:p w:rsidR="002C0841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  <w:r w:rsidRPr="001F7A2E">
              <w:rPr>
                <w:szCs w:val="28"/>
              </w:rPr>
              <w:t>ТРМ210</w:t>
            </w:r>
          </w:p>
          <w:p w:rsidR="002C0841" w:rsidRPr="00A66A4B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Pr="00A66A4B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 w:rsidRPr="00A66A4B">
              <w:rPr>
                <w:lang w:val="en-US"/>
              </w:rPr>
              <w:t>RP</w:t>
            </w:r>
            <w:r w:rsidRPr="00A66A4B">
              <w:t>810</w:t>
            </w: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</w:p>
        </w:tc>
        <w:tc>
          <w:tcPr>
            <w:tcW w:w="709" w:type="dxa"/>
          </w:tcPr>
          <w:p w:rsidR="002C0841" w:rsidRDefault="002C0841" w:rsidP="00E7584F">
            <w:pPr>
              <w:ind w:firstLine="0"/>
            </w:pPr>
            <w:r>
              <w:t>5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5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5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:rsidR="002C0841" w:rsidRDefault="002C0841" w:rsidP="00E7584F">
            <w:pPr>
              <w:ind w:firstLine="0"/>
            </w:pPr>
            <w:r>
              <w:lastRenderedPageBreak/>
              <w:t>Челябинск, Метран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>Челябинск, Метран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</w:p>
          <w:p w:rsidR="002C0841" w:rsidRDefault="002C0841" w:rsidP="00E7584F">
            <w:pPr>
              <w:ind w:firstLine="0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  <w:r w:rsidRPr="00934B5E">
              <w:t>Mankenberg</w:t>
            </w:r>
          </w:p>
        </w:tc>
        <w:tc>
          <w:tcPr>
            <w:tcW w:w="815" w:type="dxa"/>
          </w:tcPr>
          <w:p w:rsidR="002C0841" w:rsidRDefault="002C0841" w:rsidP="00E7584F">
            <w:pPr>
              <w:ind w:firstLine="0"/>
            </w:pPr>
          </w:p>
        </w:tc>
      </w:tr>
    </w:tbl>
    <w:p w:rsidR="00E334F8" w:rsidRDefault="00E334F8" w:rsidP="00E334F8">
      <w:pPr>
        <w:spacing w:line="360" w:lineRule="auto"/>
        <w:rPr>
          <w:szCs w:val="28"/>
        </w:rPr>
      </w:pPr>
    </w:p>
    <w:p w:rsidR="002C0841" w:rsidRPr="00E334F8" w:rsidRDefault="00E334F8" w:rsidP="00E334F8">
      <w:pPr>
        <w:spacing w:after="160" w:line="259" w:lineRule="auto"/>
        <w:ind w:firstLine="0"/>
        <w:jc w:val="left"/>
        <w:rPr>
          <w:szCs w:val="28"/>
        </w:rPr>
        <w:sectPr w:rsidR="002C0841" w:rsidRPr="00E334F8" w:rsidSect="00E334F8">
          <w:pgSz w:w="16838" w:h="11906" w:orient="landscape" w:code="9"/>
          <w:pgMar w:top="1134" w:right="1134" w:bottom="851" w:left="1134" w:header="709" w:footer="709" w:gutter="0"/>
          <w:cols w:space="708"/>
          <w:docGrid w:linePitch="360"/>
        </w:sectPr>
      </w:pPr>
      <w:r>
        <w:rPr>
          <w:szCs w:val="28"/>
        </w:rPr>
        <w:br w:type="page"/>
      </w:r>
    </w:p>
    <w:p w:rsidR="002C0841" w:rsidRDefault="002C0841" w:rsidP="00E334F8">
      <w:pPr>
        <w:spacing w:line="360" w:lineRule="auto"/>
      </w:pPr>
      <w:r w:rsidRPr="002C0841">
        <w:lastRenderedPageBreak/>
        <w:t>Эксплуатация и обслуживание средств измерения и автоматики, автоматических и мехатронных систем управления является важным аспектом обеспечения их надежной работы и продолжительного срока службы. Вот несколько советов по эксплуатации и обслуживанию этих систем:</w:t>
      </w:r>
    </w:p>
    <w:p w:rsidR="002C0841" w:rsidRDefault="002C0841" w:rsidP="00E334F8">
      <w:pPr>
        <w:spacing w:line="360" w:lineRule="auto"/>
      </w:pPr>
      <w:r w:rsidRPr="002C0841">
        <w:t>Регулярное техническое обслуживание является необходимым для поддержания работоспособности средств измерения и автоматики, автоматических и мехатронных систем управления. В процессе обслуживания необходимо проверять работу системы, заменять изношенные детали, очищать и проверять качество контактов.</w:t>
      </w:r>
    </w:p>
    <w:p w:rsidR="002C0841" w:rsidRDefault="002C0841" w:rsidP="00E334F8">
      <w:pPr>
        <w:spacing w:line="360" w:lineRule="auto"/>
      </w:pPr>
      <w:r w:rsidRPr="002C0841">
        <w:t>Следует обеспечивать защиту системы от перегрузок или коротких замыканий, что может повредить систему управления. Для этого необходимо устанавливать предохранители и реле перегрузки в соответствии с требованиями производителя.</w:t>
      </w:r>
    </w:p>
    <w:p w:rsidR="002C0841" w:rsidRDefault="002C0841" w:rsidP="00E334F8">
      <w:pPr>
        <w:spacing w:line="360" w:lineRule="auto"/>
      </w:pPr>
      <w:r w:rsidRPr="002C0841">
        <w:t>Следует хранить и эксплуатировать средства измерения и автоматики, автоматические и мехатронные системы управления в соответствии с требованиями производителя. Необходимо избегать экстремальных условий, таких как высокая температура, влажность и пыль.</w:t>
      </w:r>
    </w:p>
    <w:p w:rsidR="002C0841" w:rsidRDefault="002C0841" w:rsidP="00E334F8">
      <w:pPr>
        <w:spacing w:line="360" w:lineRule="auto"/>
      </w:pPr>
      <w:r w:rsidRPr="002C0841">
        <w:t>Средства измерения и автоматики должны периодически калиброваться, чтобы обеспечить точность измерений. Калибровку необходимо проводить в соответствии с требованиями производителя.</w:t>
      </w:r>
    </w:p>
    <w:p w:rsidR="002C0841" w:rsidRDefault="002C0841" w:rsidP="00E334F8">
      <w:pPr>
        <w:spacing w:line="360" w:lineRule="auto"/>
      </w:pPr>
      <w:r w:rsidRPr="002C0841">
        <w:t>Персонал, работающий с средствами измерения и автоматики, должен быть обучен правильной эксплуатации и обслуживанию системы. Они должны знать, как проводить регулярное техническое обслуживание, как обеспечивать защиту системы от перегрузок и коротких замыканий, а также как правильно хранить и эксплуатировать систему.</w:t>
      </w:r>
    </w:p>
    <w:p w:rsidR="002C0841" w:rsidRDefault="002C0841" w:rsidP="002C0841">
      <w:pPr>
        <w:spacing w:line="360" w:lineRule="auto"/>
      </w:pPr>
      <w:r w:rsidRPr="002C0841">
        <w:t>Система управления должна быть регулярно резервирована, чтобы обеспечить сохранность данных в случае сбоев или отказов в работе системы.</w:t>
      </w:r>
    </w:p>
    <w:p w:rsidR="002C0841" w:rsidRDefault="002C0841" w:rsidP="002C0841">
      <w:pPr>
        <w:spacing w:line="360" w:lineRule="auto"/>
      </w:pPr>
      <w:r w:rsidRPr="002C0841">
        <w:t xml:space="preserve">При эксплуатации и обслуживании средств измерения и автоматики, автоматических и мехатронных систем управления необходимо соблюдать правила </w:t>
      </w:r>
      <w:r w:rsidRPr="002C0841">
        <w:lastRenderedPageBreak/>
        <w:t>безопасности, такие как отключение электропитания перед проведением ремонтных работ и использование средств индивидуальной защиты.</w:t>
      </w:r>
    </w:p>
    <w:p w:rsidR="002C0841" w:rsidRPr="002C0841" w:rsidRDefault="002C0841" w:rsidP="00E334F8">
      <w:pPr>
        <w:spacing w:line="360" w:lineRule="auto"/>
      </w:pPr>
      <w:r w:rsidRPr="002C0841">
        <w:t>Правильная эксплуатация и обслуживание средств измерения и автоматики, автоматических и мехатронных систем управления обеспечивает надежную работу системы и продолжительный срок ее службы.</w:t>
      </w:r>
    </w:p>
    <w:p w:rsidR="002C0841" w:rsidRPr="002C0841" w:rsidRDefault="002C0841" w:rsidP="002C0841">
      <w:pPr>
        <w:spacing w:line="360" w:lineRule="auto"/>
      </w:pPr>
      <w:r w:rsidRPr="002C0841">
        <w:br w:type="page"/>
      </w:r>
    </w:p>
    <w:p w:rsidR="0043765B" w:rsidRDefault="0043765B" w:rsidP="00E334F8">
      <w:pPr>
        <w:spacing w:line="360" w:lineRule="auto"/>
        <w:rPr>
          <w:b/>
        </w:rPr>
      </w:pPr>
      <w:r w:rsidRPr="0043765B">
        <w:rPr>
          <w:b/>
          <w:lang w:eastAsia="ru-RU"/>
        </w:rPr>
        <w:lastRenderedPageBreak/>
        <w:t xml:space="preserve">4 </w:t>
      </w:r>
      <w:r w:rsidRPr="0043765B">
        <w:rPr>
          <w:b/>
        </w:rPr>
        <w:t>ИЗУЧЕНИЕ ОРГАНИЗАЦИИ РАБОТ ПО МОНТАЖУ, РЕМОНТУ И НАЛАДКЕ СРЕДСТВ ИЗМЕРЕНИЙ, СИСТЕМ АВТОМАТИЗАЦИИ, МЕХАТРОННЫХ СИСТЕМ</w:t>
      </w:r>
    </w:p>
    <w:p w:rsidR="009548F5" w:rsidRDefault="002C0841" w:rsidP="00E334F8">
      <w:pPr>
        <w:spacing w:line="360" w:lineRule="auto"/>
      </w:pPr>
      <w:r w:rsidRPr="002C0841">
        <w:t xml:space="preserve">КИПиА (Комплексные Информационно-Производственные Автоматизированные системы) - это сложные системы, которые включают в себя множество компонентов и подсистем. Их ремонт может быть довольно сложным и требует организации соответствующих мероприятий. </w:t>
      </w:r>
    </w:p>
    <w:p w:rsidR="009548F5" w:rsidRDefault="002C0841" w:rsidP="00E334F8">
      <w:pPr>
        <w:spacing w:line="360" w:lineRule="auto"/>
      </w:pPr>
      <w:r w:rsidRPr="002C0841">
        <w:t>Проведите диагностику системы, чтобы определить, какие компоненты нуждаются в ремонте или замене. Это может включать в себя тестирование оборудования, проверку подключений и т.д.</w:t>
      </w:r>
    </w:p>
    <w:p w:rsidR="009548F5" w:rsidRDefault="002C0841" w:rsidP="00E334F8">
      <w:pPr>
        <w:spacing w:line="360" w:lineRule="auto"/>
      </w:pPr>
      <w:r w:rsidRPr="002C0841">
        <w:t>Определите приоритетность ремонта. Если система содержит несколько компонентов, которые нуждаются в ремонте, установите приоритеты в соответствии с их важностью для продолжения работы системы.</w:t>
      </w:r>
    </w:p>
    <w:p w:rsidR="009548F5" w:rsidRDefault="002C0841" w:rsidP="00E334F8">
      <w:pPr>
        <w:spacing w:line="360" w:lineRule="auto"/>
      </w:pPr>
      <w:r w:rsidRPr="002C0841">
        <w:t>Определите бюджет на ремонт. После того, как вы определили, какие компоненты нуждаются в ремонте, определите, сколько это будет стоить. Это поможет вам определить, сколько времени и ресурсов потребуется для ремонта.</w:t>
      </w:r>
    </w:p>
    <w:p w:rsidR="009548F5" w:rsidRDefault="002C0841" w:rsidP="00E334F8">
      <w:pPr>
        <w:spacing w:line="360" w:lineRule="auto"/>
      </w:pPr>
      <w:r w:rsidRPr="002C0841">
        <w:t>Назначьте ответственного за ремонт. Это может быть один человек или группа людей, которые будут отвечать за организацию и проведение ремонта.</w:t>
      </w:r>
    </w:p>
    <w:p w:rsidR="009548F5" w:rsidRDefault="002C0841" w:rsidP="00E334F8">
      <w:pPr>
        <w:spacing w:line="360" w:lineRule="auto"/>
      </w:pPr>
      <w:r w:rsidRPr="002C0841">
        <w:t>Составьте график ремонта. Он должен включать в себя даты начала и окончания ремонта, а также даты, когда система будет недоступна для использования.</w:t>
      </w:r>
    </w:p>
    <w:p w:rsidR="009548F5" w:rsidRDefault="002C0841" w:rsidP="00E334F8">
      <w:pPr>
        <w:spacing w:line="360" w:lineRule="auto"/>
      </w:pPr>
      <w:r w:rsidRPr="002C0841">
        <w:t>После того, как ремонт будет завершен, система должна быть протестирована, чтобы убедиться, что все работает правильно.</w:t>
      </w:r>
    </w:p>
    <w:p w:rsidR="002C0841" w:rsidRDefault="002C0841" w:rsidP="00E334F8">
      <w:pPr>
        <w:spacing w:line="360" w:lineRule="auto"/>
      </w:pPr>
      <w:r w:rsidRPr="002C0841">
        <w:t>График ремонта КИПиА может быть различным в зависимости от многих факторов, таких как размер системы, количество компонентов, которые нуждаются в ремонте, бюджет и т.д. Но в любом случае он должен быть составлен таким образом, чтобы минимизировать простои системы и обеспечить ее надежную работу.</w:t>
      </w:r>
    </w:p>
    <w:p w:rsidR="009548F5" w:rsidRDefault="009548F5" w:rsidP="00E334F8">
      <w:pPr>
        <w:spacing w:line="360" w:lineRule="auto"/>
      </w:pPr>
      <w:r w:rsidRPr="009548F5">
        <w:t xml:space="preserve">Технические паспорта на оборудование. Это документы, которые содержат информацию о технических характеристиках оборудования, его производителе, </w:t>
      </w:r>
      <w:r w:rsidRPr="009548F5">
        <w:lastRenderedPageBreak/>
        <w:t>дате производства и т.д. Они могут использоваться для проведения диагностики и планирования ремонтных работ.</w:t>
      </w:r>
    </w:p>
    <w:p w:rsidR="009548F5" w:rsidRPr="009548F5" w:rsidRDefault="009548F5" w:rsidP="00E334F8">
      <w:pPr>
        <w:spacing w:line="360" w:lineRule="auto"/>
      </w:pPr>
      <w:r w:rsidRPr="009548F5">
        <w:t>Инструкции по эксплуатации. Это документы, которые содержат информацию о том, как правильно использовать оборудование, а также рекомендации по проведению ремонта и техническому обслуживанию. Они могут использоваться для обучения персонала и обеспечения правильного выполнения работ.</w:t>
      </w:r>
    </w:p>
    <w:p w:rsidR="009548F5" w:rsidRPr="009548F5" w:rsidRDefault="009548F5" w:rsidP="00E334F8">
      <w:pPr>
        <w:spacing w:line="360" w:lineRule="auto"/>
      </w:pPr>
      <w:r w:rsidRPr="009548F5">
        <w:t>Спецификации материалов. Это документы, которые содержат информацию о материалах, которые используются для ремонта, например, детали, запасные части, крепежные элементы и т.д. Они могут использоваться для планирования закупок и контроля качества материалов.</w:t>
      </w:r>
    </w:p>
    <w:p w:rsidR="009548F5" w:rsidRDefault="009548F5" w:rsidP="00E334F8">
      <w:pPr>
        <w:spacing w:line="360" w:lineRule="auto"/>
      </w:pPr>
      <w:r w:rsidRPr="009548F5">
        <w:t>Руководства по безопасности. Это документы, которые содержат информацию о том, как правильно и безопасно проводить ремонтные работы. Они могут использоваться для обучения персонала и обеспечения соблюдения правил безопасности.</w:t>
      </w:r>
    </w:p>
    <w:p w:rsidR="00DB21D2" w:rsidRPr="00EC3457" w:rsidRDefault="00DB21D2" w:rsidP="00E334F8">
      <w:pPr>
        <w:spacing w:line="360" w:lineRule="auto"/>
      </w:pPr>
      <w:r w:rsidRPr="00EC3457">
        <w:t>Монтаж приборов и систем автоматизации представляет собой сложный комплекс работ, выполняемый в соответствии с проектом и действующими техническими условиями. Работы по монтажу производятся в соответствии с утвержденной рабочей документацией со штампом «К производству работ», проектом производства работ (ППР) или другим, заменяющим его документом, технологическими картами, а также с технической документацией предприятий-изготовителей.</w:t>
      </w:r>
    </w:p>
    <w:p w:rsidR="00DB21D2" w:rsidRPr="00EC3457" w:rsidRDefault="00DB21D2" w:rsidP="00E334F8">
      <w:pPr>
        <w:spacing w:line="360" w:lineRule="auto"/>
      </w:pPr>
      <w:r w:rsidRPr="00EC3457">
        <w:t>На первой стадии</w:t>
      </w:r>
      <w:r>
        <w:t xml:space="preserve"> </w:t>
      </w:r>
      <w:r w:rsidRPr="00EC3457">
        <w:t xml:space="preserve">следует выполнять: заготовку монтажных конструкций, узлов и блоков, элементов электропроводок и их укрупнительную сборку вне зоны монтажа; проверку наличия закладных конструкций, проемов, отверстий в строительных конструкциях и элементах зданий, закладных конструкций и отборных устройств на технологическом оборудовании и трубопроводах, наличия заземляющей сети; закладку в сооружаемые фундаменты, стены, полы и перекрытия труб и глухих коробов для скрытых проводок; разметку трасс и </w:t>
      </w:r>
      <w:r w:rsidRPr="00EC3457">
        <w:lastRenderedPageBreak/>
        <w:t>установку опорных и несущих конструкций для электрических и трубных проводок, исполнительных механизмов, приборов.</w:t>
      </w:r>
    </w:p>
    <w:p w:rsidR="00DB21D2" w:rsidRDefault="00DB21D2" w:rsidP="00E334F8">
      <w:pPr>
        <w:spacing w:line="360" w:lineRule="auto"/>
      </w:pPr>
      <w:r>
        <w:t xml:space="preserve">На второй стадии </w:t>
      </w:r>
      <w:r w:rsidRPr="00EC3457">
        <w:t>необходимо выполнять: прокладку трубных и электрических проводок по установленным конструкц</w:t>
      </w:r>
      <w:r>
        <w:t xml:space="preserve">иям, установку щитов, </w:t>
      </w:r>
      <w:proofErr w:type="spellStart"/>
      <w:r>
        <w:t>стативов</w:t>
      </w:r>
      <w:proofErr w:type="spellEnd"/>
      <w:r>
        <w:t xml:space="preserve">, </w:t>
      </w:r>
      <w:r w:rsidRPr="00EC3457">
        <w:t>пультов, приборов и средств автоматизации, подключение к ним трубных и электрических проводок, индивидуальные испытания.</w:t>
      </w:r>
    </w:p>
    <w:p w:rsidR="00DB21D2" w:rsidRDefault="00DB21D2" w:rsidP="00E334F8">
      <w:pPr>
        <w:spacing w:line="360" w:lineRule="auto"/>
      </w:pPr>
      <w:r w:rsidRPr="00EC3457">
        <w:t>Проведение метрологического надзора за средствами измерений осуществляется в соответствии с требованиями нормативных актов в области метрологического контроля.</w:t>
      </w:r>
    </w:p>
    <w:p w:rsidR="00DB21D2" w:rsidRDefault="00DB21D2" w:rsidP="00E334F8">
      <w:pPr>
        <w:spacing w:line="360" w:lineRule="auto"/>
      </w:pPr>
      <w:r w:rsidRPr="00EC3457">
        <w:t>Капитальный ремонт специализированных средств автоматики проводят по мере необходимости на основании технических осмотров и систематического контроля функционирования, анализа состоявшихся отказов и неисправностей.</w:t>
      </w:r>
    </w:p>
    <w:p w:rsidR="00DB21D2" w:rsidRPr="00EC3457" w:rsidRDefault="00DB21D2" w:rsidP="00E334F8">
      <w:pPr>
        <w:spacing w:line="360" w:lineRule="auto"/>
      </w:pPr>
      <w:r w:rsidRPr="00EC3457">
        <w:t xml:space="preserve">Планирование и проведение технического обслуживания и ремонта  средств измерений, устройств автоматики и телемеханики АСУ фиксируются в документации: плане-графике технического обслуживания и ремонта имеющего в наличии парка технических средств; сводном графике ремонта технических средств; протоколах государственной и ведомственной проверок средств измерений; протоколах плановых поверок средств автоматизации, телемеханизации и вычислительной техники; </w:t>
      </w:r>
      <w:proofErr w:type="spellStart"/>
      <w:r w:rsidRPr="00EC3457">
        <w:t>дефектовочных</w:t>
      </w:r>
      <w:proofErr w:type="spellEnd"/>
      <w:r w:rsidRPr="00EC3457">
        <w:t xml:space="preserve"> актах о ремонте устройств;</w:t>
      </w:r>
      <w:r>
        <w:t xml:space="preserve"> </w:t>
      </w:r>
      <w:r w:rsidRPr="00EC3457">
        <w:t>актах приемки устройств из ремонта и наладки; журнале учета технического обслуживания и ремонта устройств.</w:t>
      </w:r>
    </w:p>
    <w:p w:rsidR="00DB21D2" w:rsidRDefault="00DB21D2" w:rsidP="00E334F8">
      <w:pPr>
        <w:spacing w:line="360" w:lineRule="auto"/>
      </w:pPr>
      <w:r w:rsidRPr="00EC3457">
        <w:t>Техническое обслуживание. Комплекс мероприятий по техническому обслуживанию средств автоматиз</w:t>
      </w:r>
      <w:r>
        <w:t>ации включает следующее работы:</w:t>
      </w:r>
    </w:p>
    <w:p w:rsidR="00DB21D2" w:rsidRDefault="00DB21D2" w:rsidP="00E334F8">
      <w:pPr>
        <w:spacing w:line="360" w:lineRule="auto"/>
      </w:pPr>
      <w:r w:rsidRPr="00EC3457">
        <w:t>1) профилактические, направленные на предотвращение отказов (замена элементов, смазочн</w:t>
      </w:r>
      <w:r>
        <w:t>ые и крепежные работы и т. д.);</w:t>
      </w:r>
    </w:p>
    <w:p w:rsidR="00DB21D2" w:rsidRDefault="00DB21D2" w:rsidP="00E334F8">
      <w:pPr>
        <w:spacing w:line="360" w:lineRule="auto"/>
      </w:pPr>
      <w:r w:rsidRPr="00EC3457">
        <w:t>2) связанные с контролем технического состояния, цель которых — проверить соответствие параметров, характеризующих работоспособное состояние устройств автоматики, требованиям нормативно-технической документ</w:t>
      </w:r>
      <w:r>
        <w:t>ации (формуляр, паспорт и др.);</w:t>
      </w:r>
    </w:p>
    <w:p w:rsidR="00DB21D2" w:rsidRDefault="00DB21D2" w:rsidP="00E334F8">
      <w:pPr>
        <w:spacing w:line="360" w:lineRule="auto"/>
      </w:pPr>
      <w:r w:rsidRPr="00EC3457">
        <w:lastRenderedPageBreak/>
        <w:t>3) регулировочные и настроечные, предназначенные для доведения параметров средств автоматизации (блоков, датчиков, узлов) до значений, установленных нормативно-технической документацией.</w:t>
      </w:r>
    </w:p>
    <w:p w:rsidR="00DB21D2" w:rsidRDefault="00DB21D2" w:rsidP="00E334F8">
      <w:pPr>
        <w:spacing w:line="360" w:lineRule="auto"/>
      </w:pPr>
      <w:r>
        <w:br w:type="page"/>
      </w:r>
    </w:p>
    <w:p w:rsidR="0043765B" w:rsidRPr="0043765B" w:rsidRDefault="0043765B" w:rsidP="00E334F8">
      <w:pPr>
        <w:spacing w:line="360" w:lineRule="auto"/>
        <w:rPr>
          <w:b/>
        </w:rPr>
      </w:pPr>
      <w:r w:rsidRPr="0043765B">
        <w:rPr>
          <w:b/>
        </w:rPr>
        <w:lastRenderedPageBreak/>
        <w:t>5 ЭКОНОМИКА И ОРГАНИЗАЦИЯ ПРОИЗВОДСТВА</w:t>
      </w:r>
    </w:p>
    <w:p w:rsidR="009222DE" w:rsidRDefault="009222DE" w:rsidP="00E334F8">
      <w:pPr>
        <w:spacing w:line="360" w:lineRule="auto"/>
        <w:rPr>
          <w:rFonts w:eastAsiaTheme="minorEastAsia"/>
        </w:rPr>
      </w:pPr>
      <w:r>
        <w:t xml:space="preserve">Товарная продукция (ТП) - это продукция, изготовленная в течение определенного времени и предназначенная для реализации за пределами предприятия. </w:t>
      </w:r>
      <m:oMath>
        <m:r>
          <w:rPr>
            <w:rFonts w:ascii="Cambria Math" w:hAnsi="Cambria Math"/>
          </w:rPr>
          <m:t xml:space="preserve">ТП=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стр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пф реал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раб</m:t>
            </m:r>
          </m:sub>
        </m:sSub>
      </m:oMath>
    </w:p>
    <w:p w:rsidR="009222DE" w:rsidRDefault="009222DE" w:rsidP="00E334F8">
      <w:pPr>
        <w:spacing w:line="360" w:lineRule="auto"/>
      </w:pPr>
      <w:r>
        <w:t>Отличается от валовой продукции тем, что в нее не включаются остатки незавершенного производства и внутрихозяйственный оборот.</w:t>
      </w:r>
    </w:p>
    <w:p w:rsidR="009222DE" w:rsidRPr="009222DE" w:rsidRDefault="009222DE" w:rsidP="00E334F8">
      <w:pPr>
        <w:spacing w:line="360" w:lineRule="auto"/>
      </w:pPr>
      <w:r>
        <w:t xml:space="preserve"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 </w:t>
      </w:r>
      <m:oMath>
        <m:r>
          <w:rPr>
            <w:rFonts w:ascii="Cambria Math" w:hAnsi="Cambria Math"/>
          </w:rPr>
          <m:t xml:space="preserve">ВП=ТП+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НП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НП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пф сас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</w:rPr>
              <m:t>зак</m:t>
            </m:r>
          </m:sub>
        </m:sSub>
      </m:oMath>
    </w:p>
    <w:p w:rsidR="009222DE" w:rsidRDefault="009222DE" w:rsidP="00E334F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 xml:space="preserve">на начало и на конец отчетного периода,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9222DE" w:rsidRPr="009222DE" w:rsidRDefault="009222DE" w:rsidP="00E334F8">
      <w:pPr>
        <w:spacing w:line="360" w:lineRule="auto"/>
      </w:pPr>
      <w:r>
        <w:t>Чистая продукция (ЧП</w:t>
      </w:r>
      <w:r w:rsidRPr="00B90002">
        <w:t>) рассчитывается по формуле:</w:t>
      </w:r>
      <w:r>
        <w:t xml:space="preserve"> </w:t>
      </w:r>
      <m:oMath>
        <m:r>
          <w:rPr>
            <w:rFonts w:ascii="Cambria Math" w:hAnsi="Cambria Math"/>
          </w:rPr>
          <m:t xml:space="preserve">ЧП=ТП-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затр</m:t>
            </m:r>
          </m:sub>
        </m:sSub>
      </m:oMath>
    </w:p>
    <w:p w:rsidR="009222DE" w:rsidRDefault="009222DE" w:rsidP="00E334F8">
      <w:pPr>
        <w:spacing w:line="360" w:lineRule="auto"/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ПБ=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др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вр</m:t>
            </m:r>
          </m:sub>
        </m:sSub>
      </m:oMath>
    </w:p>
    <w:p w:rsidR="009222DE" w:rsidRPr="009222DE" w:rsidRDefault="009222DE" w:rsidP="00E334F8">
      <w:pPr>
        <w:spacing w:line="360" w:lineRule="auto"/>
      </w:pPr>
      <w:r>
        <w:t xml:space="preserve">Чистая прибыль (ПЧ) - это прибыль после уплаты — налогов, экономических санкций и отчислений в благотворительные. фонды. </w:t>
      </w:r>
      <w:r w:rsidRPr="00605CA0">
        <w:t>Рассчитывается по формуле:</w:t>
      </w:r>
      <w:r>
        <w:t xml:space="preserve"> </w:t>
      </w:r>
      <m:oMath>
        <m:r>
          <w:rPr>
            <w:rFonts w:ascii="Cambria Math" w:hAnsi="Cambria Math"/>
          </w:rPr>
          <m:t>ПЧ=ПБ-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</w:p>
    <w:p w:rsidR="009222DE" w:rsidRPr="009222DE" w:rsidRDefault="009222DE" w:rsidP="00E334F8">
      <w:pPr>
        <w:spacing w:line="360" w:lineRule="auto"/>
      </w:pPr>
      <w:r>
        <w:t xml:space="preserve">Эффективность работы предприятия обычно выражается в виде отношения стоимости реализованной продукции (РП) к затратам на ее производство (С): </w:t>
      </w:r>
      <m:oMath>
        <m:r>
          <w:rPr>
            <w:rFonts w:ascii="Cambria Math" w:hAnsi="Cambria Math"/>
          </w:rPr>
          <m:t xml:space="preserve">Э=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РП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:rsidR="009222DE" w:rsidRDefault="009222DE" w:rsidP="00E334F8">
      <w:pPr>
        <w:spacing w:line="360" w:lineRule="auto"/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</w:t>
      </w:r>
      <w:r>
        <w:rPr>
          <w:rFonts w:eastAsiaTheme="minorEastAsia"/>
        </w:rPr>
        <w:t>.</w:t>
      </w:r>
    </w:p>
    <w:p w:rsidR="009222DE" w:rsidRPr="009222DE" w:rsidRDefault="009222DE" w:rsidP="00E334F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П</w:t>
      </w:r>
      <w:r w:rsidRPr="00513F33">
        <w:rPr>
          <w:rFonts w:eastAsiaTheme="minorEastAsia"/>
        </w:rPr>
        <w:t>оказателей экономической эффективности деятельности фирмы принимает вид: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Э=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y</m:t>
        </m:r>
      </m:oMath>
    </w:p>
    <w:p w:rsidR="009222DE" w:rsidRPr="00BE10DB" w:rsidRDefault="009222DE" w:rsidP="00E334F8">
      <w:pPr>
        <w:spacing w:line="360" w:lineRule="auto"/>
      </w:pPr>
      <w:r>
        <w:lastRenderedPageBreak/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9222DE" w:rsidRDefault="009222DE" w:rsidP="00E334F8">
      <w:pPr>
        <w:spacing w:line="360" w:lineRule="auto"/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фкг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фнг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фпост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фвыб</m:t>
            </m:r>
          </m:sub>
        </m:sSub>
      </m:oMath>
    </w:p>
    <w:p w:rsidR="009222DE" w:rsidRPr="009222DE" w:rsidRDefault="009222DE" w:rsidP="00E334F8">
      <w:pPr>
        <w:spacing w:line="360" w:lineRule="auto"/>
      </w:pPr>
      <w:r>
        <w:t>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 xml:space="preserve">) определяет отношение стоимости вновь поступивших основных фондов. к стоимости основных фондов. на конец отчетного периода: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пост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фпост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фкг</m:t>
                </m:r>
              </m:sub>
            </m:sSub>
          </m:den>
        </m:f>
      </m:oMath>
    </w:p>
    <w:p w:rsidR="009222DE" w:rsidRPr="00C12DE2" w:rsidRDefault="009222DE" w:rsidP="00E334F8">
      <w:pPr>
        <w:spacing w:line="360" w:lineRule="auto"/>
        <w:rPr>
          <w:rFonts w:eastAsiaTheme="minorEastAsia"/>
        </w:rPr>
      </w:pP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отчетного периода: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выб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фвыб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фнг</m:t>
                </m:r>
              </m:sub>
            </m:sSub>
          </m:den>
        </m:f>
      </m:oMath>
    </w:p>
    <w:p w:rsidR="009222DE" w:rsidRPr="00C2314A" w:rsidRDefault="009222DE" w:rsidP="00E334F8">
      <w:pPr>
        <w:spacing w:line="360" w:lineRule="auto"/>
        <w:rPr>
          <w:rFonts w:eastAsiaTheme="minorEastAsia"/>
        </w:rPr>
      </w:pPr>
      <w:r w:rsidRPr="00B0527A">
        <w:rPr>
          <w:rFonts w:eastAsiaTheme="minorEastAsia"/>
        </w:rPr>
        <w:t>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ин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выб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пост</m:t>
                </m:r>
              </m:sub>
            </m:sSub>
          </m:den>
        </m:f>
      </m:oMath>
    </w:p>
    <w:p w:rsidR="001C67FB" w:rsidRPr="00C2314A" w:rsidRDefault="001C67FB" w:rsidP="00E334F8">
      <w:pPr>
        <w:spacing w:line="360" w:lineRule="auto"/>
        <w:rPr>
          <w:rFonts w:eastAsiaTheme="minorEastAsia"/>
        </w:rPr>
      </w:pPr>
      <w:r w:rsidRPr="001C67FB">
        <w:rPr>
          <w:rFonts w:eastAsiaTheme="minorEastAsia"/>
        </w:rPr>
        <w:t>Коэффициент износа (К) характеризует долю изношенной части основных фондов в</w:t>
      </w:r>
      <w:r>
        <w:rPr>
          <w:rFonts w:eastAsiaTheme="minorEastAsia"/>
        </w:rPr>
        <w:t xml:space="preserve"> общей стоимости основных фондов: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и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ОФ</m:t>
            </m:r>
          </m:den>
        </m:f>
      </m:oMath>
    </w:p>
    <w:p w:rsidR="00504A2A" w:rsidRDefault="00504A2A" w:rsidP="00E334F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C67FB" w:rsidRPr="001C67FB" w:rsidRDefault="001C67FB" w:rsidP="00E334F8">
      <w:pPr>
        <w:spacing w:line="360" w:lineRule="auto"/>
        <w:rPr>
          <w:b/>
        </w:rPr>
      </w:pPr>
      <w:r w:rsidRPr="001C67FB">
        <w:rPr>
          <w:b/>
        </w:rPr>
        <w:lastRenderedPageBreak/>
        <w:t>6 ИЗУЧЕНИЕ ДОЛЖНОСТНЫХ ОБЯЗАННОСТЕЙ МАСТЕРА КИП И А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Организация работы КИПиА (Комплексных Информационно-Производственных Автоматизированных систем) - это важный аспект для обеспечения э</w:t>
      </w:r>
      <w:r>
        <w:rPr>
          <w:rFonts w:eastAsiaTheme="minorEastAsia"/>
        </w:rPr>
        <w:t>ффективной работы производства.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Проведите анализ производственных процессов, чтобы определить, какие задачи могут быть автоматизированы. Это может включать в себя изучение технологических карт, описаний процессов и т.д.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Определите цели и задачи для автоматизации производства. Например, цель может быть увеличение производительности, снижение затрат, повышение качества продукции и т.д.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Определите компоненты КИПиА, которые необходимы для достижения поставленных целей. Это может включать в себя сенсоры, контроллеры, системы управления, базы данных и т.д.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Разработайте план внедрения КИПиА. Он должен включать в себя даты начала и окончания работ, бюджет, список компонентов и т.д.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Подготовьте персонал. Обучение персонала, который будет работать с КИПиА, является очень важным этапом. Он должен знать, как работать с компонентами системы, как проводить техническое обслуживание и т.д.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Установите систему мониторинга и контроля. Для того, чтобы обеспечить эффективную работу КИПиА, необходимо установить систему мониторинга и контроля. Она должна предупреждать о возможных проблемах и помогать быстро реагировать на них.</w:t>
      </w:r>
    </w:p>
    <w:p w:rsidR="009548F5" w:rsidRDefault="009548F5" w:rsidP="009548F5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Проведите регулярное обслуживание и техническое обслуживание. Регулярное обслуживание и техническое обслуживание КИПиА поможет поддерживать его в рабочем состоянии и предотвращать возможные проблемы.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Следите за обновлениями и улучшениями. КИПиА - это динамичная система, которая постоянно развивается. Необходимо следить за новыми разработками и улучшениями, чтобы обеспечивать эффективную работу производства.</w:t>
      </w:r>
    </w:p>
    <w:p w:rsidR="0043765B" w:rsidRP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lastRenderedPageBreak/>
        <w:t>Организация работы КИПиА может быть сложным процессом, который требует тщательной подготовки и планирования. Но правильная организация работы КИПиА поможет обеспечить эффективную и надежную работу производства.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 xml:space="preserve">Планирование, учет и составление отчетности о производственной деятельности - это важные аспекты любого </w:t>
      </w:r>
      <w:r>
        <w:rPr>
          <w:rFonts w:eastAsiaTheme="minorEastAsia"/>
        </w:rPr>
        <w:t>предприятия</w:t>
      </w:r>
      <w:r w:rsidRPr="009548F5">
        <w:rPr>
          <w:rFonts w:eastAsiaTheme="minorEastAsia"/>
        </w:rPr>
        <w:t>. Чтобы эффективно управлять производством, необходимо иметь четкие планы, а также системы учета и отчетности, чтобы отслеживать выполнение планов и принимать решения на основе данных.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Планирование производственной деятельности - это процесс разработки стратегий и тактик для достижения целей производства. Оно включает в себя определение объемов производства, ресурсов, необходимых для производства продукции, распределение задач между сотрудниками, установление сроков выполнения задач и т.д.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Учет производственной деятельности - это система учета всех финансовых и материальных ресурсов, используемых при производстве. Он включает в себя учет затрат на материалы, трудовые ресурсы, оборудование, расходы на энергию и другие ресурсы.</w:t>
      </w:r>
    </w:p>
    <w:p w:rsidR="009548F5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>Составление отчетности о производственной деятельности - это процесс сбора, анализа и представления информации об эффективности производства. Отчетность может включать финансовые отчеты, отчеты о выполнении планов производства, отчеты о затратах на производство и другие отчеты, которые могут быть полезны для принятия решений.</w:t>
      </w:r>
    </w:p>
    <w:p w:rsidR="001C67FB" w:rsidRDefault="009548F5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t xml:space="preserve">Все эти аспекты производственной деятельности важны для эффективного управления </w:t>
      </w:r>
      <w:r w:rsidR="00C70A6B">
        <w:rPr>
          <w:rFonts w:eastAsiaTheme="minorEastAsia"/>
        </w:rPr>
        <w:t>предприятием</w:t>
      </w:r>
      <w:r w:rsidRPr="009548F5">
        <w:rPr>
          <w:rFonts w:eastAsiaTheme="minorEastAsia"/>
        </w:rPr>
        <w:t>. Хорошо спланированная и организованная производственная деятельность, совместимая с системой учета и отчетности, позволяет бизнесу повысить эффективность и улучшить результативность.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 xml:space="preserve">проведение профилактических работ по обеспечению соблюдения техники безопасности и внедрение стандартов начинается с анализа текущего состояния системы безопасности и оценки рисков. На основе результатов анализа и оценки </w:t>
      </w:r>
      <w:r w:rsidRPr="00C70A6B">
        <w:rPr>
          <w:rFonts w:eastAsiaTheme="minorEastAsia"/>
        </w:rPr>
        <w:lastRenderedPageBreak/>
        <w:t>рисков, разрабатывается план профилактических мероприятий, который включает в себя: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>Проведение регулярных проверок и инспекций оборудования, а также контроль за соблюдением правил эксплуатации.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>Проектирование и внедрение систем контроля и управления, которые позволяют своевременно обнаруживать возможные неисправности и аварийные ситуации.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>Разработка и внедрение стандартов безопасности, которые устанавливают правила и требования к оборудованию, процессам и персоналу.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>Организация тренингов и обучающих программ для персонала, которые позволяют повысить уровень знаний и навыков в области техники безопасности.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>Проведение регулярных аудитов и проверок, которые позволяют оценить эффективность внедрения стандартов и мероприятий по обеспечению безопасности.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>Разработка и внедрение системы управления качеством, которая позволяет контролировать процессы и производственные операции, а также обеспечивать соответствие стандартам и требованиям безопасности.</w:t>
      </w:r>
    </w:p>
    <w:p w:rsidR="00C70A6B" w:rsidRPr="009548F5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>Проведение профилактических работ по обеспечению соблюдения техники безопасности и внедрение стандартов является важным шагом для обеспечения безопасности на производстве. Эти мероприятия позволяют снизить риски аварийных ситуаций, улучшить качество продукции и повысить эффективность работы персонала.</w:t>
      </w:r>
    </w:p>
    <w:p w:rsidR="00504A2A" w:rsidRPr="009548F5" w:rsidRDefault="00504A2A" w:rsidP="00E334F8">
      <w:pPr>
        <w:spacing w:line="360" w:lineRule="auto"/>
        <w:rPr>
          <w:rFonts w:eastAsiaTheme="minorEastAsia"/>
        </w:rPr>
      </w:pPr>
      <w:r w:rsidRPr="009548F5">
        <w:rPr>
          <w:rFonts w:eastAsiaTheme="minorEastAsia"/>
        </w:rPr>
        <w:br w:type="page"/>
      </w:r>
    </w:p>
    <w:p w:rsidR="001C67FB" w:rsidRDefault="001C67FB" w:rsidP="00E334F8">
      <w:pPr>
        <w:spacing w:line="360" w:lineRule="auto"/>
        <w:rPr>
          <w:b/>
        </w:rPr>
      </w:pPr>
      <w:r w:rsidRPr="001C67FB">
        <w:rPr>
          <w:b/>
        </w:rPr>
        <w:lastRenderedPageBreak/>
        <w:t>7 ПЛАНИРОВАНИЕ И ОРГАНИЗАЦИЯ СОВМЕСТНОЙ РАБОТЫ ПЕРСОНАЛА СТРУКТУРНОГО ПОДРАЗДЕЛЕНИЯ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 xml:space="preserve">Организация совместной работы предприятия с </w:t>
      </w:r>
      <w:proofErr w:type="spellStart"/>
      <w:r w:rsidRPr="00C70A6B">
        <w:rPr>
          <w:rFonts w:eastAsiaTheme="minorEastAsia"/>
        </w:rPr>
        <w:t>энергослужбой</w:t>
      </w:r>
      <w:proofErr w:type="spellEnd"/>
      <w:r w:rsidRPr="00C70A6B">
        <w:rPr>
          <w:rFonts w:eastAsiaTheme="minorEastAsia"/>
        </w:rPr>
        <w:t xml:space="preserve"> является важным аспектом обеспечения эффективной работы предприятия. Ниже приведены некоторые правила, которые могут помочь в организации совместной работы: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 xml:space="preserve">Установите контакт с представителями </w:t>
      </w:r>
      <w:proofErr w:type="spellStart"/>
      <w:r w:rsidRPr="00C70A6B">
        <w:rPr>
          <w:rFonts w:eastAsiaTheme="minorEastAsia"/>
        </w:rPr>
        <w:t>энергослужбы</w:t>
      </w:r>
      <w:proofErr w:type="spellEnd"/>
      <w:r w:rsidRPr="00C70A6B">
        <w:rPr>
          <w:rFonts w:eastAsiaTheme="minorEastAsia"/>
        </w:rPr>
        <w:t xml:space="preserve">. Определите, кто будет отвечать за взаимодействие с </w:t>
      </w:r>
      <w:proofErr w:type="spellStart"/>
      <w:r w:rsidRPr="00C70A6B">
        <w:rPr>
          <w:rFonts w:eastAsiaTheme="minorEastAsia"/>
        </w:rPr>
        <w:t>энергослужбой</w:t>
      </w:r>
      <w:proofErr w:type="spellEnd"/>
      <w:r w:rsidRPr="00C70A6B">
        <w:rPr>
          <w:rFonts w:eastAsiaTheme="minorEastAsia"/>
        </w:rPr>
        <w:t xml:space="preserve"> со стороны вашего предприятия. Это может быть отдельный сотрудник или команда, которая будет заниматься этим вопросом.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 xml:space="preserve">Определите цели и задачи совместной работы. Установите, какие задачи вы хотите решить в рамках совместной работы с </w:t>
      </w:r>
      <w:proofErr w:type="spellStart"/>
      <w:r w:rsidRPr="00C70A6B">
        <w:rPr>
          <w:rFonts w:eastAsiaTheme="minorEastAsia"/>
        </w:rPr>
        <w:t>энергослужбой</w:t>
      </w:r>
      <w:proofErr w:type="spellEnd"/>
      <w:r w:rsidRPr="00C70A6B">
        <w:rPr>
          <w:rFonts w:eastAsiaTheme="minorEastAsia"/>
        </w:rPr>
        <w:t>. Например, это может быть снижение потребления электроэнергии или воды, улучшение качества энергоснабжения и т.д.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>Составьте план действий. Разработайте конкретный план действий, который будет описывать этапы совместной работы и сроки их выполнения. В плане должны быть указаны все задачи, которые необходимо выполнить, а также ответственные за их выполнение.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 xml:space="preserve">Определите необходимые ресурсы. Определите, какие ресурсы будут необходимы для реализации плана действий. Это </w:t>
      </w:r>
      <w:r w:rsidRPr="00C70A6B">
        <w:rPr>
          <w:rFonts w:eastAsiaTheme="minorEastAsia"/>
        </w:rPr>
        <w:t>может быть,</w:t>
      </w:r>
      <w:r w:rsidRPr="00C70A6B">
        <w:rPr>
          <w:rFonts w:eastAsiaTheme="minorEastAsia"/>
        </w:rPr>
        <w:t xml:space="preserve"> как финансовые ресурсы, так и ресурсы персонала и оборудования.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t xml:space="preserve">Согласуйте план действий с </w:t>
      </w:r>
      <w:proofErr w:type="spellStart"/>
      <w:r w:rsidRPr="00C70A6B">
        <w:rPr>
          <w:rFonts w:eastAsiaTheme="minorEastAsia"/>
        </w:rPr>
        <w:t>энергослужбой</w:t>
      </w:r>
      <w:proofErr w:type="spellEnd"/>
      <w:r w:rsidRPr="00C70A6B">
        <w:rPr>
          <w:rFonts w:eastAsiaTheme="minorEastAsia"/>
        </w:rPr>
        <w:t xml:space="preserve">. После того, как вы разработали план действий, обсудите его с представителями </w:t>
      </w:r>
      <w:proofErr w:type="spellStart"/>
      <w:r w:rsidRPr="00C70A6B">
        <w:rPr>
          <w:rFonts w:eastAsiaTheme="minorEastAsia"/>
        </w:rPr>
        <w:t>энергослужбы</w:t>
      </w:r>
      <w:proofErr w:type="spellEnd"/>
      <w:r w:rsidRPr="00C70A6B">
        <w:rPr>
          <w:rFonts w:eastAsiaTheme="minorEastAsia"/>
        </w:rPr>
        <w:t>. Убедитесь, что они понимают цели и задачи совместной работы, а также что они готовы сотрудничать с вами.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О</w:t>
      </w:r>
      <w:r w:rsidRPr="00C70A6B">
        <w:rPr>
          <w:rFonts w:eastAsiaTheme="minorEastAsia"/>
        </w:rPr>
        <w:t>цените эффективность совместной работы. После выполнения плана действий оцените эффективность совместной работы. Определите, были ли достигнуты поставленные цели и задачи, и какие результаты были достигнуты.</w:t>
      </w:r>
    </w:p>
    <w:p w:rsidR="00C70A6B" w:rsidRDefault="00C70A6B" w:rsidP="00E334F8">
      <w:pPr>
        <w:spacing w:line="360" w:lineRule="auto"/>
        <w:rPr>
          <w:rFonts w:eastAsiaTheme="minorEastAsia"/>
        </w:rPr>
      </w:pPr>
      <w:r w:rsidRPr="00C70A6B">
        <w:rPr>
          <w:rFonts w:eastAsiaTheme="minorEastAsia"/>
        </w:rPr>
        <w:lastRenderedPageBreak/>
        <w:t xml:space="preserve">Проводите регулярные совещания. Для эффективной совместной работы проводите регулярные совещания с представителями </w:t>
      </w:r>
      <w:proofErr w:type="spellStart"/>
      <w:r w:rsidRPr="00C70A6B">
        <w:rPr>
          <w:rFonts w:eastAsiaTheme="minorEastAsia"/>
        </w:rPr>
        <w:t>энергослужбы</w:t>
      </w:r>
      <w:proofErr w:type="spellEnd"/>
      <w:r w:rsidRPr="00C70A6B">
        <w:rPr>
          <w:rFonts w:eastAsiaTheme="minorEastAsia"/>
        </w:rPr>
        <w:t>. Обсуждайте текущие вопросы и проблемы, ищите решения вместе.</w:t>
      </w:r>
    </w:p>
    <w:p w:rsidR="00C70A6B" w:rsidRDefault="00C70A6B" w:rsidP="00C70A6B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C70A6B">
        <w:rPr>
          <w:rFonts w:eastAsiaTheme="minorEastAsia"/>
        </w:rPr>
        <w:t xml:space="preserve">Организация совместной работы предприятия с </w:t>
      </w:r>
      <w:proofErr w:type="spellStart"/>
      <w:r w:rsidRPr="00C70A6B">
        <w:rPr>
          <w:rFonts w:eastAsiaTheme="minorEastAsia"/>
        </w:rPr>
        <w:t>энергослужбой</w:t>
      </w:r>
      <w:proofErr w:type="spellEnd"/>
      <w:r w:rsidRPr="00C70A6B">
        <w:rPr>
          <w:rFonts w:eastAsiaTheme="minorEastAsia"/>
        </w:rPr>
        <w:t xml:space="preserve"> является важным шагом для обеспечения эффективной работы предприятия. Соблюдение правил организации совместной работы позволит достичь поставленных целей и задач и снизить расходы на энергопотребление.</w:t>
      </w:r>
    </w:p>
    <w:p w:rsidR="00C70A6B" w:rsidRPr="001A3490" w:rsidRDefault="00C70A6B" w:rsidP="00C70A6B">
      <w:pPr>
        <w:spacing w:line="360" w:lineRule="auto"/>
        <w:rPr>
          <w:szCs w:val="28"/>
        </w:rPr>
      </w:pPr>
      <w:r w:rsidRPr="001A3490">
        <w:rPr>
          <w:szCs w:val="28"/>
        </w:rPr>
        <w:t xml:space="preserve">Во главе механической службы стоит главный механик рудника, который отвечает за безотказную работу, своевременное техническое обслуживание и ремонт всего оборудования. Подчиняется главный механик непосредственно главному инженеру </w:t>
      </w:r>
      <w:r>
        <w:rPr>
          <w:szCs w:val="28"/>
        </w:rPr>
        <w:t>АСУТП</w:t>
      </w:r>
      <w:r w:rsidRPr="001A3490">
        <w:rPr>
          <w:szCs w:val="28"/>
        </w:rPr>
        <w:t>.</w:t>
      </w:r>
    </w:p>
    <w:p w:rsidR="00C70A6B" w:rsidRDefault="00C70A6B" w:rsidP="00C70A6B">
      <w:pPr>
        <w:pStyle w:val="aa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1A3490">
        <w:rPr>
          <w:sz w:val="28"/>
          <w:szCs w:val="28"/>
        </w:rPr>
        <w:t xml:space="preserve">С целью повышения гибкости и оперативности работы </w:t>
      </w:r>
      <w:proofErr w:type="spellStart"/>
      <w:r w:rsidRPr="001A3490">
        <w:rPr>
          <w:sz w:val="28"/>
          <w:szCs w:val="28"/>
        </w:rPr>
        <w:t>энерго</w:t>
      </w:r>
      <w:proofErr w:type="spellEnd"/>
      <w:r w:rsidRPr="001A3490">
        <w:rPr>
          <w:sz w:val="28"/>
          <w:szCs w:val="28"/>
        </w:rPr>
        <w:t>-механической службы каждый участок эксплуатируемого оборудования - буровой экскаваторной, автотранспортный и участок механизации имеет свою ремонтную службу, которая возглавляется своим старшим механиком Старший механик экскаваторного парка является заместителем главного механика карьера.</w:t>
      </w:r>
    </w:p>
    <w:p w:rsidR="00C70A6B" w:rsidRPr="001A3490" w:rsidRDefault="00C70A6B" w:rsidP="00C70A6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A3490">
        <w:rPr>
          <w:color w:val="000000"/>
          <w:sz w:val="28"/>
          <w:szCs w:val="28"/>
        </w:rPr>
        <w:t>Отдел главного технолога является самостоятельным подразделе</w:t>
      </w:r>
      <w:r w:rsidRPr="001A3490">
        <w:rPr>
          <w:color w:val="000000"/>
          <w:sz w:val="28"/>
          <w:szCs w:val="28"/>
        </w:rPr>
        <w:softHyphen/>
        <w:t>нием завода, возглавляется главным технологом и подчиняется главному инженеру завода, или его заместителю.</w:t>
      </w:r>
    </w:p>
    <w:p w:rsidR="00C70A6B" w:rsidRPr="001A3490" w:rsidRDefault="00C70A6B" w:rsidP="00C70A6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A3490">
        <w:rPr>
          <w:color w:val="000000"/>
          <w:sz w:val="28"/>
          <w:szCs w:val="28"/>
        </w:rPr>
        <w:t>В своей работе отдел руководствуется действующим законодатель</w:t>
      </w:r>
      <w:r w:rsidRPr="001A3490">
        <w:rPr>
          <w:color w:val="000000"/>
          <w:sz w:val="28"/>
          <w:szCs w:val="28"/>
        </w:rPr>
        <w:softHyphen/>
        <w:t>ством, постановлениями правительства, приказами, указаниями, инструкциями, распоряжениями вышестоящих организаций, руководства завода, действующей нормативно-технической документацией, планом работы и настоящим Положением.</w:t>
      </w:r>
    </w:p>
    <w:p w:rsidR="00C70A6B" w:rsidRPr="001A3490" w:rsidRDefault="00C70A6B" w:rsidP="00C70A6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A3490">
        <w:rPr>
          <w:color w:val="000000"/>
          <w:sz w:val="28"/>
          <w:szCs w:val="28"/>
        </w:rPr>
        <w:t>Долг и обязанность коллектива ОРТ – высокопроизводительный творческий труд, неуклонное исполнение законов, повышение эффективности и качества работы, укрепление трудовой дисциплины.</w:t>
      </w:r>
    </w:p>
    <w:p w:rsidR="001C67FB" w:rsidRPr="00C70A6B" w:rsidRDefault="00C70A6B" w:rsidP="00C70A6B">
      <w:pPr>
        <w:pStyle w:val="aa"/>
        <w:spacing w:before="0" w:beforeAutospacing="0" w:after="0" w:afterAutospacing="0" w:line="360" w:lineRule="auto"/>
        <w:ind w:firstLine="708"/>
        <w:jc w:val="both"/>
        <w:rPr>
          <w:rFonts w:eastAsiaTheme="minorEastAsia"/>
        </w:rPr>
      </w:pPr>
      <w:r w:rsidRPr="001A3490">
        <w:rPr>
          <w:color w:val="000000"/>
          <w:sz w:val="28"/>
          <w:szCs w:val="28"/>
        </w:rPr>
        <w:t>На должность главного технолога назначается лицо с вывшим техническим образованием и стажем работы по специальности на инженерно-технических и руковод</w:t>
      </w:r>
      <w:r>
        <w:rPr>
          <w:color w:val="000000"/>
          <w:sz w:val="28"/>
          <w:szCs w:val="28"/>
        </w:rPr>
        <w:t>ящих должностях не менее 5 лет.</w:t>
      </w:r>
      <w:bookmarkStart w:id="0" w:name="_GoBack"/>
      <w:bookmarkEnd w:id="0"/>
    </w:p>
    <w:sectPr w:rsidR="001C67FB" w:rsidRPr="00C70A6B" w:rsidSect="00E334F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FEC6190"/>
    <w:lvl w:ilvl="0">
      <w:numFmt w:val="bullet"/>
      <w:lvlText w:val="*"/>
      <w:lvlJc w:val="left"/>
    </w:lvl>
  </w:abstractNum>
  <w:abstractNum w:abstractNumId="1" w15:restartNumberingAfterBreak="0">
    <w:nsid w:val="01E9796F"/>
    <w:multiLevelType w:val="hybridMultilevel"/>
    <w:tmpl w:val="C1C8A2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01064"/>
    <w:multiLevelType w:val="hybridMultilevel"/>
    <w:tmpl w:val="1F4ADAD4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79600F"/>
    <w:multiLevelType w:val="hybridMultilevel"/>
    <w:tmpl w:val="E36C5E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7CC16D2"/>
    <w:multiLevelType w:val="hybridMultilevel"/>
    <w:tmpl w:val="5B9E12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9C6A32"/>
    <w:multiLevelType w:val="hybridMultilevel"/>
    <w:tmpl w:val="841A3D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217723E"/>
    <w:multiLevelType w:val="hybridMultilevel"/>
    <w:tmpl w:val="07A49200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4E4680B"/>
    <w:multiLevelType w:val="hybridMultilevel"/>
    <w:tmpl w:val="7A1ABB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57708CF"/>
    <w:multiLevelType w:val="hybridMultilevel"/>
    <w:tmpl w:val="A5985D04"/>
    <w:lvl w:ilvl="0" w:tplc="4DF88A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F63B7"/>
    <w:multiLevelType w:val="hybridMultilevel"/>
    <w:tmpl w:val="4484CB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451C88"/>
    <w:multiLevelType w:val="hybridMultilevel"/>
    <w:tmpl w:val="EBF82B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C092811"/>
    <w:multiLevelType w:val="hybridMultilevel"/>
    <w:tmpl w:val="BD9820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A1554E"/>
    <w:multiLevelType w:val="hybridMultilevel"/>
    <w:tmpl w:val="AC70D3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95"/>
        <w:lvlJc w:val="left"/>
        <w:rPr>
          <w:rFonts w:ascii="Courier New" w:hAnsi="Courier New" w:cs="Courier New" w:hint="default"/>
        </w:rPr>
      </w:lvl>
    </w:lvlOverride>
  </w:num>
  <w:num w:numId="10">
    <w:abstractNumId w:val="12"/>
  </w:num>
  <w:num w:numId="11">
    <w:abstractNumId w:val="6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19"/>
    <w:rsid w:val="00045151"/>
    <w:rsid w:val="00086DDF"/>
    <w:rsid w:val="001C67FB"/>
    <w:rsid w:val="002C0841"/>
    <w:rsid w:val="003A48AC"/>
    <w:rsid w:val="00425D15"/>
    <w:rsid w:val="0043765B"/>
    <w:rsid w:val="004973DC"/>
    <w:rsid w:val="00504A2A"/>
    <w:rsid w:val="005C742C"/>
    <w:rsid w:val="00605B19"/>
    <w:rsid w:val="006876C8"/>
    <w:rsid w:val="00901C76"/>
    <w:rsid w:val="009222DE"/>
    <w:rsid w:val="009548F5"/>
    <w:rsid w:val="00A90904"/>
    <w:rsid w:val="00B12719"/>
    <w:rsid w:val="00C46C9F"/>
    <w:rsid w:val="00C70A6B"/>
    <w:rsid w:val="00D95D6A"/>
    <w:rsid w:val="00DB21D2"/>
    <w:rsid w:val="00E334F8"/>
    <w:rsid w:val="00F20304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E01D"/>
  <w15:chartTrackingRefBased/>
  <w15:docId w15:val="{7CE91F17-A9FA-42F0-9471-6DB65D10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151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qFormat/>
    <w:rsid w:val="00605B19"/>
    <w:pPr>
      <w:keepNext/>
      <w:widowControl w:val="0"/>
      <w:autoSpaceDE w:val="0"/>
      <w:autoSpaceDN w:val="0"/>
      <w:adjustRightInd w:val="0"/>
      <w:spacing w:before="248" w:line="360" w:lineRule="auto"/>
      <w:ind w:firstLine="0"/>
      <w:jc w:val="left"/>
      <w:outlineLvl w:val="3"/>
    </w:pPr>
    <w:rPr>
      <w:rFonts w:eastAsia="Times New Roman" w:cs="Times New Roman"/>
      <w:color w:val="000000"/>
      <w:spacing w:val="2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A48AC"/>
    <w:pPr>
      <w:tabs>
        <w:tab w:val="center" w:pos="4677"/>
        <w:tab w:val="right" w:pos="9355"/>
      </w:tabs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3A4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A48AC"/>
    <w:pPr>
      <w:ind w:left="720"/>
      <w:contextualSpacing/>
    </w:pPr>
  </w:style>
  <w:style w:type="paragraph" w:styleId="a6">
    <w:name w:val="No Spacing"/>
    <w:uiPriority w:val="1"/>
    <w:qFormat/>
    <w:rsid w:val="001C67F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605B19"/>
    <w:rPr>
      <w:rFonts w:ascii="Times New Roman" w:eastAsia="Times New Roman" w:hAnsi="Times New Roman" w:cs="Times New Roman"/>
      <w:color w:val="000000"/>
      <w:spacing w:val="20"/>
      <w:sz w:val="24"/>
      <w:szCs w:val="24"/>
      <w:lang w:eastAsia="ru-RU"/>
    </w:rPr>
  </w:style>
  <w:style w:type="paragraph" w:customStyle="1" w:styleId="1">
    <w:name w:val="Обычный1"/>
    <w:rsid w:val="00086DD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E334F8"/>
    <w:pPr>
      <w:spacing w:after="120" w:line="256" w:lineRule="auto"/>
      <w:ind w:firstLine="0"/>
      <w:jc w:val="left"/>
    </w:pPr>
    <w:rPr>
      <w:rFonts w:asciiTheme="minorHAnsi" w:hAnsiTheme="minorHAns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E334F8"/>
    <w:rPr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334F8"/>
    <w:pPr>
      <w:spacing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E334F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9">
    <w:name w:val="Table Grid"/>
    <w:basedOn w:val="a1"/>
    <w:uiPriority w:val="39"/>
    <w:rsid w:val="002C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C70A6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30</Pages>
  <Words>6096</Words>
  <Characters>34753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11</cp:revision>
  <dcterms:created xsi:type="dcterms:W3CDTF">2023-05-05T19:20:00Z</dcterms:created>
  <dcterms:modified xsi:type="dcterms:W3CDTF">2023-05-14T10:15:00Z</dcterms:modified>
</cp:coreProperties>
</file>