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DBC" w:rsidRPr="00A90904" w:rsidRDefault="00A90904" w:rsidP="00A90904">
      <w:pPr>
        <w:rPr>
          <w:b/>
        </w:rPr>
      </w:pPr>
      <w:r w:rsidRPr="00A90904">
        <w:rPr>
          <w:b/>
        </w:rPr>
        <w:t>1 ИЗУЧЕНИЕ ОБЩЕЙ ХАРАКТЕРИСТИКИ ПРОИЗВОДСТВА</w:t>
      </w:r>
    </w:p>
    <w:p w:rsidR="007D47FC" w:rsidRDefault="007D47FC" w:rsidP="007D47FC">
      <w:r>
        <w:t>Сэвилен представляет собой высокомолекулярный продукт сополимеризации этилена СН</w:t>
      </w:r>
      <w:r>
        <w:rPr>
          <w:vertAlign w:val="subscript"/>
        </w:rPr>
        <w:t>2</w:t>
      </w:r>
      <w:r>
        <w:t>=СН</w:t>
      </w:r>
      <w:r>
        <w:rPr>
          <w:vertAlign w:val="subscript"/>
        </w:rPr>
        <w:t>2</w:t>
      </w:r>
      <w:r>
        <w:t xml:space="preserve"> с винилацетатом СН</w:t>
      </w:r>
      <w:r>
        <w:rPr>
          <w:vertAlign w:val="subscript"/>
        </w:rPr>
        <w:t>2</w:t>
      </w:r>
      <w:r>
        <w:t>=СН-</w:t>
      </w:r>
      <w:r>
        <w:rPr>
          <w:lang w:val="en-US"/>
        </w:rPr>
        <w:t>OCOCH</w:t>
      </w:r>
      <w:r>
        <w:rPr>
          <w:vertAlign w:val="subscript"/>
        </w:rPr>
        <w:t>3</w:t>
      </w:r>
      <w:r>
        <w:t xml:space="preserve"> при высоких давлениях и температурах:</w:t>
      </w:r>
    </w:p>
    <w:p w:rsidR="007D47FC" w:rsidRDefault="007D47FC" w:rsidP="007D47FC">
      <w:r>
        <w:t>Упрощенная химическая формула сэвилена: [(СН</w:t>
      </w:r>
      <w:r>
        <w:rPr>
          <w:vertAlign w:val="subscript"/>
        </w:rPr>
        <w:t>2</w:t>
      </w:r>
      <w:r>
        <w:t xml:space="preserve"> – СН</w:t>
      </w:r>
      <w:proofErr w:type="gramStart"/>
      <w:r>
        <w:rPr>
          <w:vertAlign w:val="subscript"/>
        </w:rPr>
        <w:t>2</w:t>
      </w:r>
      <w:r>
        <w:t>)</w:t>
      </w:r>
      <w:r>
        <w:rPr>
          <w:lang w:val="en-US"/>
        </w:rPr>
        <w:t>n</w:t>
      </w:r>
      <w:proofErr w:type="gramEnd"/>
      <w:r>
        <w:t xml:space="preserve"> – (СН</w:t>
      </w:r>
      <w:r>
        <w:rPr>
          <w:vertAlign w:val="subscript"/>
        </w:rPr>
        <w:t>2</w:t>
      </w:r>
      <w:r>
        <w:t xml:space="preserve"> –СН – ) </w:t>
      </w:r>
      <w:r>
        <w:rPr>
          <w:lang w:val="en-US"/>
        </w:rPr>
        <w:t>m</w:t>
      </w:r>
      <w:r>
        <w:t xml:space="preserve"> ]</w:t>
      </w:r>
      <w:r>
        <w:rPr>
          <w:lang w:val="en-US"/>
        </w:rPr>
        <w:t>g</w:t>
      </w:r>
      <w:r>
        <w:t xml:space="preserve"> |</w:t>
      </w:r>
      <w:bookmarkStart w:id="0" w:name="_Toc117627772"/>
      <w:r>
        <w:t xml:space="preserve"> ОСОСН</w:t>
      </w:r>
      <w:r>
        <w:rPr>
          <w:vertAlign w:val="subscript"/>
        </w:rPr>
        <w:t>3</w:t>
      </w:r>
      <w:bookmarkEnd w:id="0"/>
    </w:p>
    <w:p w:rsidR="007D47FC" w:rsidRDefault="007D47FC" w:rsidP="007D47FC">
      <w:r>
        <w:t>По внешнему виду сэвилен (сополимер этилена с винилацетатом) - бесцветное, эластичное вещество, прозрачное в пленках, без запаха, не ядовит, не оказывает вредного воздействия на человеческий организм, горючее вещество.</w:t>
      </w:r>
    </w:p>
    <w:p w:rsidR="007D47FC" w:rsidRDefault="007D47FC" w:rsidP="007D47FC">
      <w:r>
        <w:t>Введение в молекулу полиэтилена винилацетатного звена приводит к нарушению кристаллической структуры молекулы вследствие чего, существенно изменяются свойства продукта.</w:t>
      </w:r>
    </w:p>
    <w:p w:rsidR="007D47FC" w:rsidRDefault="007D47FC" w:rsidP="007D47FC">
      <w:r>
        <w:t xml:space="preserve">Сэвилен имеет высокую ударную прочность, повышенную устойчивость к растрескиванию под нагрузкой, хорошую морозостойкость, хорошо перерабатывается. Свойства сэвилена по мере увеличения содержания в нем винилацетата изменяются в следующем порядке: сополимеры, содержащие до 20% винилацетата, представляют собой прочные пластики, сходные с полиэтиленом низкой плотности, но отличающиеся от него более высокой эластичностью, прозрачностью и пониженной температурой плавления. При содержании винилацетата (30-35) % образуются </w:t>
      </w:r>
      <w:proofErr w:type="spellStart"/>
      <w:r>
        <w:t>каучукоподобные</w:t>
      </w:r>
      <w:proofErr w:type="spellEnd"/>
      <w:r>
        <w:t xml:space="preserve"> продукты.</w:t>
      </w:r>
    </w:p>
    <w:p w:rsidR="007D47FC" w:rsidRDefault="007D47FC" w:rsidP="007D47FC">
      <w:r>
        <w:t>Сополимеры этилена с винилацетатом не требуют применения пластификаторов, хорошо совмещаются со многими смолами, канифолью, парафином, восками, а также минеральными маслами, содержащими более 40% ароматических углеводородов.</w:t>
      </w:r>
    </w:p>
    <w:p w:rsidR="007D47FC" w:rsidRDefault="007D47FC" w:rsidP="007D47FC">
      <w:r>
        <w:t>Сэвилен устойчив к воздействию разбавленных растворов кислот и щелочей. Растворимость сэвилена в таких растворителях, как бензол, ксилол, толуол, четырех хлористый углерод, спирт, ацетон повышается с увеличением содержания винилацетата.</w:t>
      </w:r>
    </w:p>
    <w:p w:rsidR="007D47FC" w:rsidRDefault="007D47FC" w:rsidP="007D47FC">
      <w:r>
        <w:t>Сэвилен имеет сравнительно худшие диэлектрические свойства, чем полиэтилен низкой плотности, что вызвано введением полярного заместителя - винилацетата в полиэтиленовую цепь.</w:t>
      </w:r>
    </w:p>
    <w:p w:rsidR="007D47FC" w:rsidRDefault="007D47FC" w:rsidP="007D47FC">
      <w:r>
        <w:t>Сэвилен (сополимер этилена с винилацетатом) характеризуется следующими свойствами</w:t>
      </w:r>
    </w:p>
    <w:tbl>
      <w:tblPr>
        <w:tblW w:w="86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392"/>
        <w:gridCol w:w="2268"/>
      </w:tblGrid>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rPr>
                <w:sz w:val="24"/>
              </w:rPr>
            </w:pPr>
            <w:r>
              <w:t>Содержание винилацетата, % вес</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5÷30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Плотность, г/см</w:t>
            </w:r>
            <w:r>
              <w:rPr>
                <w:vertAlign w:val="superscript"/>
              </w:rPr>
              <w:t>3</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0,922÷0,955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Показатель текучести расплава, г/10 мин</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0,5÷40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Прочность при разрыве, МПа (кгс/см</w:t>
            </w:r>
            <w:r>
              <w:rPr>
                <w:vertAlign w:val="superscript"/>
              </w:rPr>
              <w:t>2</w:t>
            </w:r>
            <w:r>
              <w:t xml:space="preserve">) </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C37843">
            <w:pPr>
              <w:spacing w:line="360" w:lineRule="auto"/>
              <w:ind w:left="72" w:hanging="72"/>
              <w:jc w:val="center"/>
            </w:pPr>
            <w:r>
              <w:t xml:space="preserve">4,5÷14,0(50÷143) </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Относительное удлинение при разрыве, %,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600-650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 xml:space="preserve">Температура размягчения по Вика, </w:t>
            </w:r>
            <w:r>
              <w:rPr>
                <w:vertAlign w:val="superscript"/>
              </w:rPr>
              <w:t>0</w:t>
            </w:r>
            <w:r>
              <w:t>С,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27÷70</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lastRenderedPageBreak/>
              <w:t xml:space="preserve">Морозостойкость, </w:t>
            </w:r>
            <w:r>
              <w:rPr>
                <w:vertAlign w:val="superscript"/>
              </w:rPr>
              <w:t>0</w:t>
            </w:r>
            <w:r>
              <w:t>С</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(-65) ÷ (-75)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firstLine="0"/>
            </w:pPr>
            <w:r>
              <w:t xml:space="preserve">Твердость по </w:t>
            </w:r>
            <w:proofErr w:type="spellStart"/>
            <w:r>
              <w:t>Шору</w:t>
            </w:r>
            <w:proofErr w:type="spellEnd"/>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85÷95</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ind w:firstLine="0"/>
            </w:pPr>
            <w:r>
              <w:t xml:space="preserve">Стойкость к </w:t>
            </w:r>
            <w:proofErr w:type="spellStart"/>
            <w:r>
              <w:t>термоокислительному</w:t>
            </w:r>
            <w:proofErr w:type="spellEnd"/>
            <w:r>
              <w:t xml:space="preserve"> старению, час, не менее</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ind w:left="72" w:hanging="72"/>
            </w:pPr>
            <w:r>
              <w:t>6÷8</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hd w:val="clear" w:color="auto" w:fill="FFFFFF"/>
              <w:ind w:firstLine="0"/>
            </w:pPr>
            <w:r>
              <w:t>Диэлектрическая проницаемость, при частоте1 •10</w:t>
            </w:r>
            <w:r>
              <w:rPr>
                <w:vertAlign w:val="superscript"/>
              </w:rPr>
              <w:t>-3</w:t>
            </w:r>
            <w:r>
              <w:t xml:space="preserve"> Гц</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t>2,4÷3,1</w:t>
            </w:r>
          </w:p>
        </w:tc>
      </w:tr>
      <w:tr w:rsidR="007D47FC" w:rsidTr="007D47FC">
        <w:tc>
          <w:tcPr>
            <w:tcW w:w="6392" w:type="dxa"/>
            <w:tcBorders>
              <w:top w:val="single" w:sz="8" w:space="0" w:color="auto"/>
              <w:left w:val="single" w:sz="8" w:space="0" w:color="auto"/>
              <w:bottom w:val="single" w:sz="8" w:space="0" w:color="auto"/>
              <w:right w:val="single" w:sz="8" w:space="0" w:color="auto"/>
            </w:tcBorders>
            <w:hideMark/>
          </w:tcPr>
          <w:p w:rsidR="007D47FC" w:rsidRDefault="007D47FC" w:rsidP="007D47FC">
            <w:pPr>
              <w:shd w:val="clear" w:color="auto" w:fill="FFFFFF"/>
              <w:ind w:firstLine="0"/>
            </w:pPr>
            <w:r>
              <w:t>Тангенс угла диэлектрических потерь, при частоте10</w:t>
            </w:r>
            <w:r>
              <w:rPr>
                <w:vertAlign w:val="superscript"/>
              </w:rPr>
              <w:t>-3</w:t>
            </w:r>
            <w:r>
              <w:t xml:space="preserve"> Гц</w:t>
            </w:r>
          </w:p>
        </w:tc>
        <w:tc>
          <w:tcPr>
            <w:tcW w:w="2268" w:type="dxa"/>
            <w:tcBorders>
              <w:top w:val="single" w:sz="8" w:space="0" w:color="auto"/>
              <w:left w:val="single" w:sz="8" w:space="0" w:color="auto"/>
              <w:bottom w:val="single" w:sz="8" w:space="0" w:color="auto"/>
              <w:right w:val="single" w:sz="8" w:space="0" w:color="auto"/>
            </w:tcBorders>
            <w:hideMark/>
          </w:tcPr>
          <w:p w:rsidR="007D47FC" w:rsidRDefault="007D47FC" w:rsidP="007D47FC">
            <w:pPr>
              <w:spacing w:line="360" w:lineRule="auto"/>
              <w:ind w:left="72" w:hanging="72"/>
            </w:pPr>
            <w:r>
              <w:rPr>
                <w:lang w:val="en-US"/>
              </w:rPr>
              <w:t>(</w:t>
            </w:r>
            <w:r>
              <w:t>1</w:t>
            </w:r>
            <w:r>
              <w:rPr>
                <w:lang w:val="en-US"/>
              </w:rPr>
              <w:t xml:space="preserve">,3 </w:t>
            </w:r>
            <w:r>
              <w:t>÷</w:t>
            </w:r>
            <w:r>
              <w:rPr>
                <w:lang w:val="en-US"/>
              </w:rPr>
              <w:t xml:space="preserve"> 5,0)·l</w:t>
            </w:r>
            <w:r>
              <w:t>0</w:t>
            </w:r>
            <w:r>
              <w:rPr>
                <w:vertAlign w:val="superscript"/>
              </w:rPr>
              <w:t>-2</w:t>
            </w:r>
          </w:p>
        </w:tc>
      </w:tr>
    </w:tbl>
    <w:p w:rsidR="007D47FC" w:rsidRDefault="007D47FC" w:rsidP="007D47FC"/>
    <w:p w:rsidR="007D47FC" w:rsidRDefault="007D47FC" w:rsidP="007D47FC">
      <w:pPr>
        <w:rPr>
          <w:b/>
          <w:color w:val="000000"/>
          <w:sz w:val="24"/>
          <w:szCs w:val="24"/>
          <w:u w:val="single"/>
        </w:rPr>
      </w:pPr>
      <w:r>
        <w:rPr>
          <w:b/>
          <w:u w:val="single"/>
        </w:rPr>
        <w:t>Сополимер этилена с винилацетатом (сэвилен).</w:t>
      </w:r>
    </w:p>
    <w:p w:rsidR="007D47FC" w:rsidRDefault="007D47FC" w:rsidP="007D47FC">
      <w:pPr>
        <w:rPr>
          <w:b/>
          <w:color w:val="000000"/>
        </w:rPr>
      </w:pPr>
      <w:r>
        <w:rPr>
          <w:color w:val="000000"/>
        </w:rPr>
        <w:t>По внешнему виду - вещество молочного белого цвета. Плотность в зависимости от состава: 0,92-0,96г/см, температура размягчения 30-90°С, Свойства сэвилена определяется содержанием винилацетата:</w:t>
      </w:r>
    </w:p>
    <w:p w:rsidR="007D47FC" w:rsidRDefault="007D47FC" w:rsidP="007D47FC">
      <w:r>
        <w:rPr>
          <w:color w:val="000000"/>
        </w:rPr>
        <w:t>сополимеры, содержащие до 10-12% винилацетата, представляют собой прочные пластики, сходные с полиэтиленом низкой</w:t>
      </w:r>
    </w:p>
    <w:p w:rsidR="007D47FC" w:rsidRDefault="007D47FC" w:rsidP="007D47FC">
      <w:r>
        <w:rPr>
          <w:color w:val="000000"/>
        </w:rPr>
        <w:t>плотности, но отличающиеся от него более высокой эластичностью, прозрач</w:t>
      </w:r>
      <w:r>
        <w:rPr>
          <w:color w:val="000000"/>
        </w:rPr>
        <w:softHyphen/>
        <w:t>ностью и пониженной температурой плавления;</w:t>
      </w:r>
    </w:p>
    <w:p w:rsidR="007D47FC" w:rsidRDefault="007D47FC" w:rsidP="007D47FC">
      <w:pPr>
        <w:rPr>
          <w:color w:val="000000"/>
        </w:rPr>
      </w:pPr>
      <w:r>
        <w:rPr>
          <w:color w:val="000000"/>
        </w:rPr>
        <w:t>при содержании винилацетата 13-25% сополимеры представляют собой каучук подобные продукты;</w:t>
      </w:r>
    </w:p>
    <w:p w:rsidR="007D47FC" w:rsidRDefault="007D47FC" w:rsidP="007D47FC">
      <w:pPr>
        <w:rPr>
          <w:color w:val="000000"/>
        </w:rPr>
      </w:pPr>
      <w:r>
        <w:rPr>
          <w:color w:val="000000"/>
        </w:rPr>
        <w:t>при содержании винилацетата выше 30% - мягкие и клейкие при комнатной температуре смолы.</w:t>
      </w:r>
    </w:p>
    <w:p w:rsidR="007D47FC" w:rsidRDefault="007D47FC" w:rsidP="007D47FC">
      <w:pPr>
        <w:rPr>
          <w:color w:val="000000"/>
        </w:rPr>
      </w:pPr>
      <w:r>
        <w:rPr>
          <w:color w:val="000000"/>
        </w:rPr>
        <w:t xml:space="preserve">Из сэвилена во время его переработки при повышенной температуре в воздух производственных помещений могут выделяться винилацетат, ацетальдегид и уксусная кислота. </w:t>
      </w: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3"/>
        <w:gridCol w:w="1068"/>
      </w:tblGrid>
      <w:tr w:rsidR="007D47FC" w:rsidTr="007D47FC">
        <w:tc>
          <w:tcPr>
            <w:tcW w:w="2653" w:type="dxa"/>
            <w:tcBorders>
              <w:top w:val="single" w:sz="4" w:space="0" w:color="auto"/>
              <w:left w:val="single" w:sz="4" w:space="0" w:color="auto"/>
              <w:bottom w:val="single" w:sz="4" w:space="0" w:color="auto"/>
              <w:right w:val="single" w:sz="4" w:space="0" w:color="auto"/>
            </w:tcBorders>
            <w:hideMark/>
          </w:tcPr>
          <w:p w:rsidR="007D47FC" w:rsidRDefault="007D47FC" w:rsidP="007D47FC">
            <w:pPr>
              <w:ind w:firstLine="0"/>
              <w:rPr>
                <w:color w:val="000000"/>
                <w:kern w:val="28"/>
                <w:sz w:val="24"/>
              </w:rPr>
            </w:pPr>
            <w:r>
              <w:rPr>
                <w:color w:val="000000"/>
                <w:kern w:val="28"/>
              </w:rPr>
              <w:t>ПДК в мг/</w:t>
            </w:r>
            <w:proofErr w:type="gramStart"/>
            <w:r>
              <w:rPr>
                <w:color w:val="000000"/>
                <w:kern w:val="28"/>
              </w:rPr>
              <w:t>м :</w:t>
            </w:r>
            <w:proofErr w:type="gramEnd"/>
          </w:p>
          <w:p w:rsidR="007D47FC" w:rsidRDefault="007D47FC" w:rsidP="007D47FC">
            <w:pPr>
              <w:ind w:firstLine="0"/>
              <w:rPr>
                <w:b/>
                <w:color w:val="000000"/>
                <w:kern w:val="28"/>
              </w:rPr>
            </w:pPr>
            <w:r>
              <w:rPr>
                <w:color w:val="000000"/>
                <w:kern w:val="28"/>
              </w:rPr>
              <w:t xml:space="preserve">винилацетата </w:t>
            </w:r>
          </w:p>
          <w:p w:rsidR="007D47FC" w:rsidRDefault="007D47FC" w:rsidP="007D47FC">
            <w:pPr>
              <w:ind w:firstLine="0"/>
              <w:rPr>
                <w:b/>
                <w:color w:val="000000"/>
                <w:kern w:val="28"/>
              </w:rPr>
            </w:pPr>
            <w:r>
              <w:rPr>
                <w:color w:val="000000"/>
                <w:kern w:val="28"/>
              </w:rPr>
              <w:t xml:space="preserve">ацетальдегида </w:t>
            </w:r>
          </w:p>
          <w:p w:rsidR="007D47FC" w:rsidRDefault="007D47FC" w:rsidP="007D47FC">
            <w:pPr>
              <w:ind w:firstLine="0"/>
              <w:rPr>
                <w:b/>
                <w:color w:val="000000"/>
                <w:kern w:val="28"/>
              </w:rPr>
            </w:pPr>
            <w:r>
              <w:rPr>
                <w:color w:val="000000"/>
                <w:kern w:val="28"/>
              </w:rPr>
              <w:t>уксусной кислоты</w:t>
            </w:r>
          </w:p>
        </w:tc>
        <w:tc>
          <w:tcPr>
            <w:tcW w:w="426" w:type="dxa"/>
            <w:tcBorders>
              <w:top w:val="single" w:sz="4" w:space="0" w:color="auto"/>
              <w:left w:val="single" w:sz="4" w:space="0" w:color="auto"/>
              <w:bottom w:val="single" w:sz="4" w:space="0" w:color="auto"/>
              <w:right w:val="single" w:sz="4" w:space="0" w:color="auto"/>
            </w:tcBorders>
          </w:tcPr>
          <w:p w:rsidR="007D47FC" w:rsidRDefault="007D47FC" w:rsidP="007D47FC">
            <w:pPr>
              <w:rPr>
                <w:color w:val="000000"/>
                <w:kern w:val="28"/>
              </w:rPr>
            </w:pPr>
          </w:p>
          <w:p w:rsidR="007D47FC" w:rsidRDefault="007D47FC" w:rsidP="007D47FC">
            <w:pPr>
              <w:ind w:firstLine="0"/>
              <w:rPr>
                <w:color w:val="000000"/>
                <w:kern w:val="28"/>
              </w:rPr>
            </w:pPr>
            <w:r>
              <w:rPr>
                <w:color w:val="000000"/>
                <w:kern w:val="28"/>
              </w:rPr>
              <w:t>10</w:t>
            </w:r>
          </w:p>
          <w:p w:rsidR="007D47FC" w:rsidRDefault="007D47FC" w:rsidP="007D47FC">
            <w:pPr>
              <w:ind w:firstLine="0"/>
              <w:rPr>
                <w:color w:val="000000"/>
                <w:kern w:val="28"/>
              </w:rPr>
            </w:pPr>
            <w:r>
              <w:rPr>
                <w:color w:val="000000"/>
                <w:kern w:val="28"/>
              </w:rPr>
              <w:t>5</w:t>
            </w:r>
          </w:p>
          <w:p w:rsidR="007D47FC" w:rsidRDefault="007D47FC" w:rsidP="007D47FC">
            <w:pPr>
              <w:ind w:firstLine="0"/>
              <w:rPr>
                <w:color w:val="000000"/>
                <w:kern w:val="28"/>
              </w:rPr>
            </w:pPr>
            <w:r>
              <w:rPr>
                <w:color w:val="000000"/>
                <w:kern w:val="28"/>
              </w:rPr>
              <w:t>5</w:t>
            </w:r>
          </w:p>
        </w:tc>
      </w:tr>
    </w:tbl>
    <w:p w:rsidR="007D47FC" w:rsidRDefault="007D47FC" w:rsidP="007D47FC">
      <w:pPr>
        <w:rPr>
          <w:color w:val="000000"/>
        </w:rPr>
      </w:pPr>
      <w:r>
        <w:rPr>
          <w:color w:val="000000"/>
        </w:rPr>
        <w:t>Комплекс летучих продуктов, выделяющихся из сэвилена, в концентрациях, превышающих предельно-допустимые, оказывает раздражающее действие на слизистые оболочки верхних дыхательных путей и глаз. При поднесении открытого пламени сэвилен загорается с образованием расплава с выделе</w:t>
      </w:r>
      <w:r>
        <w:rPr>
          <w:color w:val="000000"/>
        </w:rPr>
        <w:softHyphen/>
        <w:t>нием газообразных продуктов. Сэвилен горит коптящим пламенем, загорается без взрыва.</w:t>
      </w:r>
    </w:p>
    <w:p w:rsidR="007D47FC" w:rsidRDefault="007D47FC" w:rsidP="007D47FC">
      <w:pPr>
        <w:rPr>
          <w:color w:val="000000"/>
        </w:rPr>
      </w:pPr>
      <w:r>
        <w:rPr>
          <w:color w:val="000000"/>
        </w:rPr>
        <w:t>Температура разложения сэвилена - 350 °С. При загорании тушить всеми известными средствами пожаротушения.</w:t>
      </w:r>
    </w:p>
    <w:p w:rsidR="007D47FC" w:rsidRDefault="007D47FC">
      <w:pPr>
        <w:spacing w:after="160" w:line="259" w:lineRule="auto"/>
        <w:ind w:firstLine="0"/>
        <w:jc w:val="left"/>
      </w:pPr>
    </w:p>
    <w:p w:rsidR="007D47FC" w:rsidRDefault="007D47FC">
      <w:pPr>
        <w:spacing w:after="160" w:line="259" w:lineRule="auto"/>
        <w:ind w:firstLine="0"/>
        <w:jc w:val="left"/>
      </w:pPr>
    </w:p>
    <w:p w:rsidR="00F20304" w:rsidRDefault="00F20304">
      <w:pPr>
        <w:spacing w:after="160" w:line="259" w:lineRule="auto"/>
        <w:ind w:firstLine="0"/>
        <w:jc w:val="left"/>
      </w:pPr>
      <w:r>
        <w:br w:type="page"/>
      </w:r>
    </w:p>
    <w:p w:rsidR="00F20304" w:rsidRDefault="00F20304" w:rsidP="00F20304">
      <w:pPr>
        <w:rPr>
          <w:b/>
        </w:rPr>
      </w:pPr>
      <w:r>
        <w:rPr>
          <w:b/>
        </w:rPr>
        <w:lastRenderedPageBreak/>
        <w:t xml:space="preserve">2 </w:t>
      </w:r>
      <w:r w:rsidRPr="00F20304">
        <w:rPr>
          <w:b/>
        </w:rPr>
        <w:t>И</w:t>
      </w:r>
      <w:r w:rsidR="00AA41CF">
        <w:rPr>
          <w:b/>
        </w:rPr>
        <w:t>ЗУЧЕНИЕ ТЕХНОЛОГИИ ПРОИЗВОДСТВА</w:t>
      </w:r>
      <w:r w:rsidRPr="00F20304">
        <w:rPr>
          <w:b/>
        </w:rPr>
        <w:t xml:space="preserve"> И ЕГО АВТОМАТИЗАЦИИ</w:t>
      </w:r>
    </w:p>
    <w:p w:rsidR="002462E8" w:rsidRPr="005D11F0" w:rsidRDefault="002462E8" w:rsidP="002462E8">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2462E8" w:rsidRPr="005D11F0" w:rsidRDefault="002462E8" w:rsidP="002462E8">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2462E8" w:rsidRPr="005D11F0" w:rsidRDefault="002462E8" w:rsidP="002462E8">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2462E8" w:rsidRPr="005D11F0" w:rsidRDefault="002462E8" w:rsidP="002462E8">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2462E8" w:rsidRDefault="002462E8" w:rsidP="002462E8">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2462E8" w:rsidRPr="00805B02" w:rsidRDefault="002462E8" w:rsidP="002462E8">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2462E8" w:rsidRPr="00805B02" w:rsidRDefault="002462E8" w:rsidP="002462E8">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2462E8" w:rsidRPr="003D368A" w:rsidRDefault="002462E8" w:rsidP="002462E8">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2462E8" w:rsidRPr="003D368A" w:rsidRDefault="002462E8" w:rsidP="002462E8">
      <w:r>
        <w:lastRenderedPageBreak/>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2462E8" w:rsidRPr="003D368A" w:rsidRDefault="002462E8" w:rsidP="002462E8">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2462E8" w:rsidRPr="003D368A" w:rsidRDefault="002462E8" w:rsidP="002462E8">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2462E8" w:rsidRPr="003D368A" w:rsidRDefault="002462E8" w:rsidP="002462E8">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2462E8" w:rsidRPr="003D368A" w:rsidRDefault="002462E8" w:rsidP="002462E8">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2462E8" w:rsidRPr="003D368A" w:rsidRDefault="002462E8" w:rsidP="002462E8">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2462E8" w:rsidRPr="003D368A" w:rsidRDefault="002462E8" w:rsidP="002462E8">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2462E8" w:rsidRPr="003D368A" w:rsidRDefault="002462E8" w:rsidP="002462E8">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2462E8" w:rsidRPr="003D368A" w:rsidRDefault="002462E8" w:rsidP="002462E8">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w:t>
      </w:r>
      <w:r w:rsidRPr="003D368A">
        <w:lastRenderedPageBreak/>
        <w:t xml:space="preserve">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2462E8" w:rsidRPr="003D368A" w:rsidRDefault="002462E8" w:rsidP="002462E8">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2462E8" w:rsidRPr="003D368A" w:rsidRDefault="002462E8" w:rsidP="002462E8">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2462E8" w:rsidRPr="003D368A" w:rsidRDefault="002462E8" w:rsidP="002462E8">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2462E8" w:rsidRDefault="002462E8" w:rsidP="003A48AC">
      <w:pPr>
        <w:ind w:firstLine="0"/>
      </w:pPr>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2462E8" w:rsidRDefault="002462E8">
      <w:pPr>
        <w:spacing w:after="160" w:line="259" w:lineRule="auto"/>
        <w:ind w:firstLine="0"/>
        <w:jc w:val="left"/>
      </w:pPr>
      <w:r>
        <w:br w:type="page"/>
      </w:r>
    </w:p>
    <w:p w:rsidR="003A48AC" w:rsidRPr="003A48AC" w:rsidRDefault="003A48AC" w:rsidP="003A48AC">
      <w:pPr>
        <w:suppressAutoHyphens/>
        <w:rPr>
          <w:b/>
          <w:sz w:val="26"/>
          <w:szCs w:val="26"/>
        </w:rPr>
      </w:pPr>
      <w:r w:rsidRPr="003A48AC">
        <w:rPr>
          <w:b/>
        </w:rPr>
        <w:lastRenderedPageBreak/>
        <w:t>3 ИЗУЧЕНИЕ МЕТРОЛОГИЧЕСКОГО ОБЕСПЕЧЕНИЯ И ЭКСПЛУАТАЦИЮ СИСТЕМ АВТОМАТИЗАЦИИ</w:t>
      </w:r>
    </w:p>
    <w:p w:rsidR="0043765B" w:rsidRDefault="0043765B" w:rsidP="00F91DEE">
      <w:pPr>
        <w:rPr>
          <w:lang w:eastAsia="ru-RU"/>
        </w:rPr>
      </w:pPr>
    </w:p>
    <w:p w:rsidR="0043765B" w:rsidRDefault="0043765B" w:rsidP="00F91DEE">
      <w:pPr>
        <w:rPr>
          <w:lang w:eastAsia="ru-RU"/>
        </w:rPr>
      </w:pPr>
    </w:p>
    <w:p w:rsidR="002462E8" w:rsidRDefault="002462E8" w:rsidP="00F91DEE">
      <w:pPr>
        <w:rPr>
          <w:lang w:eastAsia="ru-RU"/>
        </w:rPr>
      </w:pPr>
    </w:p>
    <w:p w:rsidR="002462E8" w:rsidRDefault="002462E8">
      <w:pPr>
        <w:spacing w:after="160" w:line="259" w:lineRule="auto"/>
        <w:ind w:firstLine="0"/>
        <w:jc w:val="left"/>
        <w:rPr>
          <w:lang w:eastAsia="ru-RU"/>
        </w:rPr>
      </w:pPr>
      <w:r>
        <w:rPr>
          <w:lang w:eastAsia="ru-RU"/>
        </w:rPr>
        <w:br w:type="page"/>
      </w:r>
    </w:p>
    <w:p w:rsidR="0043765B" w:rsidRDefault="0043765B" w:rsidP="0043765B">
      <w:pPr>
        <w:rPr>
          <w:b/>
        </w:rPr>
      </w:pPr>
      <w:r w:rsidRPr="0043765B">
        <w:rPr>
          <w:b/>
          <w:lang w:eastAsia="ru-RU"/>
        </w:rPr>
        <w:lastRenderedPageBreak/>
        <w:t xml:space="preserve">4 </w:t>
      </w:r>
      <w:r w:rsidRPr="0043765B">
        <w:rPr>
          <w:b/>
        </w:rPr>
        <w:t>ИЗУЧЕНИЕ ОРГАНИЗАЦИИ РАБОТ ПО МОНТАЖУ, РЕМОНТУ И НАЛАДКЕ СРЕДСТВ ИЗМЕРЕНИЙ, СИСТЕМ АВТОМАТИЗАЦИИ, МЕХАТРОННЫХ СИСТЕМ</w:t>
      </w:r>
    </w:p>
    <w:p w:rsidR="003336DD" w:rsidRPr="00176A7B" w:rsidRDefault="003336DD" w:rsidP="003336DD">
      <w:r w:rsidRPr="00176A7B">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 их работы, а также требования технической эстетики.</w:t>
      </w:r>
    </w:p>
    <w:p w:rsidR="003336DD" w:rsidRPr="00176A7B" w:rsidRDefault="003336DD" w:rsidP="003336DD">
      <w:r w:rsidRPr="00176A7B">
        <w:t>До начала монтажных работ приборы хранят в сухом отапливаемом складе заказчика на стеллажах в заводской упаковке. В процессе хранения следует избегать вибрации, ударов. Сохранность приборов на объекте должна быть подтверждена подрядчику письменной гарантией заказчика. Передачу-приемку приборов в монтаж от заказчика подрядчику производят на приобъектном складе. Вместе с приборами подрядчику временно, на период монтажа, передают комплект технической документации. Приступать к монтажу можно только после ознакомления с заводской инструкцией по монтажу и эксплуатации. В отдельных случаях силами пуско-наладочных организаций до начала монтажа проводят стендовую проверку приборов. Перед монтажом приборы проверяют, клеймят и просушивают в отапливаемом помещении не менее суток.</w:t>
      </w:r>
    </w:p>
    <w:p w:rsidR="003336DD" w:rsidRPr="00176A7B" w:rsidRDefault="003336DD" w:rsidP="003336DD">
      <w:r w:rsidRPr="00176A7B">
        <w:t>Различают два способа монтажа контрольно-изм</w:t>
      </w:r>
      <w:r>
        <w:t xml:space="preserve">ерительных приборов: </w:t>
      </w:r>
      <w:r w:rsidRPr="00176A7B">
        <w:t>по месту — на стенах, колоннах, на машина</w:t>
      </w:r>
      <w:r>
        <w:t>х и аппаратах; щитовой</w:t>
      </w:r>
      <w:r w:rsidRPr="00176A7B">
        <w:t xml:space="preserve"> — на щитах и пультах управления. Способ монтажа выбирают в зависимости от конструкции приборов, а также от необходимости концентрировать показания нескольких приборов в одном месте.</w:t>
      </w:r>
    </w:p>
    <w:p w:rsidR="003336DD" w:rsidRPr="00176A7B" w:rsidRDefault="003336DD" w:rsidP="003336DD">
      <w:r w:rsidRPr="00176A7B">
        <w:t>Не щитовой монтаж применяют в тех случаях, когда конструкция прибора не приспособлена для щитового монтажа, в одном месте требуется установить не более 1—2 приборов, или изготовление щита экономически нецелесообразно.</w:t>
      </w:r>
    </w:p>
    <w:p w:rsidR="003336DD" w:rsidRDefault="003336DD" w:rsidP="003336DD">
      <w:r w:rsidRPr="00176A7B">
        <w:t>Большинство отечественных приборов приспособлено для настенного монтажа, поэтому некоторые из них заключены в стандартные корпусы круглой, треугольной или прямоугольной фор</w:t>
      </w:r>
      <w:r>
        <w:t>мы. Такие приборы крепят к сте</w:t>
      </w:r>
      <w:r w:rsidRPr="00176A7B">
        <w:t>не винтами или а</w:t>
      </w:r>
      <w:r>
        <w:t>нкерными болтами либо на ушках.</w:t>
      </w:r>
    </w:p>
    <w:p w:rsidR="003336DD" w:rsidRPr="00176A7B" w:rsidRDefault="003336DD" w:rsidP="003336DD">
      <w:r w:rsidRPr="00176A7B">
        <w:t xml:space="preserve">Щитовой монтаж обеспечивает концентрацию приборов в одном месте, удобство наблюдения за работой отдельных машин и аппаратов, возможность защиты приборов от неблагоприятных условий окружающей среды, удобство наблюдения за приборами. Щит управления представляет собой вертикальную </w:t>
      </w:r>
      <w:r>
        <w:t xml:space="preserve">панельную или </w:t>
      </w:r>
      <w:r w:rsidRPr="00176A7B">
        <w:t>шкафную металлическую конструкцию, на которой монтируют контрольно-измерительные приборы и средства автоматики. Щиты управления могут быть агрегатными, групповыми, цеховыми.</w:t>
      </w:r>
    </w:p>
    <w:p w:rsidR="003336DD" w:rsidRPr="00176A7B" w:rsidRDefault="003336DD" w:rsidP="003336DD">
      <w:r w:rsidRPr="00176A7B">
        <w:t xml:space="preserve">Щиты монтируют на ножках на полу </w:t>
      </w:r>
      <w:r>
        <w:t xml:space="preserve">или крепят к стене либо колонне. </w:t>
      </w:r>
      <w:r w:rsidRPr="00176A7B">
        <w:t xml:space="preserve">Подвесные щиты крепят на анкерных болтах, заделанных в стену. При небольшой толщине стены применяют простые болты, пропущенные сквозь стену. На колонне щиты подвешивают с помощью хомутов. Приборы на шкафных щитах обычно монтируют на заводах-изготовителях. Щитовые </w:t>
      </w:r>
      <w:r w:rsidRPr="00176A7B">
        <w:lastRenderedPageBreak/>
        <w:t>приборы периодически демонтируют для проверки или ремонта. Приборы устанавливают также на пультах управления.</w:t>
      </w:r>
    </w:p>
    <w:p w:rsidR="003336DD" w:rsidRPr="000B610E" w:rsidRDefault="003336DD" w:rsidP="003336DD">
      <w:r w:rsidRPr="000B610E">
        <w:t>Даже при нормальной эксплуатации с течением времени механические части приборов изнашиваются, постепенно изменяются их электрические характеристики, снижается точность, погрешность измерений выходит за допустимые пределы</w:t>
      </w:r>
      <w:r>
        <w:t xml:space="preserve">. </w:t>
      </w:r>
      <w:r w:rsidRPr="000B610E">
        <w:t>Необходимость ремонта возникает также вследствие неправильной эксплуатации. Во всех этих случаях ремонт оборудования средств автоматизации обеспечивает служба КИПиА. В зависимости от характера причин, вызвавших неисправность, и объема ремонтных работ различают три вида ремонтов: текущий, средний, капитальный.</w:t>
      </w:r>
    </w:p>
    <w:p w:rsidR="003336DD" w:rsidRPr="000B610E" w:rsidRDefault="003336DD" w:rsidP="003336DD">
      <w:r w:rsidRPr="000B610E">
        <w:t>Текущий ремонт выполняют непосредственно на месте установки прибора. К текущему ремонту относятся: замена деталей, транзисторов и электронных ламп, прочистка контактов, восстановление оборванных проводов и паек, чистка реохорд, контактных роликов, подтягивание крепежных устройств и их деталей.</w:t>
      </w:r>
    </w:p>
    <w:p w:rsidR="003336DD" w:rsidRPr="000B610E" w:rsidRDefault="003336DD" w:rsidP="003336DD">
      <w:r w:rsidRPr="000B610E">
        <w:t xml:space="preserve">При среднем ремонте, который выполняют в цехе и на установке с отключением электрооборудования, полностью чистят приборы, смазывают или заменяют подшипники и другие подвижные поверхности, подтягивают соединения проводов на </w:t>
      </w:r>
      <w:proofErr w:type="spellStart"/>
      <w:r w:rsidRPr="000B610E">
        <w:t>аппараторах</w:t>
      </w:r>
      <w:proofErr w:type="spellEnd"/>
      <w:r w:rsidRPr="000B610E">
        <w:t xml:space="preserve"> и </w:t>
      </w:r>
      <w:proofErr w:type="spellStart"/>
      <w:r w:rsidRPr="000B610E">
        <w:t>клеммниках</w:t>
      </w:r>
      <w:proofErr w:type="spellEnd"/>
      <w:r w:rsidRPr="000B610E">
        <w:t xml:space="preserve">, </w:t>
      </w:r>
      <w:proofErr w:type="spellStart"/>
      <w:r w:rsidRPr="000B610E">
        <w:t>прозванивают</w:t>
      </w:r>
      <w:proofErr w:type="spellEnd"/>
      <w:r w:rsidRPr="000B610E">
        <w:t xml:space="preserve"> отдельные цепи. Периодичность среднего ремонта зависит от характера и условий эксплуатации, осуществляют его в плановом порядке по графикам, составленным службой КИПиА.</w:t>
      </w:r>
    </w:p>
    <w:p w:rsidR="003336DD" w:rsidRPr="000B610E" w:rsidRDefault="003336DD" w:rsidP="003336DD">
      <w:r w:rsidRPr="000B610E">
        <w:t>Капитальный ремонт предусматривает полное восстановление прибора или устройства, после чего на специальном испытательном стенде производят его наладку, регулировку и длительное испытание в условиях, близких к рабочему режиму.</w:t>
      </w:r>
    </w:p>
    <w:p w:rsidR="003336DD" w:rsidRDefault="003336DD" w:rsidP="003336DD">
      <w:r w:rsidRPr="000B610E">
        <w:t>Капитальный и частично средний ремонт выполняют силами ремонтного персонала, включая оператора, или работниками специальной ремонтной мастерской, являющейся одним из подразделений службы КИПиА. Руководит ее работой непосредственно мастер или заместитель начальника службы КИПиА, если персонал мастерской небольшой. Если объем работ значительный, в составе мастерской выделяют участки по ремонту определенных групп приборов и преобразователей: расходомеров, приборов давления и разрежения, температуры, уровня, влажности, гранулометрии и различных регуляторов.</w:t>
      </w:r>
    </w:p>
    <w:p w:rsidR="002462E8" w:rsidRDefault="002462E8" w:rsidP="002462E8">
      <w:bookmarkStart w:id="1" w:name="_GoBack"/>
      <w:bookmarkEnd w:id="1"/>
    </w:p>
    <w:p w:rsidR="002462E8" w:rsidRDefault="002462E8">
      <w:pPr>
        <w:spacing w:after="160" w:line="259" w:lineRule="auto"/>
        <w:ind w:firstLine="0"/>
        <w:jc w:val="left"/>
      </w:pPr>
      <w:r>
        <w:br w:type="page"/>
      </w:r>
    </w:p>
    <w:p w:rsidR="0043765B" w:rsidRPr="0043765B" w:rsidRDefault="0043765B" w:rsidP="0043765B">
      <w:pPr>
        <w:rPr>
          <w:b/>
        </w:rPr>
      </w:pPr>
      <w:r w:rsidRPr="0043765B">
        <w:rPr>
          <w:b/>
        </w:rPr>
        <w:lastRenderedPageBreak/>
        <w:t>5 ЭКОНОМИКА И ОРГАНИЗАЦИЯ ПРОИЗВОДСТВА</w:t>
      </w:r>
    </w:p>
    <w:p w:rsidR="009222DE" w:rsidRDefault="009222DE" w:rsidP="009222DE">
      <w:pPr>
        <w:rPr>
          <w:rFonts w:eastAsiaTheme="minorEastAsia"/>
        </w:rPr>
      </w:pPr>
      <w:r>
        <w:t xml:space="preserve">Товарная продукция (ТП) - это продукция, изготовленная в течение определенного времени и предназначенная для реализации за пределами предприятия. </w:t>
      </w:r>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w:p>
    <w:p w:rsidR="009222DE" w:rsidRDefault="009222DE" w:rsidP="009222DE">
      <w:r>
        <w:t>Отличается от валовой продукции тем, что в нее не включаются остатки незавершенного производства и внутрихозяйственный оборот.</w:t>
      </w:r>
    </w:p>
    <w:p w:rsidR="009222DE" w:rsidRPr="009222DE" w:rsidRDefault="009222DE" w:rsidP="009222DE">
      <w:r>
        <w:t xml:space="preserve">Валовая продукция (ВП) - это стоимость всей произведенной продукции и выполненных работ, включая незавершенное производство. Рассчитывается по формуле: </w:t>
      </w:r>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w:p>
    <w:p w:rsidR="009222DE" w:rsidRDefault="009222DE" w:rsidP="009222D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 xml:space="preserve">на начало и на конец отчетного периода, </w:t>
      </w: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9222DE" w:rsidRPr="009222DE" w:rsidRDefault="009222DE" w:rsidP="009222DE">
      <w:r>
        <w:t>Чистая продукция (ЧП</w:t>
      </w:r>
      <w:r w:rsidRPr="00B90002">
        <w:t>) рассчитывается по формуле:</w:t>
      </w:r>
      <w:r>
        <w:t xml:space="preserve"> </w:t>
      </w:r>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w:p>
    <w:p w:rsidR="009222DE" w:rsidRDefault="009222DE" w:rsidP="009222D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r>
        <w:rPr>
          <w:rFonts w:eastAsiaTheme="minorEastAsia"/>
        </w:rPr>
        <w:t xml:space="preserve"> </w:t>
      </w:r>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w:p>
    <w:p w:rsidR="009222DE" w:rsidRPr="009222DE" w:rsidRDefault="009222DE" w:rsidP="009222DE">
      <w:r>
        <w:t xml:space="preserve">Чистая прибыль (ПЧ) - это прибыль после уплаты — налогов, экономических санкций и отчислений в благотворительные. фонды. </w:t>
      </w:r>
      <w:r w:rsidRPr="00605CA0">
        <w:t>Рассчитывается по формуле:</w:t>
      </w:r>
      <w:r>
        <w:t xml:space="preserve"> </w:t>
      </w:r>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w:p>
    <w:p w:rsidR="009222DE" w:rsidRPr="009222DE" w:rsidRDefault="009222DE" w:rsidP="009222DE">
      <w:r>
        <w:t xml:space="preserve">Эффективность работы предприятия обычно выражается в виде отношения стоимости реализованной продукции (РП) к затратам на ее производство (С): </w:t>
      </w:r>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w:p>
    <w:p w:rsidR="009222DE" w:rsidRDefault="009222DE" w:rsidP="009222D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w:t>
      </w:r>
      <w:r>
        <w:rPr>
          <w:rFonts w:eastAsiaTheme="minorEastAsia"/>
        </w:rPr>
        <w:t>.</w:t>
      </w:r>
    </w:p>
    <w:p w:rsidR="009222DE" w:rsidRPr="009222DE" w:rsidRDefault="009222DE" w:rsidP="009222DE">
      <w:pPr>
        <w:rPr>
          <w:rFonts w:eastAsiaTheme="minorEastAsia"/>
        </w:rPr>
      </w:pPr>
      <w:r>
        <w:rPr>
          <w:rFonts w:eastAsiaTheme="minorEastAsia"/>
        </w:rPr>
        <w:t>П</w:t>
      </w:r>
      <w:r w:rsidRPr="00513F33">
        <w:rPr>
          <w:rFonts w:eastAsiaTheme="minorEastAsia"/>
        </w:rPr>
        <w:t>оказателей экономической эффективности деятельности фирмы принимает вид:</w:t>
      </w:r>
      <w:r>
        <w:rPr>
          <w:rFonts w:eastAsiaTheme="minorEastAsia"/>
        </w:rPr>
        <w:t xml:space="preserve"> </w:t>
      </w:r>
      <m:oMath>
        <m:r>
          <w:rPr>
            <w:rFonts w:ascii="Cambria Math" w:hAnsi="Cambria Math"/>
          </w:rPr>
          <m:t xml:space="preserve">Э= </m:t>
        </m:r>
        <m:r>
          <w:rPr>
            <w:rFonts w:ascii="Cambria Math" w:hAnsi="Cambria Math"/>
            <w:lang w:val="en-US"/>
          </w:rPr>
          <m:t>f</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rPr>
              <m:t>Ф</m:t>
            </m:r>
          </m:e>
          <m:sub>
            <m:r>
              <w:rPr>
                <w:rFonts w:ascii="Cambria Math" w:hAnsi="Cambria Math"/>
              </w:rPr>
              <m:t>е</m:t>
            </m:r>
          </m:sub>
        </m:sSub>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y</m:t>
        </m:r>
      </m:oMath>
    </w:p>
    <w:p w:rsidR="009222DE" w:rsidRPr="00BE10DB" w:rsidRDefault="009222DE" w:rsidP="009222D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9222DE" w:rsidRDefault="009222DE" w:rsidP="009222D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w:p>
    <w:p w:rsidR="009222DE" w:rsidRPr="009222DE" w:rsidRDefault="009222DE" w:rsidP="009222DE">
      <w:r>
        <w:t>Коэффициент поступления (</w:t>
      </w:r>
      <w:proofErr w:type="spellStart"/>
      <w:r>
        <w:t>К</w:t>
      </w:r>
      <w:r w:rsidRPr="00B0527A">
        <w:rPr>
          <w:vertAlign w:val="subscript"/>
        </w:rPr>
        <w:t>пост</w:t>
      </w:r>
      <w:proofErr w:type="spellEnd"/>
      <w:r>
        <w:t xml:space="preserve">) определяет отношение стоимости вновь поступивших основных фондов. к стоимости основных фондов. на конец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w:p>
    <w:p w:rsidR="009222DE" w:rsidRPr="00C12DE2" w:rsidRDefault="009222DE" w:rsidP="009222DE">
      <w:pPr>
        <w:rPr>
          <w:rFonts w:eastAsiaTheme="minorEastAsia"/>
        </w:rPr>
      </w:pP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w:p>
    <w:p w:rsidR="009222DE" w:rsidRPr="00C2314A" w:rsidRDefault="009222DE" w:rsidP="009222DE">
      <w:pPr>
        <w:rPr>
          <w:rFonts w:eastAsiaTheme="minorEastAsia"/>
        </w:rPr>
      </w:pPr>
      <w:r w:rsidRPr="00B0527A">
        <w:rPr>
          <w:rFonts w:eastAsiaTheme="minorEastAsia"/>
        </w:rPr>
        <w:t>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w:p>
    <w:p w:rsidR="001C67FB" w:rsidRPr="00C2314A" w:rsidRDefault="001C67FB" w:rsidP="001C67FB">
      <w:pPr>
        <w:spacing w:line="360" w:lineRule="auto"/>
        <w:rPr>
          <w:rFonts w:eastAsiaTheme="minorEastAsia"/>
        </w:rPr>
      </w:pPr>
      <w:r w:rsidRPr="001C67FB">
        <w:rPr>
          <w:rFonts w:eastAsiaTheme="minorEastAsia"/>
        </w:rPr>
        <w:lastRenderedPageBreak/>
        <w:t>Коэффициент износа (К) характеризует долю изношенной части основных фондов в</w:t>
      </w:r>
      <w:r>
        <w:rPr>
          <w:rFonts w:eastAsiaTheme="minorEastAsia"/>
        </w:rPr>
        <w:t xml:space="preserve"> общей стоимости основных фондов: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w:p>
    <w:p w:rsidR="009222DE" w:rsidRPr="00585238" w:rsidRDefault="009222DE" w:rsidP="009222DE">
      <w:pPr>
        <w:rPr>
          <w:rFonts w:eastAsiaTheme="minorEastAsia"/>
        </w:rPr>
      </w:pPr>
    </w:p>
    <w:p w:rsidR="001C67FB" w:rsidRPr="001C67FB" w:rsidRDefault="001C67FB" w:rsidP="001C67FB">
      <w:pPr>
        <w:rPr>
          <w:b/>
        </w:rPr>
      </w:pPr>
      <w:r w:rsidRPr="001C67FB">
        <w:rPr>
          <w:b/>
        </w:rPr>
        <w:t>6 ИЗУЧЕНИЕ ДОЛЖНОСТНЫХ ОБЯЗАННОСТЕЙ МАСТЕРА КИП И А</w:t>
      </w:r>
    </w:p>
    <w:p w:rsidR="0043765B" w:rsidRDefault="0043765B" w:rsidP="001C67FB"/>
    <w:p w:rsidR="001C67FB" w:rsidRDefault="001C67FB" w:rsidP="001C67FB"/>
    <w:p w:rsidR="001C67FB" w:rsidRDefault="001C67FB" w:rsidP="001C67FB"/>
    <w:p w:rsidR="001C67FB" w:rsidRDefault="001C67FB" w:rsidP="001C67FB">
      <w:pPr>
        <w:rPr>
          <w:b/>
        </w:rPr>
      </w:pPr>
      <w:r w:rsidRPr="001C67FB">
        <w:rPr>
          <w:b/>
        </w:rPr>
        <w:t>7 ПЛАНИРОВАНИЕ И ОРГАНИЗАЦИЯ СОВМЕСТНОЙ РАБОТЫ ПЕРСОНАЛА СТРУКТУРНОГО ПОДРАЗДЕЛЕНИЯ</w:t>
      </w:r>
    </w:p>
    <w:p w:rsidR="001C67FB" w:rsidRDefault="001C67FB" w:rsidP="001C67FB"/>
    <w:p w:rsidR="001C67FB" w:rsidRPr="001C67FB" w:rsidRDefault="001C67FB" w:rsidP="001C67FB"/>
    <w:sectPr w:rsidR="001C67FB" w:rsidRPr="001C67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1064"/>
    <w:multiLevelType w:val="hybridMultilevel"/>
    <w:tmpl w:val="1F4ADAD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279600F"/>
    <w:multiLevelType w:val="hybridMultilevel"/>
    <w:tmpl w:val="E36C5E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721752C"/>
    <w:multiLevelType w:val="hybridMultilevel"/>
    <w:tmpl w:val="EE56FC5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D6A0E32"/>
    <w:multiLevelType w:val="hybridMultilevel"/>
    <w:tmpl w:val="A5066AD2"/>
    <w:lvl w:ilvl="0" w:tplc="CFAA52D8">
      <w:start w:val="1"/>
      <w:numFmt w:val="bullet"/>
      <w:lvlText w:val="–"/>
      <w:lvlJc w:val="left"/>
      <w:pPr>
        <w:tabs>
          <w:tab w:val="num" w:pos="1437"/>
        </w:tabs>
        <w:ind w:left="1437" w:hanging="360"/>
      </w:pPr>
      <w:rPr>
        <w:rFonts w:ascii="Times New Roman" w:hAnsi="Times New Roman" w:cs="Times New Roman" w:hint="default"/>
      </w:rPr>
    </w:lvl>
    <w:lvl w:ilvl="1" w:tplc="04190003">
      <w:start w:val="1"/>
      <w:numFmt w:val="bullet"/>
      <w:lvlText w:val="o"/>
      <w:lvlJc w:val="left"/>
      <w:pPr>
        <w:tabs>
          <w:tab w:val="num" w:pos="2157"/>
        </w:tabs>
        <w:ind w:left="2157" w:hanging="360"/>
      </w:pPr>
      <w:rPr>
        <w:rFonts w:ascii="Courier New" w:hAnsi="Courier New" w:cs="Courier New" w:hint="default"/>
      </w:rPr>
    </w:lvl>
    <w:lvl w:ilvl="2" w:tplc="04190005">
      <w:start w:val="1"/>
      <w:numFmt w:val="bullet"/>
      <w:lvlText w:val=""/>
      <w:lvlJc w:val="left"/>
      <w:pPr>
        <w:tabs>
          <w:tab w:val="num" w:pos="2877"/>
        </w:tabs>
        <w:ind w:left="2877" w:hanging="360"/>
      </w:pPr>
      <w:rPr>
        <w:rFonts w:ascii="Wingdings" w:hAnsi="Wingdings" w:hint="default"/>
      </w:rPr>
    </w:lvl>
    <w:lvl w:ilvl="3" w:tplc="04190001">
      <w:start w:val="1"/>
      <w:numFmt w:val="bullet"/>
      <w:lvlText w:val=""/>
      <w:lvlJc w:val="left"/>
      <w:pPr>
        <w:tabs>
          <w:tab w:val="num" w:pos="3597"/>
        </w:tabs>
        <w:ind w:left="3597" w:hanging="360"/>
      </w:pPr>
      <w:rPr>
        <w:rFonts w:ascii="Symbol" w:hAnsi="Symbol" w:hint="default"/>
      </w:rPr>
    </w:lvl>
    <w:lvl w:ilvl="4" w:tplc="04190003">
      <w:start w:val="1"/>
      <w:numFmt w:val="bullet"/>
      <w:lvlText w:val="o"/>
      <w:lvlJc w:val="left"/>
      <w:pPr>
        <w:tabs>
          <w:tab w:val="num" w:pos="4317"/>
        </w:tabs>
        <w:ind w:left="4317" w:hanging="360"/>
      </w:pPr>
      <w:rPr>
        <w:rFonts w:ascii="Courier New" w:hAnsi="Courier New" w:cs="Courier New" w:hint="default"/>
      </w:rPr>
    </w:lvl>
    <w:lvl w:ilvl="5" w:tplc="04190005">
      <w:start w:val="1"/>
      <w:numFmt w:val="bullet"/>
      <w:lvlText w:val=""/>
      <w:lvlJc w:val="left"/>
      <w:pPr>
        <w:tabs>
          <w:tab w:val="num" w:pos="5037"/>
        </w:tabs>
        <w:ind w:left="5037" w:hanging="360"/>
      </w:pPr>
      <w:rPr>
        <w:rFonts w:ascii="Wingdings" w:hAnsi="Wingdings" w:hint="default"/>
      </w:rPr>
    </w:lvl>
    <w:lvl w:ilvl="6" w:tplc="04190001">
      <w:start w:val="1"/>
      <w:numFmt w:val="bullet"/>
      <w:lvlText w:val=""/>
      <w:lvlJc w:val="left"/>
      <w:pPr>
        <w:tabs>
          <w:tab w:val="num" w:pos="5757"/>
        </w:tabs>
        <w:ind w:left="5757" w:hanging="360"/>
      </w:pPr>
      <w:rPr>
        <w:rFonts w:ascii="Symbol" w:hAnsi="Symbol" w:hint="default"/>
      </w:rPr>
    </w:lvl>
    <w:lvl w:ilvl="7" w:tplc="04190003">
      <w:start w:val="1"/>
      <w:numFmt w:val="bullet"/>
      <w:lvlText w:val="o"/>
      <w:lvlJc w:val="left"/>
      <w:pPr>
        <w:tabs>
          <w:tab w:val="num" w:pos="6477"/>
        </w:tabs>
        <w:ind w:left="6477" w:hanging="360"/>
      </w:pPr>
      <w:rPr>
        <w:rFonts w:ascii="Courier New" w:hAnsi="Courier New" w:cs="Courier New" w:hint="default"/>
      </w:rPr>
    </w:lvl>
    <w:lvl w:ilvl="8" w:tplc="04190005">
      <w:start w:val="1"/>
      <w:numFmt w:val="bullet"/>
      <w:lvlText w:val=""/>
      <w:lvlJc w:val="left"/>
      <w:pPr>
        <w:tabs>
          <w:tab w:val="num" w:pos="7197"/>
        </w:tabs>
        <w:ind w:left="7197" w:hanging="360"/>
      </w:pPr>
      <w:rPr>
        <w:rFonts w:ascii="Wingdings" w:hAnsi="Wingdings" w:hint="default"/>
      </w:rPr>
    </w:lvl>
  </w:abstractNum>
  <w:abstractNum w:abstractNumId="5" w15:restartNumberingAfterBreak="0">
    <w:nsid w:val="5217723E"/>
    <w:multiLevelType w:val="hybridMultilevel"/>
    <w:tmpl w:val="07A49200"/>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4E4680B"/>
    <w:multiLevelType w:val="hybridMultilevel"/>
    <w:tmpl w:val="7A1ABB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57708CF"/>
    <w:multiLevelType w:val="hybridMultilevel"/>
    <w:tmpl w:val="A5985D04"/>
    <w:lvl w:ilvl="0" w:tplc="4DF88AF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2F63B7"/>
    <w:multiLevelType w:val="hybridMultilevel"/>
    <w:tmpl w:val="4484CB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EA375AD"/>
    <w:multiLevelType w:val="hybridMultilevel"/>
    <w:tmpl w:val="85BACB6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1"/>
  </w:num>
  <w:num w:numId="6">
    <w:abstractNumId w:val="8"/>
  </w:num>
  <w:num w:numId="7">
    <w:abstractNumId w:val="9"/>
  </w:num>
  <w:num w:numId="8">
    <w:abstractNumId w:val="3"/>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19"/>
    <w:rsid w:val="00045151"/>
    <w:rsid w:val="001C67FB"/>
    <w:rsid w:val="002462E8"/>
    <w:rsid w:val="003336DD"/>
    <w:rsid w:val="003A48AC"/>
    <w:rsid w:val="00425D15"/>
    <w:rsid w:val="0043765B"/>
    <w:rsid w:val="004973DC"/>
    <w:rsid w:val="005C742C"/>
    <w:rsid w:val="006876C8"/>
    <w:rsid w:val="007D47FC"/>
    <w:rsid w:val="00901C76"/>
    <w:rsid w:val="009222DE"/>
    <w:rsid w:val="00A90904"/>
    <w:rsid w:val="00AA41CF"/>
    <w:rsid w:val="00B12719"/>
    <w:rsid w:val="00C46C9F"/>
    <w:rsid w:val="00D95D6A"/>
    <w:rsid w:val="00F20304"/>
    <w:rsid w:val="00F91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1F17-A9FA-42F0-9471-6DB65D1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5151"/>
    <w:pPr>
      <w:spacing w:after="0" w:line="240" w:lineRule="auto"/>
      <w:ind w:firstLine="851"/>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A48AC"/>
    <w:pPr>
      <w:tabs>
        <w:tab w:val="center" w:pos="4677"/>
        <w:tab w:val="right" w:pos="9355"/>
      </w:tabs>
      <w:ind w:firstLine="0"/>
      <w:jc w:val="left"/>
    </w:pPr>
    <w:rPr>
      <w:rFonts w:eastAsia="Times New Roman" w:cs="Times New Roman"/>
      <w:sz w:val="24"/>
      <w:szCs w:val="24"/>
      <w:lang w:eastAsia="ru-RU"/>
    </w:rPr>
  </w:style>
  <w:style w:type="character" w:customStyle="1" w:styleId="a4">
    <w:name w:val="Нижний колонтитул Знак"/>
    <w:basedOn w:val="a0"/>
    <w:link w:val="a3"/>
    <w:rsid w:val="003A48AC"/>
    <w:rPr>
      <w:rFonts w:ascii="Times New Roman" w:eastAsia="Times New Roman" w:hAnsi="Times New Roman" w:cs="Times New Roman"/>
      <w:sz w:val="24"/>
      <w:szCs w:val="24"/>
      <w:lang w:eastAsia="ru-RU"/>
    </w:rPr>
  </w:style>
  <w:style w:type="paragraph" w:styleId="a5">
    <w:name w:val="List Paragraph"/>
    <w:basedOn w:val="a"/>
    <w:uiPriority w:val="34"/>
    <w:qFormat/>
    <w:rsid w:val="003A48AC"/>
    <w:pPr>
      <w:ind w:left="720"/>
      <w:contextualSpacing/>
    </w:pPr>
  </w:style>
  <w:style w:type="paragraph" w:styleId="a6">
    <w:name w:val="No Spacing"/>
    <w:uiPriority w:val="1"/>
    <w:qFormat/>
    <w:rsid w:val="001C67FB"/>
    <w:pPr>
      <w:spacing w:after="0" w:line="240" w:lineRule="auto"/>
      <w:ind w:firstLine="851"/>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10</Pages>
  <Words>2692</Words>
  <Characters>15346</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9</cp:revision>
  <dcterms:created xsi:type="dcterms:W3CDTF">2023-05-05T19:20:00Z</dcterms:created>
  <dcterms:modified xsi:type="dcterms:W3CDTF">2023-05-07T19:33:00Z</dcterms:modified>
</cp:coreProperties>
</file>