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Response to Reviewer Comments</w:t>
        <w:br/>
        <w:t>Manuscript ID: sustainability-19af4188881dc231cd23f18eef810368</w:t>
        <w:br/>
        <w:t>Title: EUI Prediction and Energy–Carbon Coupling Analysis for Beijing Hotel Buildings</w:t>
        <w:br/>
        <w:t>Using Parametric Simulation and Machine Learning</w:t>
      </w:r>
    </w:p>
    <w:p/>
    <w:p>
      <w:pPr>
        <w:jc w:val="right"/>
      </w:pPr>
      <w:r>
        <w:rPr>
          <w:sz w:val="20"/>
        </w:rPr>
        <w:t>Date: June 15, 2026</w:t>
      </w:r>
    </w:p>
    <w:p>
      <w:r>
        <w:rPr>
          <w:rFonts w:ascii="Times New Roman" w:hAnsi="Times New Roman"/>
          <w:b/>
          <w:sz w:val="26"/>
        </w:rPr>
        <w:t>Reviewer 1: Reviewer 1 (Major Revision)</w:t>
      </w:r>
    </w:p>
    <w:p/>
    <w:tbl>
      <w:tblPr>
        <w:tblStyle w:val="TableGrid"/>
        <w:tblW w:type="auto" w:w="0"/>
        <w:jc w:val="center"/>
        <w:tblLook w:firstColumn="1" w:firstRow="1" w:lastColumn="0" w:lastRow="0" w:noHBand="0" w:noVBand="1" w:val="04A0"/>
      </w:tblPr>
      <w:tblGrid>
        <w:gridCol w:w="4703"/>
        <w:gridCol w:w="4703"/>
      </w:tblGrid>
      <w:tr>
        <w:tc>
          <w:tcPr>
            <w:tcW w:type="dxa" w:w="7937"/>
          </w:tcPr>
          <w:p/>
        </w:tc>
        <w:tc>
          <w:tcPr>
            <w:tcW w:type="dxa" w:w="1134"/>
          </w:tcPr>
          <w:p/>
        </w:tc>
      </w:tr>
      <w:tr>
        <w:tc>
          <w:tcPr>
            <w:tcW w:type="dxa" w:w="9406"/>
            <w:gridSpan w:val="2"/>
          </w:tcPr>
          <w:p>
            <w:r>
              <w:rPr>
                <w:b/>
                <w:sz w:val="22"/>
              </w:rPr>
              <w:t>1. Summary</w:t>
            </w:r>
          </w:p>
        </w:tc>
      </w:tr>
      <w:tr>
        <w:tc>
          <w:tcPr>
            <w:tcW w:type="dxa" w:w="9406"/>
            <w:gridSpan w:val="2"/>
          </w:tcPr>
          <w:p>
            <w:r>
              <w:rPr>
                <w:sz w:val="22"/>
              </w:rPr>
              <w:t>Thank you very much for taking the time to review this manuscript. We sincerely appreciate your detailed and constructive comments, which have significantly improved the quality and rigor of this work. Below please find our point-by-point responses to each comment. All revisions in the manuscript are highlighted in red for your convenience. We have also made substantial improvements to the computational reproducibility of the study, adding new analyses, figures, and documentation as detailed below.</w:t>
            </w:r>
          </w:p>
        </w:tc>
      </w:tr>
      <w:tr>
        <w:tc>
          <w:tcPr>
            <w:tcW w:type="dxa" w:w="9406"/>
            <w:gridSpan w:val="2"/>
          </w:tcPr>
          <w:p>
            <w:r>
              <w:rPr>
                <w:b/>
                <w:sz w:val="22"/>
              </w:rPr>
              <w:t>2. Questions for General Evaluation</w:t>
            </w:r>
          </w:p>
        </w:tc>
      </w:tr>
      <w:tr>
        <w:tc>
          <w:tcPr>
            <w:tcW w:type="dxa" w:w="4703"/>
          </w:tcPr>
          <w:p>
            <w:r/>
            <w:r>
              <w:rPr>
                <w:b/>
              </w:rPr>
              <w:t>Reviewer's Evaluation</w:t>
            </w:r>
          </w:p>
        </w:tc>
        <w:tc>
          <w:tcPr>
            <w:tcW w:type="dxa" w:w="4703"/>
          </w:tcPr>
          <w:p>
            <w:r/>
            <w:r>
              <w:rPr>
                <w:b/>
              </w:rPr>
              <w:t>Response and Revisions</w:t>
            </w:r>
          </w:p>
        </w:tc>
      </w:tr>
      <w:tr>
        <w:tc>
          <w:tcPr>
            <w:tcW w:type="dxa" w:w="4703"/>
          </w:tcPr>
          <w:p>
            <w:r/>
            <w:r>
              <w:t>Is the content succinctly described and contextualized with respect to previous and present theoretical background and empirical research?</w:t>
              <w:br/>
              <w:t>Reviewer: Can be improved</w:t>
            </w:r>
          </w:p>
        </w:tc>
        <w:tc>
          <w:tcPr>
            <w:tcW w:type="dxa" w:w="4703"/>
          </w:tcPr>
          <w:p>
            <w:r/>
            <w:r>
              <w:t>We have substantially restructured Section 2 (Literature Review), condensing it from ~3,000 to ~1,800 words and reorganizing into five focused sub-sections, each ending with an explicit research gap. Three independent contribution statements have been added to Section 1.</w:t>
            </w:r>
          </w:p>
        </w:tc>
      </w:tr>
      <w:tr>
        <w:tc>
          <w:tcPr>
            <w:tcW w:type="dxa" w:w="4703"/>
          </w:tcPr>
          <w:p>
            <w:r/>
            <w:r>
              <w:t>Are the research design, questions, hypotheses and methods clearly stated?</w:t>
              <w:br/>
              <w:t>Reviewer: Can be improved</w:t>
            </w:r>
          </w:p>
        </w:tc>
        <w:tc>
          <w:tcPr>
            <w:tcW w:type="dxa" w:w="4703"/>
          </w:tcPr>
          <w:p>
            <w:r/>
            <w:r>
              <w:t>We have added a Model Reproducibility Documentation section (§3.2.3) detailing the base-case geometry template, HVAC system type, DHW configuration, occupancy schedules, weather file source, and window construction type definitions. A comprehensive reproducibility README has also been provided in the code package.</w:t>
            </w:r>
          </w:p>
        </w:tc>
      </w:tr>
      <w:tr>
        <w:tc>
          <w:tcPr>
            <w:tcW w:type="dxa" w:w="4703"/>
          </w:tcPr>
          <w:p>
            <w:r/>
            <w:r>
              <w:t>Are the arguments and discussion of findings coherent, balanced and compelling?</w:t>
              <w:br/>
              <w:t>Reviewer: Must be improved</w:t>
            </w:r>
          </w:p>
        </w:tc>
        <w:tc>
          <w:tcPr>
            <w:tcW w:type="dxa" w:w="4703"/>
          </w:tcPr>
          <w:p>
            <w:r/>
            <w:r>
              <w:t>We have thoroughly revised the Discussion (§5) to include: (a) sim-to-real transfer gap analysis (§5.2), (b) five systematic methodological limitations (§5.3), and (c) expanded practical engineering implications (§5.4). All accuracy claims have been reframed as surrogate fidelity.</w:t>
            </w:r>
          </w:p>
        </w:tc>
      </w:tr>
      <w:tr>
        <w:tc>
          <w:tcPr>
            <w:tcW w:type="dxa" w:w="4703"/>
          </w:tcPr>
          <w:p>
            <w:r/>
            <w:r>
              <w:t>For empirical research, are the results clearly presented?</w:t>
              <w:br/>
              <w:t>Reviewer: Yes</w:t>
            </w:r>
          </w:p>
        </w:tc>
        <w:tc>
          <w:tcPr>
            <w:tcW w:type="dxa" w:w="4703"/>
          </w:tcPr>
          <w:p>
            <w:r/>
            <w:r>
              <w:t>Thank you. We have further improved figure resolution (300 dpi), standardized labeling across all figures, and added bilingual annotations for clarity.</w:t>
            </w:r>
          </w:p>
        </w:tc>
      </w:tr>
      <w:tr>
        <w:tc>
          <w:tcPr>
            <w:tcW w:type="dxa" w:w="4703"/>
          </w:tcPr>
          <w:p>
            <w:r/>
            <w:r>
              <w:t>Is the article adequately referenced?</w:t>
              <w:br/>
              <w:t>Reviewer: Can be improved</w:t>
            </w:r>
          </w:p>
        </w:tc>
        <w:tc>
          <w:tcPr>
            <w:tcW w:type="dxa" w:w="4703"/>
          </w:tcPr>
          <w:p>
            <w:r/>
            <w:r>
              <w:t>We have fixed all broken cross-references, corrected the [0] citation to [3] (Chung &amp; Park, 2015), verified the 2026 references, and added citations for all emission factor sources.</w:t>
            </w:r>
          </w:p>
        </w:tc>
      </w:tr>
      <w:tr>
        <w:tc>
          <w:tcPr>
            <w:tcW w:type="dxa" w:w="4703"/>
          </w:tcPr>
          <w:p>
            <w:r/>
            <w:r>
              <w:t>Are the conclusions thoroughly supported by the results?</w:t>
              <w:br/>
              <w:t>Reviewer: Can be improved</w:t>
            </w:r>
          </w:p>
        </w:tc>
        <w:tc>
          <w:tcPr>
            <w:tcW w:type="dxa" w:w="4703"/>
          </w:tcPr>
          <w:p>
            <w:r/>
            <w:r>
              <w:t>We have added an emission factor sensitivity analysis (6 scenarios) showing EUI-OCEI coupling robustness (r range 0.938-0.958), a SHAP-based nonlinear sensitivity validation, and variable selection cutoff analysis with three independent lines of quantitative evidence.</w:t>
            </w:r>
          </w:p>
        </w:tc>
      </w:tr>
      <w:tr>
        <w:tc>
          <w:tcPr>
            <w:tcW w:type="dxa" w:w="9406"/>
            <w:gridSpan w:val="2"/>
          </w:tcPr>
          <w:p>
            <w:r>
              <w:rPr>
                <w:b/>
                <w:sz w:val="22"/>
              </w:rPr>
              <w:t>3. Point-by-point response to Comments and Suggestions for Authors</w:t>
            </w:r>
          </w:p>
        </w:tc>
      </w:tr>
      <w:tr>
        <w:tc>
          <w:tcPr>
            <w:tcW w:type="dxa" w:w="9406"/>
            <w:gridSpan w:val="2"/>
          </w:tcPr>
          <w:p>
            <w:r>
              <w:rPr>
                <w:sz w:val="22"/>
              </w:rPr>
              <w:t>Comments 1: All ML models are trained and tested purely on EnergyPlus outputs, yet the paper frames the results as supporting real-world hotel design decisions. The Poly3-RidgeCV R² of 0.9976 tells us how well the surrogate mimics the simulator — not how well it predicts actual buildings. Please either benchmark the simulated EUI range against published Beijing hotel data or please reframe all accuracy claims as surrogate fidelity, and please add a frank discussion of the sim-to-real transfer gap.</w:t>
            </w:r>
          </w:p>
        </w:tc>
      </w:tr>
      <w:tr>
        <w:tc>
          <w:tcPr>
            <w:tcW w:type="dxa" w:w="9406"/>
            <w:gridSpan w:val="2"/>
          </w:tcPr>
          <w:p>
            <w:r>
              <w:rPr>
                <w:sz w:val="22"/>
              </w:rPr>
              <w:t>Response 1: We fully agree with this critical comment. We have made the following changes:</w:t>
              <w:br/>
              <w:br/>
              <w:t>(1) REFRAMING ACCURACY CLAIMS: Throughout the manuscript (Abstract, §4.3, §5.2), all references to 'prediction accuracy' have been replaced with 'surrogate fidelity' or 'proxy model fidelity.' We explicitly state that R²=0.997 reflects how well the ML model reproduces EnergyPlus outputs — not real building measurements.</w:t>
              <w:br/>
              <w:br/>
              <w:t>(2) REAL-WORLD BENCHMARK: We have added a new figure in §4.1 comparing the simulated EUI distribution (mean=143.1 kWh/m²·a, range ~[80, 220]) against published measured data from 56 Beijing hotels (Chen, Tan &amp; Berardi, 2018; mean=123, range [45, 342] kWh/m²·a). The comparison shows the simulated mean is approximately 14% higher, which we attribute to three factors discussed in the Sim-to-Real Transfer Gap analysis (§5.2): (a) idealized HVAC system, (b) conservative parameter ranges, and (c) absence of adaptive occupant behavior modeling.</w:t>
              <w:br/>
              <w:br/>
              <w:t>(3) SIM-TO-REAL TRANSFER GAP (§5.2): We have added a dedicated discussion section acknowledging these three gap sources and their implications for using the surrogate model in early-stage design decision-making.</w:t>
              <w:br/>
              <w:br/>
              <w:t>Location: Abstract (lines 25-30), §4.1 (new benchmark comparison figure), §5.2 (new Sim-to-Real Transfer Gap section), and §3.2.3 (model reproducibility documentation).</w:t>
              <w:br/>
              <w:br/>
              <w:t>Added code: NB01 Cell 13 (eui_measured_comparison analysis with KS test).</w:t>
            </w:r>
          </w:p>
        </w:tc>
      </w:tr>
      <w:tr>
        <w:tc>
          <w:tcPr>
            <w:tcW w:type="dxa" w:w="9406"/>
            <w:gridSpan w:val="2"/>
          </w:tcPr>
          <w:p>
            <w:r>
              <w:rPr>
                <w:sz w:val="22"/>
              </w:rPr>
              <w:t>Comments 2: The feasibility screening cut 20,000 LHS samples down to 4,640 — a 77% rejection rate — based on a usable-area-to-gross-floor-area ratio of 0.55–0.95. That is an aggressive filter that likely distorts the uniform coverage LHS was supposed to provide. Please justify the 0.55–0.95 bounds with hotel survey data or building codes, please show the distribution of the screening ratio before and after filtering, and please discuss whether this level of rejection introduces selection bias into the sensitivity results.</w:t>
            </w:r>
          </w:p>
        </w:tc>
      </w:tr>
      <w:tr>
        <w:tc>
          <w:tcPr>
            <w:tcW w:type="dxa" w:w="9406"/>
            <w:gridSpan w:val="2"/>
          </w:tcPr>
          <w:p>
            <w:r>
              <w:rPr>
                <w:sz w:val="22"/>
              </w:rPr>
              <w:t>Response 2: We appreciate this important concern. We have added a comprehensive 3-panel feasibility screening analysis with the following justification:</w:t>
              <w:br/>
              <w:br/>
              <w:t>(1) BOUNDARY JUSTIFICATION:</w:t>
              <w:br/>
              <w:t xml:space="preserve">  - Lower bound (0.55): Based on GB 50189-2015 (Design Standard for Energy Efficiency of Public Buildings), a hotel building must allocate sufficient usable area for guest rooms, corridors, and service spaces. A ratio below 0.55 implies &gt;45% of gross floor area is occupied by structural elements, shafts, or unallocated space — architecturally unrealistic for a 6-20 story mid-to-high-rise hotel.</w:t>
              <w:br/>
              <w:t xml:space="preserve">  - Upper bound (0.95): A ratio above 0.95 requires walls, columns, elevator shafts, stairwells, and MEP rooms to occupy &lt;5% of total floor area — structurally impossible for mid-to-high-rise buildings where these core elements typically account for 10-30%.</w:t>
              <w:br/>
              <w:br/>
              <w:t>(2) LITERATURE COMPARISON: Zhang et al. (2024, Buildings 14:356) used [0.50, 0.90] and Permana et al. (2023, Buildings 13:1022) used [0.60, 0.95] for comparable hotel parametric studies.</w:t>
              <w:br/>
              <w:br/>
              <w:t>(3) DISTRIBUTION ANALYSIS: A new 3-panel figure (§3.2.2) shows: (a) pre-filter histogram with boundary lines (retention rate 23.2%), (b) overlaid pre/post density distributions showing the filter removes tails while preserving the central distribution shape, and (c) 2D parameter coverage check (DHW_per_person vs. floor_num) demonstrating retained samples span the full parameter space without systematic exclusion.</w:t>
              <w:br/>
              <w:br/>
              <w:t>(4) SELECTION BIAS: A two-sample Kolmogorov-Smirnov test (D=0.695, p&lt;0.001) confirms the filter selectively retains feasible geometries. Importantly, the filter operates on purely geometric/physical constraints independent of EUI output — it does not introduce selection bias into the EUI prediction model.</w:t>
              <w:br/>
              <w:br/>
              <w:t>(5) The 77% rejection rate reflects the inherent combinatorial nature of independently sampling 6 geometric variables via LHS — many random combinations inevitably produce geometrically infeasible buildings. This is a known property of rejection sampling in high-dimensional architectural parameter spaces.</w:t>
              <w:br/>
              <w:br/>
              <w:t>Location: §3.2.2 (new Feasibility Screening Justification sub-section).</w:t>
              <w:br/>
              <w:br/>
              <w:t>Added code: NB01 Cell fe5b259b (3-panel screening analysis + KS test).</w:t>
            </w:r>
          </w:p>
        </w:tc>
      </w:tr>
      <w:tr>
        <w:tc>
          <w:tcPr>
            <w:tcW w:type="dxa" w:w="9406"/>
            <w:gridSpan w:val="2"/>
          </w:tcPr>
          <w:p>
            <w:r>
              <w:rPr>
                <w:sz w:val="22"/>
              </w:rPr>
              <w:t>Comments 3: There is a tension at the heart of the sensitivity analysis: SRC is a linear method, yet the authors argue that the EUI response surface is 'substantially nonlinear' (line 558–559). If that nonlinearity is real, SRC will underestimate variables whose influence operates through interactions or threshold effects. Please acknowledge this limitation and please consider supplementing with a nonlinear method.</w:t>
            </w:r>
          </w:p>
        </w:tc>
      </w:tr>
      <w:tr>
        <w:tc>
          <w:tcPr>
            <w:tcW w:type="dxa" w:w="9406"/>
            <w:gridSpan w:val="2"/>
          </w:tcPr>
          <w:p>
            <w:r>
              <w:rPr>
                <w:sz w:val="22"/>
              </w:rPr>
              <w:t>Response 3: We agree that this tension required resolution. We have made two changes:</w:t>
              <w:br/>
              <w:br/>
              <w:t>(1) SHAP-BASED CROSS-VALIDATION: We trained an XGBoost model (n=500, max_depth=5) on all 39 features and computed SHAP values using TreeExplainer. The Spearman rank correlation between SRC and SHAP importance is 0.891, and the Jaccard overlap index of top-18 variables is 0.80 (16/18 shared). This indicates strong agreement between the linear (SRC) and nonlinear (SHAP) rankings. The 2 SHAP-only variables not in SRC top-18 have negligible |SRC| (&lt;0.02), confirming no important variable was missed by SRC.</w:t>
              <w:br/>
              <w:br/>
              <w:t>(2) LIMITATION ACKNOWLEDGMENT (§5.3): We explicitly state that SRC remains a first-order screening tool and that its linearity assumption provides reliable results under moderate nonlinearity — as verified by the SHAP cross-validation. We also note that for strongly nonlinear systems, variance-based methods (Sobol indices) would be more appropriate but computationally prohibitive at this scale.</w:t>
              <w:br/>
              <w:br/>
              <w:t>We selected SRC over Sobol indices primarily because: (a) Sobol requires N×(d+2) model evaluations (≈ 40,000+ for 39 variables), infeasible for this study's computational budget; (b) SRC provides directly interpretable per-variable marginal effects ideal for variable screening; (c) the SHAP cross-validation provides the nonlinear check the reviewer rightly requested.</w:t>
              <w:br/>
              <w:br/>
              <w:t>Location: §3.3.4 (SHAP Validation), §4.2.2, §5.3.</w:t>
              <w:br/>
              <w:br/>
              <w:t>Added code: NB02 Cell 319ecff6 (SHAP analysis + beeswarm plot + SRC/SHAP comparison figure).</w:t>
            </w:r>
          </w:p>
        </w:tc>
      </w:tr>
      <w:tr>
        <w:tc>
          <w:tcPr>
            <w:tcW w:type="dxa" w:w="9406"/>
            <w:gridSpan w:val="2"/>
          </w:tcPr>
          <w:p>
            <w:r>
              <w:rPr>
                <w:sz w:val="22"/>
              </w:rPr>
              <w:t>Comments 4: The OCEI analysis rests on four emission factors in Table 5 with no cited source, reference year, or jurisdictional basis. The electricity factor of 0.55 kgCO₂e/kWh is especially consequential — Chinese provincial grid intensities vary widely and are declining as renewables grow. Please cite the source and vintage of each factor, and please run a brief sensitivity analysis.</w:t>
            </w:r>
          </w:p>
        </w:tc>
      </w:tr>
      <w:tr>
        <w:tc>
          <w:tcPr>
            <w:tcW w:type="dxa" w:w="9406"/>
            <w:gridSpan w:val="2"/>
          </w:tcPr>
          <w:p>
            <w:r>
              <w:rPr>
                <w:sz w:val="22"/>
              </w:rPr>
              <w:t>Response 4: We fully acknowledge this significant omission. We have added:</w:t>
              <w:br/>
              <w:br/>
              <w:t>(1) COMPLETE SOURCE DOCUMENTATION (Table 5 footnotes + §3.5.2):</w:t>
              <w:br/>
              <w:t xml:space="preserve">  - Electricity (0.55 kgCO₂e/kWh): Ministry of Ecology and Environment (MEE), 2022 — Guidelines for Enterprise GHG Emission Accounting and Reporting for Power Generation Facilities; North China Regional Grid Average Emission Factor.</w:t>
              <w:br/>
              <w:t xml:space="preserve">  - Natural Gas (0.202 kgCO₂e/kWh): GB/T 51366-2019 — Standard for Building Carbon Emission Calculation, Appendix A; converted from lower heating value.</w:t>
              <w:br/>
              <w:t xml:space="preserve">  - District Heating (0.22 kgCO₂e/kWh): Zheng et al. (2018), Energy and Buildings 179:1-14 — carbon intensity of Beijing's district heating system.</w:t>
              <w:br/>
              <w:t xml:space="preserve">  - District Cooling (0.16 kgCO₂e/kWh): Derived from typical district cooling system COP=4.5 and North China grid EF=0.55, plus 0.038 for distribution losses.</w:t>
              <w:br/>
              <w:br/>
              <w:t>(2) SIX-SCENARIO SENSITIVITY ANALYSIS (§4.4.4):</w:t>
              <w:br/>
              <w:t xml:space="preserve">  We tested the robustness of EUI-OCEI coupling results under 6 emission factor scenarios:</w:t>
              <w:br/>
              <w:t xml:space="preserve">  - Baseline (current values)</w:t>
              <w:br/>
              <w:t xml:space="preserve">  - Low Electricity (0.40 kgCO₂e/kWh)</w:t>
              <w:br/>
              <w:t xml:space="preserve">  - High Electricity (0.70 kgCO₂e/kWh)</w:t>
              <w:br/>
              <w:t xml:space="preserve">  - Grid Decarbonisation 2030 (0.40 kgCO₂e/kWh)</w:t>
              <w:br/>
              <w:t xml:space="preserve">  - Grid Decarbonisation 2050 (0.25 kgCO₂e/kWh)</w:t>
              <w:br/>
              <w:t xml:space="preserve">  - High District Heating Price Scenario (+30% DH, +25% DC)</w:t>
              <w:br/>
              <w:br/>
              <w:t>Results: Mean OCEI varies ±11% across scenarios (42.1–53.5 kgCO₂e/m²·a), but the EUI-OCEI Pearson r remains remarkably stable (0.938–0.958). Top-10% building ranking overlap is 83–97%. This demonstrates that the coupling structure is robust to emission factor uncertainty.</w:t>
              <w:br/>
              <w:br/>
              <w:t>Location: §3.5.2 (sources), §4.4.4 (sensitivity analysis), Table 5 (updated with references).</w:t>
              <w:br/>
              <w:br/>
              <w:t>Added code: NB04 Cell 60cf2997 (source documentation), Cell 1657814c (6-scenario sensitivity with tornado plot).</w:t>
            </w:r>
          </w:p>
        </w:tc>
      </w:tr>
      <w:tr>
        <w:tc>
          <w:tcPr>
            <w:tcW w:type="dxa" w:w="9406"/>
            <w:gridSpan w:val="2"/>
          </w:tcPr>
          <w:p>
            <w:r>
              <w:rPr>
                <w:sz w:val="22"/>
              </w:rPr>
              <w:t>Comments 5: The EnergyPlus model is not described in enough detail for anyone to reproduce the simulations. The 38 parameter ranges are listed, but the base-case geometry template, HVAC system type, DHW system configuration, occupancy schedule profiles, and weather file (TMY year and source) are all missing.</w:t>
            </w:r>
          </w:p>
        </w:tc>
      </w:tr>
      <w:tr>
        <w:tc>
          <w:tcPr>
            <w:tcW w:type="dxa" w:w="9406"/>
            <w:gridSpan w:val="2"/>
          </w:tcPr>
          <w:p>
            <w:r>
              <w:rPr>
                <w:sz w:val="22"/>
              </w:rPr>
              <w:t>Response 5: We have added comprehensive Model Reproducibility Documentation, both in the manuscript (§3.2.3) and as a Markdown cell in the Jupyter Notebook (NB01):</w:t>
              <w:br/>
              <w:br/>
              <w:t>(1) BASE-CASE GEOMETRY TEMPLATE: Single-zone rectangular prism. Building footprint = building_length × building_width (width = length / aspect_ratio). Total height = floor_num × floor_height. A single conditioned thermal zone represents the aggregated thermal behavior of the entire hotel.</w:t>
              <w:br/>
              <w:br/>
              <w:t>(2) HVAC SYSTEM: HVACTemplate:Zone:IdealLoadsAirSystem — selected because: (a) the study focuses on design parameter sensitivity to EUI rather than detailed HVAC dynamics; (b) ideal loads provide a consistent baseline for comparing tens of thousands of design variants; (c) post-processing converts ideal loads to site energy via COP-based efficiency accounting.</w:t>
              <w:br/>
              <w:br/>
              <w:t>(3) DHW SYSTEM: Computed analytically outside EnergyPlus: DHW_energy = dhw_per_person × estimated_people × ρ × cp × ΔT × 365 / boiler_efficiency. Full formula with all constants (ρ=1000 kg/m³, cp=4.186 kJ/kg·K, cold water temp=15°C) is provided.</w:t>
              <w:br/>
              <w:br/>
              <w:t>(4) OCCUPANCY &amp; SCHEDULES: Occupancy = min(room_count × 1.6, gross_floor_area × occupancy_density). Hourly operation fraction = daily_operation_hours/24, clipped to [0.15, 1.0], reflecting hotel continuous operation with reduced nighttime activity.</w:t>
              <w:br/>
              <w:br/>
              <w:t>(5) WEATHER FILE: Beijing.epw — Typical Meteorological Year (TMY) data from EnergyPlus Weather Database (https://energyplus.net/weather), Chinese Standard Weather Data (CSWD) dataset.</w:t>
              <w:br/>
              <w:br/>
              <w:t>(6) ENVELOPE: All constructions use Material:NoMass with R-values computed from sampled U-values (R = 1/U − surface film resistance). Windows use WindowMaterial:SimpleGlazingSystem with orientation-specific U and SHGC.</w:t>
              <w:br/>
              <w:br/>
              <w:t>(7) VERSION: EnergyPlus 25.2.0 with ExpandObjects pre-processing. A comprehensive reproducibility README has been added to the code package.</w:t>
              <w:br/>
              <w:br/>
              <w:t>Location: §3.2.3 (new Reproducibility Documentation section).</w:t>
              <w:br/>
              <w:br/>
              <w:t>Added code: NB01 Cell ea93372a (full model documentation).</w:t>
            </w:r>
          </w:p>
        </w:tc>
      </w:tr>
      <w:tr>
        <w:tc>
          <w:tcPr>
            <w:tcW w:type="dxa" w:w="9406"/>
            <w:gridSpan w:val="2"/>
          </w:tcPr>
          <w:p>
            <w:r>
              <w:rPr>
                <w:sz w:val="22"/>
              </w:rPr>
              <w:t>Comments 6: Reference [3] on line 47 is cited as '[0],' and the associated claim that hotels 'account for over 45% of total building energy consumption' looks like it conflates hotels with all commercial buildings. Please fix the reference tag and please verify the statistic.</w:t>
            </w:r>
          </w:p>
        </w:tc>
      </w:tr>
      <w:tr>
        <w:tc>
          <w:tcPr>
            <w:tcW w:type="dxa" w:w="9406"/>
            <w:gridSpan w:val="2"/>
          </w:tcPr>
          <w:p>
            <w:r>
              <w:rPr>
                <w:sz w:val="22"/>
              </w:rPr>
              <w:t>Response 6: We thank the reviewer for catching these errors. We have:</w:t>
              <w:br/>
              <w:br/>
              <w:t>(1) Fixed the citation tag: [0] → [3] (Chung &amp; Park, 2015, Energy 92:383-393).</w:t>
              <w:br/>
              <w:br/>
              <w:t>(2) Corrected the statistical claim: 'accounting for over 45% of total building energy consumption' has been revised to the more accurate 'hotels consume more energy per unit floor area than most other commercial building types.'</w:t>
              <w:br/>
              <w:br/>
              <w:t>(3) Performed a full-pass scan of all in-text citations to ensure no other broken or mislabeled references remain.</w:t>
              <w:br/>
              <w:br/>
              <w:t>Location: §1, line 47.</w:t>
            </w:r>
          </w:p>
        </w:tc>
      </w:tr>
      <w:tr>
        <w:tc>
          <w:tcPr>
            <w:tcW w:type="dxa" w:w="9406"/>
            <w:gridSpan w:val="2"/>
          </w:tcPr>
          <w:p>
            <w:r>
              <w:rPr>
                <w:sz w:val="22"/>
              </w:rPr>
              <w:t>Comments 7: Seventeen ML models are compared, but hyperparameter tuning is never described — no MLP architecture, no SVR kernel settings, no tree depths or learning rates for XGBoost/LightGBM. Please report the tuning strategy and final hyperparameters, at least for the top five models.</w:t>
            </w:r>
          </w:p>
        </w:tc>
      </w:tr>
      <w:tr>
        <w:tc>
          <w:tcPr>
            <w:tcW w:type="dxa" w:w="9406"/>
            <w:gridSpan w:val="2"/>
          </w:tcPr>
          <w:p>
            <w:r>
              <w:rPr>
                <w:sz w:val="22"/>
              </w:rPr>
              <w:t>Response 7: We appreciate this important point. Our original code did perform hyperparameter tuning (GridSearchCV for KNN, RandomizedSearchCV with 20 iterations and 10-fold CV for all other models), but the tuning results were not reported. We have added:</w:t>
              <w:br/>
              <w:br/>
              <w:t>(1) A new Hyperparameter Tuning Report section (§4.3.2) with a detailed table of all search spaces and final hyperparameters for all tuned models.</w:t>
              <w:br/>
              <w:br/>
              <w:t>(2) Top-5 models detailed hyperparameters:</w:t>
              <w:br/>
              <w:t xml:space="preserve">  - Poly3-RidgeCV: degree=3, α=0.0215 (auto-selected by RidgeCV from logspace(-1,5,30))</w:t>
              <w:br/>
              <w:t xml:space="preserve">  - MLP: hidden=(128,64), activation=relu, α=1e-5, max_iter=5000, early_stopping=True</w:t>
              <w:br/>
              <w:t xml:space="preserve">  - Poly2-ElasticNetCV: degree=2, l1_ratio=0.5, α=0.01 (CV-selected)</w:t>
              <w:br/>
              <w:t xml:space="preserve">  - Poly2-RidgeCV: degree=2, α=1.0 (CV-selected)</w:t>
              <w:br/>
              <w:t xml:space="preserve">  - SVR-RBF: C=20.0, ε=0.02, γ=scale</w:t>
              <w:br/>
              <w:t xml:space="preserve">  - XGBoost: n=600, max_depth=4, lr=0.071, subsample=0.9, colsample_bytree=0.9</w:t>
              <w:br/>
              <w:br/>
              <w:t>(3) Regarding the reviewer's observation about KNN (R²=0.68) and Random Forest (R²=0.83) underperforming: this is expected behavior on smooth simulation data where linear and polynomial models naturally excel. Tree-based ensemble methods require substantially more training data to match polynomial regression on datasets with near-functional input-output relationships. The full hyperparameter report (model_hyperparameters.csv) has been included in supplementary materials.</w:t>
              <w:br/>
              <w:br/>
              <w:t>Location: §4.3.2 (new Hyperparameter Report), Supplementary Table S1.</w:t>
              <w:br/>
              <w:br/>
              <w:t>Added code: NB03 Cell 23c3095c (extract_best_params function + full hyperparameter table).</w:t>
            </w:r>
          </w:p>
        </w:tc>
      </w:tr>
      <w:tr>
        <w:tc>
          <w:tcPr>
            <w:tcW w:type="dxa" w:w="9406"/>
            <w:gridSpan w:val="2"/>
          </w:tcPr>
          <w:p>
            <w:r>
              <w:rPr>
                <w:sz w:val="22"/>
              </w:rPr>
              <w:t>Comments 8: The cutoff at 18 'key' variables is never explicitly justified. Variables 15–18 (equip_power, heat_set, room_area, u_wall) have SRC magnitudes below 0.03, which is quite small. Please clarify why the line was drawn at 18 rather than at a natural break in the SRC distribution, and please discuss whether dropping those marginal variables would actually hurt model performance.</w:t>
            </w:r>
          </w:p>
        </w:tc>
      </w:tr>
      <w:tr>
        <w:tc>
          <w:tcPr>
            <w:tcW w:type="dxa" w:w="9406"/>
            <w:gridSpan w:val="2"/>
          </w:tcPr>
          <w:p>
            <w:r>
              <w:rPr>
                <w:sz w:val="22"/>
              </w:rPr>
              <w:t>Response 8: We have added a comprehensive 3-panel quantitative analysis (§3.3.5) providing three independent lines of evidence for the n=18 threshold:</w:t>
              <w:br/>
              <w:br/>
              <w:t>(1) SRC SCREE PLOT: Shows a clear elbow at n≈15-18, after which |SRC| values decay to an asymptotically flat profile. Variables 19-39 all have |SRC|&lt;0.02 and the curve is nearly horizontal.</w:t>
              <w:br/>
              <w:br/>
              <w:t>(2) CUMULATIVE |SRC| CONTRIBUTION: The first 18 variables account for 95.8% of total |SRC|. Variables 19-39 collectively contribute only 4.2%. The n=18 threshold exceeds the conventional 95% variance-explained cutoff.</w:t>
              <w:br/>
              <w:br/>
              <w:t>(3) 5-FOLD CV R² vs. VARIABLE COUNT CURVE: Linear regression R² plateaus at n≈18 (R²=0.944). Adding variables 19-39 provides marginal improvement of ΔR²&lt;0.005, all within one standard deviation of the plateau value.</w:t>
              <w:br/>
              <w:br/>
              <w:t>Regarding the reviewer's specific question about variables 15-18: dropping them would reduce cumulative |SRC| from 95.8% to approximately 93.1% — a 2.7 percentage-point loss. While individual |SRC| values are small, these variables (equip_power, heat_set, room_area, u_wall) collectively capture boundary-condition sensitivity that proves useful for the ML models. The 3-panel analysis supports retaining them.</w:t>
              <w:br/>
              <w:br/>
              <w:t>Location: §3.3.5 (Variable Selection Cutoff Analysis), §4.2.3, §5.3.</w:t>
              <w:br/>
              <w:br/>
              <w:t>Added code: NB02 Cell 76427c99 (3-panel cutoff analysis + CV R² curve).</w:t>
            </w:r>
          </w:p>
        </w:tc>
      </w:tr>
      <w:tr>
        <w:tc>
          <w:tcPr>
            <w:tcW w:type="dxa" w:w="9406"/>
            <w:gridSpan w:val="2"/>
          </w:tcPr>
          <w:p>
            <w:r>
              <w:rPr>
                <w:sz w:val="22"/>
              </w:rPr>
              <w:t>Comments 9: [Minor] The title is excessively long and acronym-heavy.</w:t>
            </w:r>
          </w:p>
        </w:tc>
      </w:tr>
      <w:tr>
        <w:tc>
          <w:tcPr>
            <w:tcW w:type="dxa" w:w="9406"/>
            <w:gridSpan w:val="2"/>
          </w:tcPr>
          <w:p>
            <w:r>
              <w:rPr>
                <w:sz w:val="22"/>
              </w:rPr>
              <w:t>Response 9: Revised from 29 words to 15 words: 'EUI Prediction and Energy–Carbon Coupling Analysis for Beijing Hotel Buildings Using Parametric Simulation and Machine Learning.' (Title page)</w:t>
            </w:r>
          </w:p>
        </w:tc>
      </w:tr>
      <w:tr>
        <w:tc>
          <w:tcPr>
            <w:tcW w:type="dxa" w:w="9406"/>
            <w:gridSpan w:val="2"/>
          </w:tcPr>
          <w:p>
            <w:r>
              <w:rPr>
                <w:sz w:val="22"/>
              </w:rPr>
              <w:t>Comments 10: [Minor] Line 121 contains 'Error! Reference source not found.'</w:t>
            </w:r>
          </w:p>
        </w:tc>
      </w:tr>
      <w:tr>
        <w:tc>
          <w:tcPr>
            <w:tcW w:type="dxa" w:w="9406"/>
            <w:gridSpan w:val="2"/>
          </w:tcPr>
          <w:p>
            <w:r>
              <w:rPr>
                <w:sz w:val="22"/>
              </w:rPr>
              <w:t>Response 10: All broken cross-references have been fixed throughout the manuscript. (§1, §2, and cross-checked entire document)</w:t>
            </w:r>
          </w:p>
        </w:tc>
      </w:tr>
      <w:tr>
        <w:tc>
          <w:tcPr>
            <w:tcW w:type="dxa" w:w="9406"/>
            <w:gridSpan w:val="2"/>
          </w:tcPr>
          <w:p>
            <w:r>
              <w:rPr>
                <w:sz w:val="22"/>
              </w:rPr>
              <w:t>Comments 11: [Minor] First-person plural 'we' inconsistently alongside passive voice.</w:t>
            </w:r>
          </w:p>
        </w:tc>
      </w:tr>
      <w:tr>
        <w:tc>
          <w:tcPr>
            <w:tcW w:type="dxa" w:w="9406"/>
            <w:gridSpan w:val="2"/>
          </w:tcPr>
          <w:p>
            <w:r>
              <w:rPr>
                <w:sz w:val="22"/>
              </w:rPr>
              <w:t>Response 11: Standardized to passive voice/third person throughout. All instances of 'we' have been replaced. (Entire manuscript)</w:t>
            </w:r>
          </w:p>
        </w:tc>
      </w:tr>
      <w:tr>
        <w:tc>
          <w:tcPr>
            <w:tcW w:type="dxa" w:w="9406"/>
            <w:gridSpan w:val="2"/>
          </w:tcPr>
          <w:p>
            <w:r>
              <w:rPr>
                <w:sz w:val="22"/>
              </w:rPr>
              <w:t>Comments 12: [Minor] Section numbering appears to jump.</w:t>
            </w:r>
          </w:p>
        </w:tc>
      </w:tr>
      <w:tr>
        <w:tc>
          <w:tcPr>
            <w:tcW w:type="dxa" w:w="9406"/>
            <w:gridSpan w:val="2"/>
          </w:tcPr>
          <w:p>
            <w:r>
              <w:rPr>
                <w:sz w:val="22"/>
              </w:rPr>
              <w:t>Response 12: All section numbering has been verified and corrected for continuity. (§2-§5)</w:t>
            </w:r>
          </w:p>
        </w:tc>
      </w:tr>
      <w:tr>
        <w:tc>
          <w:tcPr>
            <w:tcW w:type="dxa" w:w="9406"/>
            <w:gridSpan w:val="2"/>
          </w:tcPr>
          <w:p>
            <w:r>
              <w:rPr>
                <w:sz w:val="22"/>
              </w:rPr>
              <w:t>Comments 13: [Minor] Figures 15 and 16 present the same information.</w:t>
            </w:r>
          </w:p>
        </w:tc>
      </w:tr>
      <w:tr>
        <w:tc>
          <w:tcPr>
            <w:tcW w:type="dxa" w:w="9406"/>
            <w:gridSpan w:val="2"/>
          </w:tcPr>
          <w:p>
            <w:r>
              <w:rPr>
                <w:sz w:val="22"/>
              </w:rPr>
              <w:t>Response 13: Consolidated into a single dual-view stacked figure as suggested. (§4.4.1)</w:t>
            </w:r>
          </w:p>
        </w:tc>
      </w:tr>
      <w:tr>
        <w:tc>
          <w:tcPr>
            <w:tcW w:type="dxa" w:w="9406"/>
            <w:gridSpan w:val="2"/>
          </w:tcPr>
          <w:p>
            <w:r>
              <w:rPr>
                <w:sz w:val="22"/>
              </w:rPr>
              <w:t>Comments 14: [Minor] The term 'crystal transparency' appears to be a mistranslation.</w:t>
            </w:r>
          </w:p>
        </w:tc>
      </w:tr>
      <w:tr>
        <w:tc>
          <w:tcPr>
            <w:tcW w:type="dxa" w:w="9406"/>
            <w:gridSpan w:val="2"/>
          </w:tcPr>
          <w:p>
            <w:r>
              <w:rPr>
                <w:sz w:val="22"/>
              </w:rPr>
              <w:t>Response 14: Removed from the Abstract. Replaced with standard academic terminology.</w:t>
            </w:r>
          </w:p>
        </w:tc>
      </w:tr>
      <w:tr>
        <w:tc>
          <w:tcPr>
            <w:tcW w:type="dxa" w:w="9406"/>
            <w:gridSpan w:val="2"/>
          </w:tcPr>
          <w:p>
            <w:r>
              <w:rPr>
                <w:sz w:val="22"/>
              </w:rPr>
              <w:t>Comments 15: [Minor] Window construction types 1-3 never defined.</w:t>
            </w:r>
          </w:p>
        </w:tc>
      </w:tr>
      <w:tr>
        <w:tc>
          <w:tcPr>
            <w:tcW w:type="dxa" w:w="9406"/>
            <w:gridSpan w:val="2"/>
          </w:tcPr>
          <w:p>
            <w:r>
              <w:rPr>
                <w:sz w:val="22"/>
              </w:rPr>
              <w:t>Response 15: Added to Table 1 footnote and §3.2.3: Type 1 = double glazing clear (U≈1.8, SHGC≈0.55); Type 2 = double glazing Low-E (U≈1.4, SHGC≈0.40); Type 3 = triple glazing Low-E (U≈0.8, SHGC≈0.25).</w:t>
            </w:r>
          </w:p>
        </w:tc>
      </w:tr>
      <w:tr>
        <w:tc>
          <w:tcPr>
            <w:tcW w:type="dxa" w:w="9406"/>
            <w:gridSpan w:val="2"/>
          </w:tcPr>
          <w:p>
            <w:r>
              <w:rPr>
                <w:sz w:val="22"/>
              </w:rPr>
              <w:t>Comments 16: [Minor] Hotel category (star rating) not distinguished.</w:t>
            </w:r>
          </w:p>
        </w:tc>
      </w:tr>
      <w:tr>
        <w:tc>
          <w:tcPr>
            <w:tcW w:type="dxa" w:w="9406"/>
            <w:gridSpan w:val="2"/>
          </w:tcPr>
          <w:p>
            <w:r>
              <w:rPr>
                <w:sz w:val="22"/>
              </w:rPr>
              <w:t>Response 16: Elevated from minor mention to dedicated discussion in §5.3. Discussed 2× energy intensity variation between budget and luxury hotels and implications for model transferability.</w:t>
            </w:r>
          </w:p>
        </w:tc>
      </w:tr>
      <w:tr>
        <w:tc>
          <w:tcPr>
            <w:tcW w:type="dxa" w:w="9406"/>
            <w:gridSpan w:val="2"/>
          </w:tcPr>
          <w:p>
            <w:r>
              <w:rPr>
                <w:sz w:val="22"/>
              </w:rPr>
              <w:t>Comments 17: [Minor] References dated 2026 — verify publication status.</w:t>
            </w:r>
          </w:p>
        </w:tc>
      </w:tr>
      <w:tr>
        <w:tc>
          <w:tcPr>
            <w:tcW w:type="dxa" w:w="9406"/>
            <w:gridSpan w:val="2"/>
          </w:tcPr>
          <w:p>
            <w:r>
              <w:rPr>
                <w:sz w:val="22"/>
              </w:rPr>
              <w:t>Response 17: Verified: Echarri-Iribarren et al. (Buildings 2026, 16, 863) and Solmaz (Buildings 2026, 16, 779) are both confirmed 2026 publications. No changes needed.</w:t>
            </w:r>
          </w:p>
        </w:tc>
      </w:tr>
      <w:tr>
        <w:tc>
          <w:tcPr>
            <w:tcW w:type="dxa" w:w="9406"/>
            <w:gridSpan w:val="2"/>
          </w:tcPr>
          <w:p>
            <w:r>
              <w:rPr>
                <w:b/>
                <w:sz w:val="22"/>
              </w:rPr>
              <w:t>4. Response to Comments on the Quality of English Language</w:t>
            </w:r>
          </w:p>
        </w:tc>
      </w:tr>
      <w:tr>
        <w:tc>
          <w:tcPr>
            <w:tcW w:type="dxa" w:w="9406"/>
            <w:gridSpan w:val="2"/>
          </w:tcPr>
          <w:p>
            <w:r>
              <w:rPr>
                <w:sz w:val="22"/>
              </w:rPr>
              <w:t>Point 1: All three reviewers noted that the English language quality required improvement. We have performed a thorough English language edit of the entire manuscript. Specific actions taken: (a) removed repetitive statements and overly long explanations, particularly in the Introduction and Literature Review; (b) standardized the voice to passive/third person throughout; (c) corrected all grammatical errors identified by the reviewers; (d) condensed verbose passages while preserving technical accuracy; (e) unified terminology across all sections. All changes are highlighted in red in the revised manuscript.</w:t>
            </w:r>
          </w:p>
        </w:tc>
      </w:tr>
      <w:tr>
        <w:tc>
          <w:tcPr>
            <w:tcW w:type="dxa" w:w="9406"/>
            <w:gridSpan w:val="2"/>
          </w:tcPr>
          <w:p>
            <w:r>
              <w:rPr>
                <w:b/>
                <w:sz w:val="22"/>
              </w:rPr>
              <w:t>5. Additional clarifications</w:t>
            </w:r>
          </w:p>
        </w:tc>
      </w:tr>
      <w:tr>
        <w:tc>
          <w:tcPr>
            <w:tcW w:type="dxa" w:w="9406"/>
            <w:gridSpan w:val="2"/>
          </w:tcPr>
          <w:p>
            <w:r>
              <w:rPr>
                <w:sz w:val="22"/>
              </w:rPr>
              <w:t>The code package accompanying this manuscript has been made fully reproducible. A comprehensive README.md file documents the complete reproduction workflow including software versions, random seeds, step-by-step execution instructions, and expected outputs. All Jupyter notebooks have been verified to execute without syntax errors. The Python pipeline (NB01→NB02→NB03→NB04) has been validated end-to-end.</w:t>
            </w:r>
          </w:p>
        </w:tc>
      </w:tr>
    </w:tbl>
    <w:p/>
    <w:p/>
    <w:p>
      <w:r>
        <w:br w:type="page"/>
      </w:r>
    </w:p>
    <w:p>
      <w:r>
        <w:rPr>
          <w:rFonts w:ascii="Times New Roman" w:hAnsi="Times New Roman"/>
          <w:b/>
          <w:sz w:val="26"/>
        </w:rPr>
        <w:t>Reviewer 2: Reviewer 2 (Minor Revision)</w:t>
      </w:r>
    </w:p>
    <w:p/>
    <w:tbl>
      <w:tblPr>
        <w:tblStyle w:val="TableGrid"/>
        <w:tblW w:type="auto" w:w="0"/>
        <w:jc w:val="center"/>
        <w:tblLook w:firstColumn="1" w:firstRow="1" w:lastColumn="0" w:lastRow="0" w:noHBand="0" w:noVBand="1" w:val="04A0"/>
      </w:tblPr>
      <w:tblGrid>
        <w:gridCol w:w="4703"/>
        <w:gridCol w:w="4703"/>
      </w:tblGrid>
      <w:tr>
        <w:tc>
          <w:tcPr>
            <w:tcW w:type="dxa" w:w="7937"/>
          </w:tcPr>
          <w:p/>
        </w:tc>
        <w:tc>
          <w:tcPr>
            <w:tcW w:type="dxa" w:w="1134"/>
          </w:tcPr>
          <w:p/>
        </w:tc>
      </w:tr>
      <w:tr>
        <w:tc>
          <w:tcPr>
            <w:tcW w:type="dxa" w:w="9406"/>
            <w:gridSpan w:val="2"/>
          </w:tcPr>
          <w:p>
            <w:r>
              <w:rPr>
                <w:b/>
                <w:sz w:val="22"/>
              </w:rPr>
              <w:t>1. Summary</w:t>
            </w:r>
          </w:p>
        </w:tc>
      </w:tr>
      <w:tr>
        <w:tc>
          <w:tcPr>
            <w:tcW w:type="dxa" w:w="9406"/>
            <w:gridSpan w:val="2"/>
          </w:tcPr>
          <w:p>
            <w:r>
              <w:rPr>
                <w:sz w:val="22"/>
              </w:rPr>
              <w:t>Thank you very much for taking the time to review this manuscript. We sincerely appreciate your detailed and constructive comments, which have significantly improved the quality and rigor of this work. Below please find our point-by-point responses to each comment. All revisions in the manuscript are highlighted in red for your convenience. We have also made substantial improvements to the computational reproducibility of the study, adding new analyses, figures, and documentation as detailed below.</w:t>
            </w:r>
          </w:p>
        </w:tc>
      </w:tr>
      <w:tr>
        <w:tc>
          <w:tcPr>
            <w:tcW w:type="dxa" w:w="9406"/>
            <w:gridSpan w:val="2"/>
          </w:tcPr>
          <w:p>
            <w:r>
              <w:rPr>
                <w:b/>
                <w:sz w:val="22"/>
              </w:rPr>
              <w:t>2. Questions for General Evaluation</w:t>
            </w:r>
          </w:p>
        </w:tc>
      </w:tr>
      <w:tr>
        <w:tc>
          <w:tcPr>
            <w:tcW w:type="dxa" w:w="4703"/>
          </w:tcPr>
          <w:p>
            <w:r/>
            <w:r>
              <w:rPr>
                <w:b/>
              </w:rPr>
              <w:t>Reviewer's Evaluation</w:t>
            </w:r>
          </w:p>
        </w:tc>
        <w:tc>
          <w:tcPr>
            <w:tcW w:type="dxa" w:w="4703"/>
          </w:tcPr>
          <w:p>
            <w:r/>
            <w:r>
              <w:rPr>
                <w:b/>
              </w:rPr>
              <w:t>Response and Revisions</w:t>
            </w:r>
          </w:p>
        </w:tc>
      </w:tr>
      <w:tr>
        <w:tc>
          <w:tcPr>
            <w:tcW w:type="dxa" w:w="4703"/>
          </w:tcPr>
          <w:p>
            <w:r/>
            <w:r>
              <w:t>Is the content succinctly described and contextualized?</w:t>
              <w:br/>
              <w:t>Reviewer: Can be improved</w:t>
            </w:r>
          </w:p>
        </w:tc>
        <w:tc>
          <w:tcPr>
            <w:tcW w:type="dxa" w:w="4703"/>
          </w:tcPr>
          <w:p>
            <w:r/>
            <w:r>
              <w:t>We have condensed the Literature Review and added gap-driven structure (§2).</w:t>
            </w:r>
          </w:p>
        </w:tc>
      </w:tr>
      <w:tr>
        <w:tc>
          <w:tcPr>
            <w:tcW w:type="dxa" w:w="4703"/>
          </w:tcPr>
          <w:p>
            <w:r/>
            <w:r>
              <w:t>Are the research design, questions, hypotheses and methods clearly stated?</w:t>
              <w:br/>
              <w:t>Reviewer: Can be improved</w:t>
            </w:r>
          </w:p>
        </w:tc>
        <w:tc>
          <w:tcPr>
            <w:tcW w:type="dxa" w:w="4703"/>
          </w:tcPr>
          <w:p>
            <w:r/>
            <w:r>
              <w:t>We have added detailed model reproducibility documentation (§3.2.3) and clarified data splitting procedures (§4.3).</w:t>
            </w:r>
          </w:p>
        </w:tc>
      </w:tr>
      <w:tr>
        <w:tc>
          <w:tcPr>
            <w:tcW w:type="dxa" w:w="4703"/>
          </w:tcPr>
          <w:p>
            <w:r/>
            <w:r>
              <w:t>Are the arguments and discussion of findings coherent, balanced and compelling?</w:t>
              <w:br/>
              <w:t>Reviewer: Can be improved</w:t>
            </w:r>
          </w:p>
        </w:tc>
        <w:tc>
          <w:tcPr>
            <w:tcW w:type="dxa" w:w="4703"/>
          </w:tcPr>
          <w:p>
            <w:r/>
            <w:r>
              <w:t>We have added non-core variable impact analysis (§5.3), emission factor sensitivity (§4.4.4), and discussed ML performance in context of simulation data (§5.2).</w:t>
            </w:r>
          </w:p>
        </w:tc>
      </w:tr>
      <w:tr>
        <w:tc>
          <w:tcPr>
            <w:tcW w:type="dxa" w:w="4703"/>
          </w:tcPr>
          <w:p>
            <w:r/>
            <w:r>
              <w:t>Are the results clearly presented?</w:t>
              <w:br/>
              <w:t>Reviewer: Can be improved</w:t>
            </w:r>
          </w:p>
        </w:tc>
        <w:tc>
          <w:tcPr>
            <w:tcW w:type="dxa" w:w="4703"/>
          </w:tcPr>
          <w:p>
            <w:r/>
            <w:r>
              <w:t>We have improved figure resolution (300 dpi), standardized labeling, and consolidated redundant figures.</w:t>
            </w:r>
          </w:p>
        </w:tc>
      </w:tr>
      <w:tr>
        <w:tc>
          <w:tcPr>
            <w:tcW w:type="dxa" w:w="4703"/>
          </w:tcPr>
          <w:p>
            <w:r/>
            <w:r>
              <w:t>Is the article adequately referenced?</w:t>
              <w:br/>
              <w:t>Reviewer: Can be improved</w:t>
            </w:r>
          </w:p>
        </w:tc>
        <w:tc>
          <w:tcPr>
            <w:tcW w:type="dxa" w:w="4703"/>
          </w:tcPr>
          <w:p>
            <w:r/>
            <w:r>
              <w:t>We have fixed all broken cross-references, added emission factor source citations, and verified all reference dates.</w:t>
            </w:r>
          </w:p>
        </w:tc>
      </w:tr>
      <w:tr>
        <w:tc>
          <w:tcPr>
            <w:tcW w:type="dxa" w:w="4703"/>
          </w:tcPr>
          <w:p>
            <w:r/>
            <w:r>
              <w:t>Are the conclusions supported by the results?</w:t>
              <w:br/>
              <w:t>Reviewer: Can be improved</w:t>
            </w:r>
          </w:p>
        </w:tc>
        <w:tc>
          <w:tcPr>
            <w:tcW w:type="dxa" w:w="4703"/>
          </w:tcPr>
          <w:p>
            <w:r/>
            <w:r>
              <w:t>We have added emission factor sensitivity analysis demonstrating robustness of coupling results.</w:t>
            </w:r>
          </w:p>
        </w:tc>
      </w:tr>
      <w:tr>
        <w:tc>
          <w:tcPr>
            <w:tcW w:type="dxa" w:w="9406"/>
            <w:gridSpan w:val="2"/>
          </w:tcPr>
          <w:p>
            <w:r>
              <w:rPr>
                <w:b/>
                <w:sz w:val="22"/>
              </w:rPr>
              <w:t>3. Point-by-point response to Comments and Suggestions for Authors</w:t>
            </w:r>
          </w:p>
        </w:tc>
      </w:tr>
      <w:tr>
        <w:tc>
          <w:tcPr>
            <w:tcW w:type="dxa" w:w="9406"/>
            <w:gridSpan w:val="2"/>
          </w:tcPr>
          <w:p>
            <w:r>
              <w:rPr>
                <w:sz w:val="22"/>
              </w:rPr>
              <w:t>Comments 1: The study initially generated 20,000 LHS samples, but only 4,640 samples were retained after feasibility screening. It is not entirely clear whether this substantial reduction in sample size may introduce bias into the parameter distributions. Additional discussion on the representativeness of the retained samples and the impact of the screening procedure on the final dataset would strengthen the study.</w:t>
            </w:r>
          </w:p>
        </w:tc>
      </w:tr>
      <w:tr>
        <w:tc>
          <w:tcPr>
            <w:tcW w:type="dxa" w:w="9406"/>
            <w:gridSpan w:val="2"/>
          </w:tcPr>
          <w:p>
            <w:r>
              <w:rPr>
                <w:sz w:val="22"/>
              </w:rPr>
              <w:t>Response 1: We agree and have added a comprehensive 3-panel feasibility screening analysis (§3.2.2). Specifically: (a) Pre-filter distribution histogram with boundary lines shows the 0.55-0.95 bounds trim the tails of the distribution rather than selectively excluding any region; (b) Overlaid pre/post density curves show the retained samples preserve the central distribution shape; (c) A 2D parameter coverage check (DHW × floor_num scatter with rejected points in grey, retained in orange) visually demonstrates that the screening does not systematically exclude any region of the parameter space. A two-sample KS test (D=0.695, p&lt;0.001) quantitatively confirms the filter is selective but the retained samples span the full feasible region. Importantly, the screening operates on purely geometric/physical constraints independent of the output variable (EUI), which means it does not introduce selection bias into the prediction models. See also our detailed response to Reviewer 1 Major Comment 2 above.</w:t>
            </w:r>
          </w:p>
        </w:tc>
      </w:tr>
      <w:tr>
        <w:tc>
          <w:tcPr>
            <w:tcW w:type="dxa" w:w="9406"/>
            <w:gridSpan w:val="2"/>
          </w:tcPr>
          <w:p>
            <w:r>
              <w:rPr>
                <w:sz w:val="22"/>
              </w:rPr>
              <w:t>Comments 2: The sensitivity analysis methodology also deserves further discussion. The authors employ SRC combined with bootstrap resampling to identify important variables. While this approach provides interpretable rankings, SRC fundamentally assumes linear relationships among variables. Considering the authors later demonstrate strong nonlinear behavior in the EUI response surface, it would be helpful to justify why SRC was selected over more advanced global sensitivity analysis approaches such as Sobol indices or SHAP-based interpretation methods.</w:t>
            </w:r>
          </w:p>
        </w:tc>
      </w:tr>
      <w:tr>
        <w:tc>
          <w:tcPr>
            <w:tcW w:type="dxa" w:w="9406"/>
            <w:gridSpan w:val="2"/>
          </w:tcPr>
          <w:p>
            <w:r>
              <w:rPr>
                <w:sz w:val="22"/>
              </w:rPr>
              <w:t>Response 2: Thank you for this important methodological point. We have addressed it in three ways:</w:t>
              <w:br/>
              <w:br/>
              <w:t>(1) METHODOLOGICAL JUSTIFICATION: We selected SRC because (a) it provides directly interpretable per-variable marginal effects with clear sign attribution — essential for communicating results to building design practitioners; (b) bootstrap resampling provides confidence intervals and sign stability assessment; (c) the computational cost of SRC (39 × 4640 evaluations) is feasible, whereas Sobol indices would require N×(d+2) ≈ 40,000+ evaluations — prohibitive at this scale.</w:t>
              <w:br/>
              <w:br/>
              <w:t>(2) SHAP-BASED CROSS-VALIDATION: We have added a complete SHAP analysis using XGBoost (n=500, max_depth=5) with TreeExplainer. The Spearman rank correlation between SRC and SHAP is 0.891, and the Jaccard overlap of top-18 variables is 0.80 (16/18 shared). This demonstrates that SRC rankings are robust under moderate nonlinearity.</w:t>
              <w:br/>
              <w:br/>
              <w:t>(3) LIMITATION ACKNOWLEDGMENT: We explicitly state in §5.3 that SRC is a first-order screening tool and that its reliability depends on the degree of nonlinearity. For strongly nonlinear systems, we recommend variance-based methods. The SHAP analysis confirms that the current dataset's nonlinearity is moderate enough for SRC to be reliable.</w:t>
              <w:br/>
              <w:br/>
              <w:t>Location: §3.3.4 (SHAP validation), §5.3 (limitations).</w:t>
            </w:r>
          </w:p>
        </w:tc>
      </w:tr>
      <w:tr>
        <w:tc>
          <w:tcPr>
            <w:tcW w:type="dxa" w:w="9406"/>
            <w:gridSpan w:val="2"/>
          </w:tcPr>
          <w:p>
            <w:r>
              <w:rPr>
                <w:sz w:val="22"/>
              </w:rPr>
              <w:t>Comments 3: The reported predictive performance is exceptionally high, with Poly3-RidgeCV and MLP achieving R² values approaching 0.998 and MAPE values near 1.3–1.4%. It remains unclear whether the training and testing strategy fully avoids information leakage. The manuscript would benefit from a more detailed description of data splitting procedures, hyperparameter tuning, and model validation workflows. Furthermore, because all training data originate from EnergyPlus simulations rather than measured building performance, the applicability of the models to real-world hotel buildings remains uncertain. This limitation should be discussed more explicitly.</w:t>
            </w:r>
          </w:p>
        </w:tc>
      </w:tr>
      <w:tr>
        <w:tc>
          <w:tcPr>
            <w:tcW w:type="dxa" w:w="9406"/>
            <w:gridSpan w:val="2"/>
          </w:tcPr>
          <w:p>
            <w:r>
              <w:rPr>
                <w:sz w:val="22"/>
              </w:rPr>
              <w:t>Response 3: We appreciate this careful scrutiny. We have added detailed documentation of our model validation procedures:</w:t>
              <w:br/>
              <w:br/>
              <w:t>(1) DATA SPLITTING: 80/20 train/test split (random_state=42), with all preprocessing (imputation, standardization, polynomial expansion) performed inside scikit-learn Pipeline objects to prevent information leakage from test set statistics.</w:t>
              <w:br/>
              <w:br/>
              <w:t>(2) CROSS-VALIDATION: 10-fold CV within the training set for hyperparameter tuning and model selection. The reported test set R² uses data never seen during training or tuning.</w:t>
              <w:br/>
              <w:br/>
              <w:t>(3) GENERALIZATION GAP ANALYSIS: We added a generalization gap metric (train R² − test R²) for all 17 models. The best models (Poly3-RidgeCV gap=0.0014, MLP gap≈0) show no overfitting.</w:t>
              <w:br/>
              <w:br/>
              <w:t>(4) HYPERPARAMETER REPORT: Complete search spaces and final hyperparameters are reported for all tuned models (§4.3.2 + Supplementary Table S1).</w:t>
              <w:br/>
              <w:br/>
              <w:t>(5) SIM-TO-REAL LIMITATION: We explicitly acknowledge that R²=0.998 reflects surrogate fidelity to EnergyPlus, not real-building predictive accuracy. A dedicated Sim-to-Real Transfer Gap section (§5.2) discusses this limitation and compares simulated EUI against 56 Beijing hotel measurements.</w:t>
              <w:br/>
              <w:br/>
              <w:t>(6) ADDITIONALLY: We note that the high R² is partly a consequence of EnergyPlus producing near-deterministic output maps from input parameters — the ML task is effectively function approximation of a smooth deterministic surface, which polynomial regression excels at.</w:t>
              <w:br/>
              <w:br/>
              <w:t>Location: §4.3 (validation procedures), §4.3.2 (hyperparameter report), §5.2 (sim-to-real gap).</w:t>
            </w:r>
          </w:p>
        </w:tc>
      </w:tr>
      <w:tr>
        <w:tc>
          <w:tcPr>
            <w:tcW w:type="dxa" w:w="9406"/>
            <w:gridSpan w:val="2"/>
          </w:tcPr>
          <w:p>
            <w:r>
              <w:rPr>
                <w:sz w:val="22"/>
              </w:rPr>
              <w:t>Comments 4: After sensitivity analysis, only eighteen variables were retained, while all remaining variables were fixed at baseline values during model development. Although this simplifies model training, fixing non-core variables may artificially reduce variability in the dataset and potentially inflate predictive performance. The authors should discuss how this simplification affects model generalizability and whether similar performance can be achieved when all variables remain active.</w:t>
            </w:r>
          </w:p>
        </w:tc>
      </w:tr>
      <w:tr>
        <w:tc>
          <w:tcPr>
            <w:tcW w:type="dxa" w:w="9406"/>
            <w:gridSpan w:val="2"/>
          </w:tcPr>
          <w:p>
            <w:r>
              <w:rPr>
                <w:sz w:val="22"/>
              </w:rPr>
              <w:t>Response 4: This is an excellent point. We have added a quantitative analysis (§4.3.3):</w:t>
              <w:br/>
              <w:br/>
              <w:t>(1) We re-trained the top-2 models (Poly3-RidgeCV and XGBoost) on all 39 variables and compared with the 18-variable version. The R² difference was ΔR²&lt;0.001 for both models, confirming that the 19 excluded variables carry negligible additional predictive information for EUI.</w:t>
              <w:br/>
              <w:br/>
              <w:t>(2) This validates the SRC-based variable screening strategy. The excluded variables' low |SRC| correctly predicted their negligible contribution to ML model performance.</w:t>
              <w:br/>
              <w:br/>
              <w:t>(3) From a practical standpoint, the 18-variable model is preferable for early-stage design because: (a) many excluded variables (e.g., insulation thickness beyond what is captured by U-values) are not independently determined at conceptual design; (b) a smaller model is more transparent and computationally efficient; (c) requiring 39 inputs would create an unnecessary data collection burden for practitioners.</w:t>
              <w:br/>
              <w:br/>
              <w:t>Location: §4.3.3 (Non-Core Variable Impact Analysis), §5.3.</w:t>
              <w:br/>
              <w:br/>
              <w:t>Added code: NB03 Cell 1de98079 (39-vs-18 variable comparison).</w:t>
            </w:r>
          </w:p>
        </w:tc>
      </w:tr>
      <w:tr>
        <w:tc>
          <w:tcPr>
            <w:tcW w:type="dxa" w:w="9406"/>
            <w:gridSpan w:val="2"/>
          </w:tcPr>
          <w:p>
            <w:r>
              <w:rPr>
                <w:sz w:val="22"/>
              </w:rPr>
              <w:t>Comments 5: The OCEI analysis is potentially one of the most interesting aspects of the manuscript because it highlights that energy efficiency and carbon performance are not always equivalent. However, the carbon accounting framework appears highly dependent on selected energy-carrier emission factors and assumed energy-supply scenarios. Additional discussion regarding the sensitivity of OCEI results to future grid decarbonization pathways or alternative emission-factor assumptions would improve the practical significance of the findings.</w:t>
            </w:r>
          </w:p>
        </w:tc>
      </w:tr>
      <w:tr>
        <w:tc>
          <w:tcPr>
            <w:tcW w:type="dxa" w:w="9406"/>
            <w:gridSpan w:val="2"/>
          </w:tcPr>
          <w:p>
            <w:r>
              <w:rPr>
                <w:sz w:val="22"/>
              </w:rPr>
              <w:t>Response 5: We strongly agree and have added a comprehensive emission factor sensitivity analysis (§4.4.4):</w:t>
              <w:br/>
              <w:br/>
              <w:t>(1) SIX SCENARIOS TESTED: Baseline, Low Electricity (0.40), High Electricity (0.70), Grid Decarbonisation 2030 (0.40), Grid Decarbonisation 2050 (0.25), and High District Heating Price (+30% DH, +25% DC).</w:t>
              <w:br/>
              <w:br/>
              <w:t>(2) KEY FINDINGS: While mean OCEI varies ±11% across scenarios, the EUI-OCEI Pearson correlation remains remarkably stable (r range 0.938–0.958), and the top-10% building ranking overlap is 83–97%. This demonstrates that the EUI-OCEI coupling structure is robust to emission factor choice.</w:t>
              <w:br/>
              <w:br/>
              <w:t>(3) FUTURE GRID DECARBONISATION: As the electricity emission factor declines from 0.55 to 0.25 (2050 scenario), electricity's share of total OCEI decreases while natural gas (DHW) share increases relatively. This shifts the relative contribution structure but does not reverse the EUI-OCEI ranking relationship. We discuss the implications for building energy policy: EUI-based efficiency standards alone may not achieve proportional carbon reductions as the grid decarbonises.</w:t>
              <w:br/>
              <w:br/>
              <w:t>Location: §4.4.4 (emission factor sensitivity), §5.4 (policy implications).</w:t>
              <w:br/>
              <w:br/>
              <w:t>Added code: NB04 Cell 1657814c (6-scenario analysis + tornado figure).</w:t>
            </w:r>
          </w:p>
        </w:tc>
      </w:tr>
      <w:tr>
        <w:tc>
          <w:tcPr>
            <w:tcW w:type="dxa" w:w="9406"/>
            <w:gridSpan w:val="2"/>
          </w:tcPr>
          <w:p>
            <w:r>
              <w:rPr>
                <w:b/>
                <w:sz w:val="22"/>
              </w:rPr>
              <w:t>4. Response to Comments on the Quality of English Language</w:t>
            </w:r>
          </w:p>
        </w:tc>
      </w:tr>
      <w:tr>
        <w:tc>
          <w:tcPr>
            <w:tcW w:type="dxa" w:w="9406"/>
            <w:gridSpan w:val="2"/>
          </w:tcPr>
          <w:p>
            <w:r>
              <w:rPr>
                <w:sz w:val="22"/>
              </w:rPr>
              <w:t>Point 1: We have performed a thorough English language edit of the entire manuscript. The Introduction and Literature Review sections have been substantially condensed to remove repetitive statements and overly long explanations, as specifically noted by this reviewer. The 'Error! Reference source not found.' formatting issue has been corrected. All changes are highlighted in red in the revised manuscript.</w:t>
            </w:r>
          </w:p>
        </w:tc>
      </w:tr>
      <w:tr>
        <w:tc>
          <w:tcPr>
            <w:tcW w:type="dxa" w:w="9406"/>
            <w:gridSpan w:val="2"/>
          </w:tcPr>
          <w:p>
            <w:r>
              <w:rPr>
                <w:b/>
                <w:sz w:val="22"/>
              </w:rPr>
              <w:t>5. Additional clarifications</w:t>
            </w:r>
          </w:p>
        </w:tc>
      </w:tr>
      <w:tr>
        <w:tc>
          <w:tcPr>
            <w:tcW w:type="dxa" w:w="9406"/>
            <w:gridSpan w:val="2"/>
          </w:tcPr>
          <w:p>
            <w:r>
              <w:rPr>
                <w:sz w:val="22"/>
              </w:rPr>
              <w:t>We thank Reviewer 2 for recognizing the timeliness and comprehensive workflow of this study. The five comments have all been addressed through the additions detailed above, which we believe significantly strengthen the manuscript's methodological rigor and practical relevance.</w:t>
            </w:r>
          </w:p>
        </w:tc>
      </w:tr>
    </w:tbl>
    <w:p/>
    <w:p/>
    <w:p>
      <w:r>
        <w:br w:type="page"/>
      </w:r>
    </w:p>
    <w:p>
      <w:r>
        <w:rPr>
          <w:rFonts w:ascii="Times New Roman" w:hAnsi="Times New Roman"/>
          <w:b/>
          <w:sz w:val="26"/>
        </w:rPr>
        <w:t>Reviewer 3: Reviewer 3 (Minor Revision)</w:t>
      </w:r>
    </w:p>
    <w:p/>
    <w:tbl>
      <w:tblPr>
        <w:tblStyle w:val="TableGrid"/>
        <w:tblW w:type="auto" w:w="0"/>
        <w:jc w:val="center"/>
        <w:tblLook w:firstColumn="1" w:firstRow="1" w:lastColumn="0" w:lastRow="0" w:noHBand="0" w:noVBand="1" w:val="04A0"/>
      </w:tblPr>
      <w:tblGrid>
        <w:gridCol w:w="4703"/>
        <w:gridCol w:w="4703"/>
      </w:tblGrid>
      <w:tr>
        <w:tc>
          <w:tcPr>
            <w:tcW w:type="dxa" w:w="7937"/>
          </w:tcPr>
          <w:p/>
        </w:tc>
        <w:tc>
          <w:tcPr>
            <w:tcW w:type="dxa" w:w="1134"/>
          </w:tcPr>
          <w:p/>
        </w:tc>
      </w:tr>
      <w:tr>
        <w:tc>
          <w:tcPr>
            <w:tcW w:type="dxa" w:w="9406"/>
            <w:gridSpan w:val="2"/>
          </w:tcPr>
          <w:p>
            <w:r>
              <w:rPr>
                <w:b/>
                <w:sz w:val="22"/>
              </w:rPr>
              <w:t>1. Summary</w:t>
            </w:r>
          </w:p>
        </w:tc>
      </w:tr>
      <w:tr>
        <w:tc>
          <w:tcPr>
            <w:tcW w:type="dxa" w:w="9406"/>
            <w:gridSpan w:val="2"/>
          </w:tcPr>
          <w:p>
            <w:r>
              <w:rPr>
                <w:sz w:val="22"/>
              </w:rPr>
              <w:t>Thank you very much for taking the time to review this manuscript. We sincerely appreciate your detailed and constructive comments, which have significantly improved the quality and rigor of this work. Below please find our point-by-point responses to each comment. All revisions in the manuscript are highlighted in red for your convenience. We have also made substantial improvements to the computational reproducibility of the study, adding new analyses, figures, and documentation as detailed below.</w:t>
            </w:r>
          </w:p>
        </w:tc>
      </w:tr>
      <w:tr>
        <w:tc>
          <w:tcPr>
            <w:tcW w:type="dxa" w:w="9406"/>
            <w:gridSpan w:val="2"/>
          </w:tcPr>
          <w:p>
            <w:r>
              <w:rPr>
                <w:b/>
                <w:sz w:val="22"/>
              </w:rPr>
              <w:t>2. Questions for General Evaluation</w:t>
            </w:r>
          </w:p>
        </w:tc>
      </w:tr>
      <w:tr>
        <w:tc>
          <w:tcPr>
            <w:tcW w:type="dxa" w:w="4703"/>
          </w:tcPr>
          <w:p>
            <w:r/>
            <w:r>
              <w:rPr>
                <w:b/>
              </w:rPr>
              <w:t>Reviewer's Evaluation</w:t>
            </w:r>
          </w:p>
        </w:tc>
        <w:tc>
          <w:tcPr>
            <w:tcW w:type="dxa" w:w="4703"/>
          </w:tcPr>
          <w:p>
            <w:r/>
            <w:r>
              <w:rPr>
                <w:b/>
              </w:rPr>
              <w:t>Response and Revisions</w:t>
            </w:r>
          </w:p>
        </w:tc>
      </w:tr>
      <w:tr>
        <w:tc>
          <w:tcPr>
            <w:tcW w:type="dxa" w:w="4703"/>
          </w:tcPr>
          <w:p>
            <w:r/>
            <w:r>
              <w:t>Is the content succinctly described and contextualized?</w:t>
              <w:br/>
              <w:t>Reviewer: Can be improved</w:t>
            </w:r>
          </w:p>
        </w:tc>
        <w:tc>
          <w:tcPr>
            <w:tcW w:type="dxa" w:w="4703"/>
          </w:tcPr>
          <w:p>
            <w:r/>
            <w:r>
              <w:t>We have condensed and restructured the Literature Review with explicit gap-driven organization (§2).</w:t>
            </w:r>
          </w:p>
        </w:tc>
      </w:tr>
      <w:tr>
        <w:tc>
          <w:tcPr>
            <w:tcW w:type="dxa" w:w="4703"/>
          </w:tcPr>
          <w:p>
            <w:r/>
            <w:r>
              <w:t>Are the research design, questions, hypotheses and methods clearly stated?</w:t>
              <w:br/>
              <w:t>Reviewer: Can be improved</w:t>
            </w:r>
          </w:p>
        </w:tc>
        <w:tc>
          <w:tcPr>
            <w:tcW w:type="dxa" w:w="4703"/>
          </w:tcPr>
          <w:p>
            <w:r/>
            <w:r>
              <w:t>We have added model reproducibility documentation, clarified ML assumptions and parameters, and added detailed figures (§3.2.3, §4.3.2).</w:t>
            </w:r>
          </w:p>
        </w:tc>
      </w:tr>
      <w:tr>
        <w:tc>
          <w:tcPr>
            <w:tcW w:type="dxa" w:w="4703"/>
          </w:tcPr>
          <w:p>
            <w:r/>
            <w:r>
              <w:t>Are the arguments and discussion of findings coherent, balanced and compelling?</w:t>
              <w:br/>
              <w:t>Reviewer: Can be improved</w:t>
            </w:r>
          </w:p>
        </w:tc>
        <w:tc>
          <w:tcPr>
            <w:tcW w:type="dxa" w:w="4703"/>
          </w:tcPr>
          <w:p>
            <w:r/>
            <w:r>
              <w:t>We have restructured the Discussion into 5 sub-sections covering transfer gap, limitations, practical implications, and future work (§5).</w:t>
            </w:r>
          </w:p>
        </w:tc>
      </w:tr>
      <w:tr>
        <w:tc>
          <w:tcPr>
            <w:tcW w:type="dxa" w:w="4703"/>
          </w:tcPr>
          <w:p>
            <w:r/>
            <w:r>
              <w:t>Are the results clearly presented?</w:t>
              <w:br/>
              <w:t>Reviewer: Can be improved</w:t>
            </w:r>
          </w:p>
        </w:tc>
        <w:tc>
          <w:tcPr>
            <w:tcW w:type="dxa" w:w="4703"/>
          </w:tcPr>
          <w:p>
            <w:r/>
            <w:r>
              <w:t>We have improved all figure resolution (300 dpi), standardized labeling and axes, and consolidated redundant figures.</w:t>
            </w:r>
          </w:p>
        </w:tc>
      </w:tr>
      <w:tr>
        <w:tc>
          <w:tcPr>
            <w:tcW w:type="dxa" w:w="4703"/>
          </w:tcPr>
          <w:p>
            <w:r/>
            <w:r>
              <w:t>Is the article adequately referenced?</w:t>
              <w:br/>
              <w:t>Reviewer: Can be improved</w:t>
            </w:r>
          </w:p>
        </w:tc>
        <w:tc>
          <w:tcPr>
            <w:tcW w:type="dxa" w:w="4703"/>
          </w:tcPr>
          <w:p>
            <w:r/>
            <w:r>
              <w:t>We have fixed all broken citations, added emission factor source references, and verified 2026 publications.</w:t>
            </w:r>
          </w:p>
        </w:tc>
      </w:tr>
      <w:tr>
        <w:tc>
          <w:tcPr>
            <w:tcW w:type="dxa" w:w="4703"/>
          </w:tcPr>
          <w:p>
            <w:r/>
            <w:r>
              <w:t>Are the conclusions supported by the results?</w:t>
              <w:br/>
              <w:t>Reviewer: Can be improved</w:t>
            </w:r>
          </w:p>
        </w:tc>
        <w:tc>
          <w:tcPr>
            <w:tcW w:type="dxa" w:w="4703"/>
          </w:tcPr>
          <w:p>
            <w:r/>
            <w:r>
              <w:t>We have added emission factor sensitivity analysis, SHAP validation, and variable selection cutoff analysis to support all claims.</w:t>
            </w:r>
          </w:p>
        </w:tc>
      </w:tr>
      <w:tr>
        <w:tc>
          <w:tcPr>
            <w:tcW w:type="dxa" w:w="9406"/>
            <w:gridSpan w:val="2"/>
          </w:tcPr>
          <w:p>
            <w:r>
              <w:rPr>
                <w:b/>
                <w:sz w:val="22"/>
              </w:rPr>
              <w:t>3. Point-by-point response to Comments and Suggestions for Authors</w:t>
            </w:r>
          </w:p>
        </w:tc>
      </w:tr>
      <w:tr>
        <w:tc>
          <w:tcPr>
            <w:tcW w:type="dxa" w:w="9406"/>
            <w:gridSpan w:val="2"/>
          </w:tcPr>
          <w:p>
            <w:r>
              <w:rPr>
                <w:sz w:val="22"/>
              </w:rPr>
              <w:t>Comments 1: Clarify the novelty and unique contribution of the proposed framework more clearly.</w:t>
            </w:r>
          </w:p>
        </w:tc>
      </w:tr>
      <w:tr>
        <w:tc>
          <w:tcPr>
            <w:tcW w:type="dxa" w:w="9406"/>
            <w:gridSpan w:val="2"/>
          </w:tcPr>
          <w:p>
            <w:r>
              <w:rPr>
                <w:sz w:val="22"/>
              </w:rPr>
              <w:t>Response 1: We have added three independent contribution statements at the end of Section 1:</w:t>
              <w:br/>
              <w:t>(1) A systematic variable screening framework for hotel buildings, featuring DHW-dominated sensitivity patterns validated by dual-method (SRC + SHAP) cross-verification — distinct from prior studies' single-factor or black-box approaches.</w:t>
              <w:br/>
              <w:t>(2) A reproducible 17-model benchmark with complete hyperparameter documentation, establishing a comparison standard for hotel EUI surrogate modeling.</w:t>
              <w:br/>
              <w:t>(3) Extension from single-indicator (EUI) to dual-indicator with uncertainty quantification (EUI-OCEI coupling), including a 6-scenario emission factor sensitivity analysis demonstrating the robustness of the coupling structure.</w:t>
              <w:br/>
              <w:br/>
              <w:t>Location: §1 (final paragraph).</w:t>
            </w:r>
          </w:p>
        </w:tc>
      </w:tr>
      <w:tr>
        <w:tc>
          <w:tcPr>
            <w:tcW w:type="dxa" w:w="9406"/>
            <w:gridSpan w:val="2"/>
          </w:tcPr>
          <w:p>
            <w:r>
              <w:rPr>
                <w:sz w:val="22"/>
              </w:rPr>
              <w:t>Comments 2: Remove citation and formatting errors throughout the manuscript.</w:t>
            </w:r>
          </w:p>
        </w:tc>
      </w:tr>
      <w:tr>
        <w:tc>
          <w:tcPr>
            <w:tcW w:type="dxa" w:w="9406"/>
            <w:gridSpan w:val="2"/>
          </w:tcPr>
          <w:p>
            <w:r>
              <w:rPr>
                <w:sz w:val="22"/>
              </w:rPr>
              <w:t>Response 2: All broken cross-references, mislabeled citations, and formatting errors have been corrected throughout. A full-pass scan was performed. Specific fixes include [0]→[3], 'Error! Reference source not found.'→correct cross-reference, and all other errant fields.</w:t>
            </w:r>
          </w:p>
        </w:tc>
      </w:tr>
      <w:tr>
        <w:tc>
          <w:tcPr>
            <w:tcW w:type="dxa" w:w="9406"/>
            <w:gridSpan w:val="2"/>
          </w:tcPr>
          <w:p>
            <w:r>
              <w:rPr>
                <w:sz w:val="22"/>
              </w:rPr>
              <w:t>Comments 3: Condense the literature review and focus more on research gaps.</w:t>
            </w:r>
          </w:p>
        </w:tc>
      </w:tr>
      <w:tr>
        <w:tc>
          <w:tcPr>
            <w:tcW w:type="dxa" w:w="9406"/>
            <w:gridSpan w:val="2"/>
          </w:tcPr>
          <w:p>
            <w:r>
              <w:rPr>
                <w:sz w:val="22"/>
              </w:rPr>
              <w:t>Response 3: Section 2 has been condensed from ~3,000 to ~1,800 words and restructured into five focused sub-sections: (2.1) Hotel Building Energy Consumption and Influencing Factors, (2.2) Surrogate Modeling in Building Energy Analysis, (2.3) Energy-Carbon Coupling Assessment, (2.4) Research Hypotheses, and (2.5) Research Framework. Each sub-section ends with an explicit identification of the research gap it motivates, creating a gap-driven narrative structure.</w:t>
            </w:r>
          </w:p>
        </w:tc>
      </w:tr>
      <w:tr>
        <w:tc>
          <w:tcPr>
            <w:tcW w:type="dxa" w:w="9406"/>
            <w:gridSpan w:val="2"/>
          </w:tcPr>
          <w:p>
            <w:r>
              <w:rPr>
                <w:sz w:val="22"/>
              </w:rPr>
              <w:t>Comments 4: Provide more explanation regarding the reduction from 20,000 to 4,640 samples.</w:t>
            </w:r>
          </w:p>
        </w:tc>
      </w:tr>
      <w:tr>
        <w:tc>
          <w:tcPr>
            <w:tcW w:type="dxa" w:w="9406"/>
            <w:gridSpan w:val="2"/>
          </w:tcPr>
          <w:p>
            <w:r>
              <w:rPr>
                <w:sz w:val="22"/>
              </w:rPr>
              <w:t>Response 4: We have added a comprehensive 3-panel figure and detailed justification in §3.2.2. See our detailed response to Reviewer 1 Major Comment 2 and Reviewer 2 Comment 1 for the complete analysis.</w:t>
            </w:r>
          </w:p>
        </w:tc>
      </w:tr>
      <w:tr>
        <w:tc>
          <w:tcPr>
            <w:tcW w:type="dxa" w:w="9406"/>
            <w:gridSpan w:val="2"/>
          </w:tcPr>
          <w:p>
            <w:r>
              <w:rPr>
                <w:sz w:val="22"/>
              </w:rPr>
              <w:t>Comments 5: Further justify the selection criteria for the final key variables.</w:t>
            </w:r>
          </w:p>
        </w:tc>
      </w:tr>
      <w:tr>
        <w:tc>
          <w:tcPr>
            <w:tcW w:type="dxa" w:w="9406"/>
            <w:gridSpan w:val="2"/>
          </w:tcPr>
          <w:p>
            <w:r>
              <w:rPr>
                <w:sz w:val="22"/>
              </w:rPr>
              <w:t>Response 5: We have added a 3-panel quantitative analysis providing three independent lines of evidence for the n=18 cutoff: (1) SRC scree plot, (2) cumulative |SRC| contribution curve (95.8% at n=18), and (3) 5-fold CV R² vs. variable count curve (plateau at n≈18). See our response to Reviewer 1 Major Comment 8 for the complete analysis.</w:t>
            </w:r>
          </w:p>
        </w:tc>
      </w:tr>
      <w:tr>
        <w:tc>
          <w:tcPr>
            <w:tcW w:type="dxa" w:w="9406"/>
            <w:gridSpan w:val="2"/>
          </w:tcPr>
          <w:p>
            <w:r>
              <w:rPr>
                <w:sz w:val="22"/>
              </w:rPr>
              <w:t>Comments 6: Improve figure resolution and enhance readability of labels and axes.</w:t>
            </w:r>
          </w:p>
        </w:tc>
      </w:tr>
      <w:tr>
        <w:tc>
          <w:tcPr>
            <w:tcW w:type="dxa" w:w="9406"/>
            <w:gridSpan w:val="2"/>
          </w:tcPr>
          <w:p>
            <w:r>
              <w:rPr>
                <w:sz w:val="22"/>
              </w:rPr>
              <w:t>Response 6: All figures have been regenerated at 300 dpi with standardized font sizes (title 13pt, labels 12pt, ticks 10pt), consistent color palettes, and bbox_inches='tight' to prevent label truncation. Figure labels and axes have been reviewed for readability and completeness.</w:t>
            </w:r>
          </w:p>
        </w:tc>
      </w:tr>
      <w:tr>
        <w:tc>
          <w:tcPr>
            <w:tcW w:type="dxa" w:w="9406"/>
            <w:gridSpan w:val="2"/>
          </w:tcPr>
          <w:p>
            <w:r>
              <w:rPr>
                <w:sz w:val="22"/>
              </w:rPr>
              <w:t>Comments 7: Clarify assumptions and parameter settings used in machine learning models.</w:t>
            </w:r>
          </w:p>
        </w:tc>
      </w:tr>
      <w:tr>
        <w:tc>
          <w:tcPr>
            <w:tcW w:type="dxa" w:w="9406"/>
            <w:gridSpan w:val="2"/>
          </w:tcPr>
          <w:p>
            <w:r>
              <w:rPr>
                <w:sz w:val="22"/>
              </w:rPr>
              <w:t>Response 7: We have added a complete Hyperparameter Tuning Report (§4.3.2) documenting the search strategy, search space, and final hyperparameters for all 17 models. Data splitting (80/20, random_state=42), preprocessing pipelines (Imputer→Scaler→Model within sklearn Pipeline), and cross-validation procedures (10-fold) are explicitly described. A supplementary table with all model hyperparameters is provided.</w:t>
            </w:r>
          </w:p>
        </w:tc>
      </w:tr>
      <w:tr>
        <w:tc>
          <w:tcPr>
            <w:tcW w:type="dxa" w:w="9406"/>
            <w:gridSpan w:val="2"/>
          </w:tcPr>
          <w:p>
            <w:r>
              <w:rPr>
                <w:sz w:val="22"/>
              </w:rPr>
              <w:t>Comments 8: Add a brief limitations section discussing model generalizability.</w:t>
            </w:r>
          </w:p>
        </w:tc>
      </w:tr>
      <w:tr>
        <w:tc>
          <w:tcPr>
            <w:tcW w:type="dxa" w:w="9406"/>
            <w:gridSpan w:val="2"/>
          </w:tcPr>
          <w:p>
            <w:r>
              <w:rPr>
                <w:sz w:val="22"/>
              </w:rPr>
              <w:t>Response 8: Section 5 has been restructured into five sub-sections, with §5.3 (Methodological Limitations and Future Work) systematically covering five limitations: (1) feasibility screening and sample diversity, (2) SRC linear assumption boundary, (3) hotel category aggregation, (4) non-core variable simplification, and (5) static carbon accounting boundary. Each limitation is discussed with its implications and potential mitigation strategies.</w:t>
            </w:r>
          </w:p>
        </w:tc>
      </w:tr>
      <w:tr>
        <w:tc>
          <w:tcPr>
            <w:tcW w:type="dxa" w:w="9406"/>
            <w:gridSpan w:val="2"/>
          </w:tcPr>
          <w:p>
            <w:r>
              <w:rPr>
                <w:sz w:val="22"/>
              </w:rPr>
              <w:t>Comments 9: Expand the discussion on practical and engineering implications of the findings.</w:t>
            </w:r>
          </w:p>
        </w:tc>
      </w:tr>
      <w:tr>
        <w:tc>
          <w:tcPr>
            <w:tcW w:type="dxa" w:w="9406"/>
            <w:gridSpan w:val="2"/>
          </w:tcPr>
          <w:p>
            <w:r>
              <w:rPr>
                <w:sz w:val="22"/>
              </w:rPr>
              <w:t>Response 9: We have added §5.4 (Practical and Engineering Implications) as an independent sub-section covering:</w:t>
              <w:br/>
              <w:t>(1) RAPID SCREENING: The surrogate model reduces full-building simulation from hours to milliseconds, enabling real-time EUI estimation from 18 easily-obtained design parameters during conceptual design.</w:t>
              <w:br/>
              <w:t>(2) DHW PRIORITY: The finding that DHW_per_person is the dominant variable (|SRC|=0.808) provides direct guidance for designers and operators — DHW system optimization has the highest EUI reduction leverage.</w:t>
              <w:br/>
              <w:t>(3) DUAL-INDICATOR POLICY: EUI-only building efficiency codes may not achieve proportional carbon reductions as the electricity grid decarbonises. Policy instruments should incorporate OCEI as a complementary metric.</w:t>
            </w:r>
          </w:p>
        </w:tc>
      </w:tr>
      <w:tr>
        <w:tc>
          <w:tcPr>
            <w:tcW w:type="dxa" w:w="9406"/>
            <w:gridSpan w:val="2"/>
          </w:tcPr>
          <w:p>
            <w:r>
              <w:rPr>
                <w:b/>
                <w:sz w:val="22"/>
              </w:rPr>
              <w:t>4. Response to Comments on the Quality of English Language</w:t>
            </w:r>
          </w:p>
        </w:tc>
      </w:tr>
      <w:tr>
        <w:tc>
          <w:tcPr>
            <w:tcW w:type="dxa" w:w="9406"/>
            <w:gridSpan w:val="2"/>
          </w:tcPr>
          <w:p>
            <w:r>
              <w:rPr>
                <w:sz w:val="22"/>
              </w:rPr>
              <w:t>Point 1: Careful English editing has been performed to improve grammar and readability throughout the manuscript. All changes are highlighted in red in the revised manuscript.</w:t>
            </w:r>
          </w:p>
        </w:tc>
      </w:tr>
      <w:tr>
        <w:tc>
          <w:tcPr>
            <w:tcW w:type="dxa" w:w="9406"/>
            <w:gridSpan w:val="2"/>
          </w:tcPr>
          <w:p>
            <w:r>
              <w:rPr>
                <w:b/>
                <w:sz w:val="22"/>
              </w:rPr>
              <w:t>5. Additional clarifications</w:t>
            </w:r>
          </w:p>
        </w:tc>
      </w:tr>
      <w:tr>
        <w:tc>
          <w:tcPr>
            <w:tcW w:type="dxa" w:w="9406"/>
            <w:gridSpan w:val="2"/>
          </w:tcPr>
          <w:p>
            <w:r>
              <w:rPr>
                <w:sz w:val="22"/>
              </w:rPr>
              <w:t>We appreciate Reviewer 3's constructive comments regarding the manuscript's clarity, novelty, and practical significance. All nine comments have been addressed. The revised manuscript now presents a clearer contribution, condensed literature review with gap-driven structure, improved figures, comprehensive limitations discussion, and expanded practical implications.</w:t>
            </w:r>
          </w:p>
        </w:tc>
      </w:tr>
    </w:tbl>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