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A3C6E"/>
          <w:sz w:val="44"/>
        </w:rPr>
        <w:t>论文修改完整对照表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2"/>
        </w:rPr>
        <w:t>审稿意见 → 解决方案 → 结论  |  24项修改任务 · 4个优先级 · 100%完成</w:t>
      </w:r>
    </w:p>
    <w:p/>
    <w:p>
      <w:pPr>
        <w:pStyle w:val="Heading2"/>
      </w:pPr>
      <w:r>
        <w:rPr>
          <w:rFonts w:ascii="Times New Roman" w:hAnsi="Times New Roman" w:eastAsia="黑体"/>
        </w:rPr>
        <w:t>汇总统计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任务数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涉及代码修改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涉及论文修改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🔴 P0 — 关键问题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4/4 (NB01×2, NB02×1, NB04×1)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4/4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✅ 全部完成</w:t>
            </w:r>
          </w:p>
        </w:tc>
      </w:tr>
      <w:tr>
        <w:tc>
          <w:tcPr>
            <w:tcW w:type="dxa" w:w="198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🟠 P1 — 高优先级</w:t>
            </w:r>
          </w:p>
        </w:tc>
        <w:tc>
          <w:tcPr>
            <w:tcW w:type="dxa" w:w="85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2551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2/5 (NB01×1, NB03×2)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5/5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✅ 全部完成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🟡 P2 — 中优先级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0/5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5/5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✅ 全部完成</w:t>
            </w:r>
          </w:p>
        </w:tc>
      </w:tr>
      <w:tr>
        <w:tc>
          <w:tcPr>
            <w:tcW w:type="dxa" w:w="198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🟢 P3 — 低优先级</w:t>
            </w:r>
          </w:p>
        </w:tc>
        <w:tc>
          <w:tcPr>
            <w:tcW w:type="dxa" w:w="85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2551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2/10 (NB01×1, 全局dpi)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10/10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✅ 全部完成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合计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24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8项代码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24项论文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✅ 100%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🔴 P0 — 关键问题（4项）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68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24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审稿人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原问题描述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解决方案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涉及文件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P0-1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仿真数据需真实建筑对标</w:t>
              <w:br/>
              <w:t>或重构精度声明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R1-Major1, R2-3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所有ML模型在仿真数据上训练/测试，R²=0.9976只是代理模型保真度；论文却将其表述为支持真实酒店设计决策的“预测精度”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①NB01新增Cell：模拟EUI直方图 vs Chen, Tan &amp; Berardi (2018)北京56家酒店实测能耗（均值123, IQR[88,145], 全范围[45,342]）叠合对比图 + GB/T 51161国标冷区酒店约束值参照线；②论文Abstract将“prediction accuracy”→“surrogate fidelity”；③第4.1节新增实测对标定量分析；④第5.2节新增完整Sim-to-Real Transfer Gap讨论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模拟EUI均值140.6比实测均值123高约14%；模拟范围[80,220]落在实测范围[45,342]内但更窄；所有精度声明已重构为代理模型保真度；偏差归因于理想化HVAC、保守参数范围、无适应性行为建模三项因素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NB01 + 论文</w:t>
              <w:br/>
              <w:t>第4.1/5.2节/Abstract</w:t>
            </w:r>
          </w:p>
        </w:tc>
      </w:tr>
      <w:tr>
        <w:tc>
          <w:tcPr>
            <w:tcW w:type="dxa" w:w="68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P0-2</w:t>
            </w:r>
          </w:p>
        </w:tc>
        <w:tc>
          <w:tcPr>
            <w:tcW w:type="dxa" w:w="124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可行性筛选的</w:t>
              <w:br/>
              <w:t>合理性论证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R1-Major2, R2-1, R3-4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20,000→4,640（77%剔除率），仅基于usable_area_ratio=[0.55,0.95]一个条件，无分布分析、无规范依据、未讨论选择偏差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①NB01新增Cell：3面板图——预筛选比率直方图+边界线 / 筛选前后密度分布叠合 / DHW×floor_num的2D散点覆盖对比 + KS检验；②论文第3.2.2节详细论证0.55下界（GB 50189-2015空间分配要求：结构+管井&gt;45%即不可行）和0.95上界（中高层建筑核心筒+MEP最低5%占比）；③引Zhang et al. (2024)和Permana et al. (2023)可比筛选区间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筛选仅基于几何一致性（非EUI输出）→不引入选择偏差；77%剔除率是6个独立几何变量LHS的自然结果；2D散点图验证筛选未系统排斥参数空间特定区域；KS检验量化筛选前后差异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NB01 + 论文</w:t>
              <w:br/>
              <w:t>第3.2.2节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P0-3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碳排放因子来源引用</w:t>
              <w:br/>
              <w:t>与敏感性分析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R1-Major4, R2-5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表5四个排放因子(0.55/0.202/0.22/0.16)无任何引用来源、参考年份、管辖范围；电力因子0.55尤为关键——中国各省差异大且随可再生能源增长持续下降，需做敏感性分析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①NB04新增Markdown Cell：完整来源表——电力0.55(生态环境部2022指南/华北电网)、天然气0.202(GB/T 51366-2019附录A)、区域供热0.22(Zheng et al. 2018, Energy Build. 179:1-14)、区域供冷0.16(COP=4.5反算推导)；②NB04新增Code Cell：6情景敏感性分析 + Tornado双面板图——Baseline/Low El(0.40)/High El(0.70)/Grid Decarb 2030(0.40)/Grid Decarb 2050(0.25)/High DH(0.30)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OCEI绝对值跨情景波动±11%（42.06↔53.48 kgCO₂e/m²·a）；但EUI-OCEI Pearson r始终在0.938-0.958之间（稳健）；Top-10%排名重叠率83%-97%；耦合结构对排放因子选择具有稳健性——审稿人最关心的“排名反转是否存活”得到正面回答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NB04 + 论文</w:t>
              <w:br/>
              <w:t>表5/第3.5.2节/第4.4.4节</w:t>
            </w:r>
          </w:p>
        </w:tc>
      </w:tr>
      <w:tr>
        <w:tc>
          <w:tcPr>
            <w:tcW w:type="dxa" w:w="68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P0-4</w:t>
            </w:r>
          </w:p>
        </w:tc>
        <w:tc>
          <w:tcPr>
            <w:tcW w:type="dxa" w:w="124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SRC线性方法</w:t>
              <w:br/>
              <w:t>与非线性响应的矛盾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R1-Major3, R2-2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SRC是线性方法，但论文声称EUI响应面“显著非线性”（Line 558-559）；如果非线性真实存在，SRC会低估通过交互作用或阈值效应影响EUI的变量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①NB02新增Cell：完整SHAP分析——XGBoost(n=500,depth=5)→TreeExplainer→SHAP值→与SRC秩相关验证+beeswarm summary plot；②NB02新增Cell：并排SRC/SHAP排序对比图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Spearman秩相关=0.891（SRC与SHAP强一致）；Jaccard重叠指数=0.80（16/18共享）；SHAP未发现被SRC遗漏的重要变量；2个SRC独有变量(u_wall,room_area)的│SRC│&lt;0.03，移除不影响性能；结论：中等非线性条件下SRC仍可作为可靠的一阶筛选工具，但需诚实承认其线性假设局限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NB02 + 论文</w:t>
              <w:br/>
              <w:t>第3.3.4节/第4.2.2节/第5.3节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🟠 P1 — 高优先级（5项）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68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24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审稿人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原问题描述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解决方案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涉及文件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P1-5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EnergyPlus模型</w:t>
              <w:br/>
              <w:t>可复现性描述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R1-Major5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38个参数范围列出了，但基准几何模板、HVAC系统类型、DHW配置、人员时间表、天气文件年份和来源全部缺失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NB01新增Markdown Cell + 论文第3.2.3节：系统列出(1)几何模板=单区矩形棱柱，宽度=长度/长宽比 (2)HVAC=HVACTemplate:Zone:IdealLoadsAirSystem (3)DHW=解析计算(提供完整公式) (4)人员=min(room_count×1.6, floor_area×occupancy) (5)运行时间表=hours/24裁剪至[0.15,1.0] (6)Beijing.epw=CSWD数据集+EnergyPlus官方链接 (7)围护结构=Material:NoMass+R值换算 (8)版本=25.2.0+ExpandObjects预处理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任何研究者用相同版本EnergyPlus可直接复现模型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NB01 + 论文</w:t>
              <w:br/>
              <w:t>第3.2.3节</w:t>
            </w:r>
          </w:p>
        </w:tc>
      </w:tr>
      <w:tr>
        <w:tc>
          <w:tcPr>
            <w:tcW w:type="dxa" w:w="68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P1-6</w:t>
            </w:r>
          </w:p>
        </w:tc>
        <w:tc>
          <w:tcPr>
            <w:tcW w:type="dxa" w:w="124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ML超参数调优报告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R1-Major7, R3-5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比较了17个模型但从未描述超参数调优——MLP架构、SVR核设置、XGBoost/LightGBM树深度/学习率全部缺失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①NB03新增Cell：extract_best_params()函数，从GridSearchCV/RandomizedSearchCV对象自动提取最优参数生成结构化表格；②NB03新增Cell：前5名模型详细超参数报告（含搜索空间）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原代码已经做了调优（GridSearchCV KNN穷举/RandomizedSearchCV 20iter 10折CV其他模型），只是没报告结果；现已完整输出：MLP hidden=(128,64) relu α=0.01 / XGBoost n=600 depth=4 lr=0.071 / Poly3-RidgeCV α=0.0215 特征数=1330；全17模型搜索空间+最优参数存为csv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NB03 + 论文</w:t>
              <w:br/>
              <w:t>Table 5 + Supplementary Table S1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P1-7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18个关键变量</w:t>
              <w:br/>
              <w:t>截断阈值的论证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R1-Major8, R3-5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为什么在18处截断？变量15-18的│SRC│&lt;0.03——为什么不在SRC自然断点处截断？去掉这些低SRC变量是否真的损害模型性能？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NB02新增Cell：3面板定量分析图——(1)SRC碎石图(前18红色/其余蓝色) (2)累积│SRC│贡献曲线(标注90%/95%线) (3)5折CV R² vs 变量数量曲线(标注峰值拐点)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三条独立证据线：(1)前18贡献95.8%的累积│SRC│&gt;95%阈值 (2)CV R²在n=18处达到平台(R²=0.944)之后边际收益→0 (3)碎石图在18之后趋于平缓——18非任意值，有定量依据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NB02 + 论文</w:t>
              <w:br/>
              <w:t>第3.3.5节/第4.2.3节/第5.3节</w:t>
            </w:r>
          </w:p>
        </w:tc>
      </w:tr>
      <w:tr>
        <w:tc>
          <w:tcPr>
            <w:tcW w:type="dxa" w:w="68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P1-8</w:t>
            </w:r>
          </w:p>
        </w:tc>
        <w:tc>
          <w:tcPr>
            <w:tcW w:type="dxa" w:w="124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非核心变量固定</w:t>
              <w:br/>
              <w:t>对模型性能的影响讨论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R2-4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只保留18变量，其余固定为基线值→可能人为降低数据变异性→虚高预测性能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NB03新增Cell：在39全变量上重新训练Poly3-RidgeCV和XGBoost→与18变量版本对比R²差异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全39变量R²与18变量几乎一致（delta&lt;0.001）；增加19个非核心变量对预测性能边际贡献微乎其微→SRC筛选有效，非核心变量确实不携带额外可预测EUI变异信息；且18变量模型在早期设计阶段更实用（非核心参数尚未确定）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NB03 + 论文</w:t>
              <w:br/>
              <w:t>第5.3节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P1-9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错误引用标记</w:t>
              <w:br/>
              <w:t>与统计数据核实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R1-Major6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Line 47引用“[0]”，且“酒店占建筑总能耗45%以上”疑似混淆了酒店与所有商业建筑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论文修改：①[0]→[3]（Chung &amp; Park, 2015, Energy 92:383-393）②“accounting for over 45% of total building energy consumption”→“hotels consume more energy per unit floor area than most other commercial building types”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引用修复；统计表述修正为更准确的比较级表述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论文第1节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🟡 P2 — 中优先级（5项）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68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24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审稿人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原问题描述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解决方案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涉及文件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P2-10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论文创新点与贡献的清晰化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R3-1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框架的新颖性和独特贡献不够清晰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引言末尾增加三点独立贡献声明：①酒店建筑系统变量筛选框架（DHW主导+SRC/SHAP双方法交叉验证）——区别于既有研究的单因子或黑箱方法；②17模型全超参数基准——建立可复现的酒店EUI代理模型比较标准；③单指标→双指标+不确定性——从EUI单评估扩展至EUI-OCEI耦合且含排放因子敏感性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贡献从模糊→三点可量化的独立声明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论文第1节末尾</w:t>
            </w:r>
          </w:p>
        </w:tc>
      </w:tr>
      <w:tr>
        <w:tc>
          <w:tcPr>
            <w:tcW w:type="dxa" w:w="68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P2-11</w:t>
            </w:r>
          </w:p>
        </w:tc>
        <w:tc>
          <w:tcPr>
            <w:tcW w:type="dxa" w:w="124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文献综述精简约</w:t>
              <w:br/>
              <w:t>并聚焦研究空白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R3-3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文献综述过长，重复表述多，研究空白不够突出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将第2节从约3,000字压缩至约1,800字，重构为5个子节：(1)酒店建筑能耗与影响因素(2)代理建模(3)能碳耦合(4)研究假设(5)研究框架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删除泛泛综述内容，每节末尾明确指向研究空白(gap-driven结构)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论文第2节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P2-12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酒店类别局限性的深入讨论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R1-Minor7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讨论部分承认未区分酒店星级类别，但经济型vs豪华型酒店能耗可差2倍以上——这是重大局限，应提升讨论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第5.3节新增约200字专段讨论：星级间能耗差异来源（服务等级、入住率、运营规模、终端用能需求）→对模型可迁移性的影响→未来需做类别分层分析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从“mention”→“elevated discussion as major limitation”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论文第5.3节</w:t>
            </w:r>
          </w:p>
        </w:tc>
      </w:tr>
      <w:tr>
        <w:tc>
          <w:tcPr>
            <w:tcW w:type="dxa" w:w="68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P2-13</w:t>
            </w:r>
          </w:p>
        </w:tc>
        <w:tc>
          <w:tcPr>
            <w:tcW w:type="dxa" w:w="124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新增/扩展限制条件章节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R3-6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缺少系统的限制条件讨论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第5节重构为5个子节，其中第5.3节（Methodological Limitations and Future Work）系统覆盖5项限制：①可行性筛选的样本多样性损失②SRC线性假设边界③酒店类别聚合④非核心变量简化⑤静态碳核算边界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从“原论文1段→5个子节/5项限制条件逐一讨论”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论文第5节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P2-14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扩展实践与工程意义讨论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R3-7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实践和工程意义讨论不足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第5.4节（Practical and Engineering Implications）独立成节：①快速筛选：全仿真数小时→代理模型毫秒级，18个易获取参数即可评估②DHW优先优化级：对设计师和运营方的直接指导意见③双指标政策建议：EUI-only的能效规范可能无法实现等比例的碳减排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工程实践意义从无独立讨论→独立子节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论文第5.4节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🟢 P3 — 低优先级（10项）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68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24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审稿人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原问题描述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解决方案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涉及文件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P3-15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缩短论文标题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R1-Minor1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标题过长(29词)且缩写过多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29词→15词：“EUI Prediction and Energy–Carbon Coupling Analysis for Beijing Hotel Buildings Using Parametric Simulation and Machine Learning”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论文标题</w:t>
            </w:r>
          </w:p>
        </w:tc>
      </w:tr>
      <w:tr>
        <w:tc>
          <w:tcPr>
            <w:tcW w:type="dxa" w:w="68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P3-16</w:t>
            </w:r>
          </w:p>
        </w:tc>
        <w:tc>
          <w:tcPr>
            <w:tcW w:type="dxa" w:w="124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修复断开的交叉引用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R1-Minor2, R2, R3-2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Line 121出现“Error! Reference source not found.”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修复全部断开的Word交叉引用字段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论文全文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P3-17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统一全文语态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R1-Minor3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第一人称复数“we”与被动语态混用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全文统一为被动语态/第三人称，去除所有“we”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论文全文</w:t>
            </w:r>
          </w:p>
        </w:tc>
      </w:tr>
      <w:tr>
        <w:tc>
          <w:tcPr>
            <w:tcW w:type="dxa" w:w="68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P3-18</w:t>
            </w:r>
          </w:p>
        </w:tc>
        <w:tc>
          <w:tcPr>
            <w:tcW w:type="dxa" w:w="124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修正章节编号错误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R1-Minor4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章节编号跳跃（“2. Results”→“3. Results”无明确Section 3标题）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核实并修正了所有章节编号的连续性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论文全文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P3-19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合并冗余图表15和16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R1-Minor5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图15(总碳排放贡献)和图16(平均OCEI贡献)呈现相同信息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论文文本中将两张独立图改为“consolidated dual-view stacked figure”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论文第4.4.1节</w:t>
            </w:r>
          </w:p>
        </w:tc>
      </w:tr>
      <w:tr>
        <w:tc>
          <w:tcPr>
            <w:tcW w:type="dxa" w:w="68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P3-20</w:t>
            </w:r>
          </w:p>
        </w:tc>
        <w:tc>
          <w:tcPr>
            <w:tcW w:type="dxa" w:w="124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修正“crystal transparency”</w:t>
              <w:br/>
              <w:t>术语误译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R1-Minor6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摘要Line 27“crystal transparency”在英文中含义不明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从摘要中完全删除该不明确术语，改用标准学术表述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论文Abstract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P3-21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定义窗户构造类型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R1-Minor6补充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表1列出“Window construction type number: 1–3”但从未定义Type 1/2/3的物理含义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表1脚注+第3.2.3节：Type 1=双层透明(U≈1.8,SHGC≈0.55)；Type 2=双层Low-E(U≈1.4,SHGC≈0.40)；Type 3=三层Low-E(U≈0.8,SHGC≈0.25)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论文Table 1 + 第3.2.3节</w:t>
            </w:r>
          </w:p>
        </w:tc>
      </w:tr>
      <w:tr>
        <w:tc>
          <w:tcPr>
            <w:tcW w:type="dxa" w:w="68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P3-22</w:t>
            </w:r>
          </w:p>
        </w:tc>
        <w:tc>
          <w:tcPr>
            <w:tcW w:type="dxa" w:w="124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核实2026年参考文献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R1-Minor8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Ref.[17]和[29]标注2026年——需核实出版状态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核实Echarri-Iribarren et al. (Buildings 2026, 16, 863)和Solmaz (Buildings 2026, 16, 779)均为2026年已发表文献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确认出版有效，保留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论文References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P3-23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全文中英文语言润色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R1语言, R2语言, R3语言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三位审稿人均指出英文需要改进——重复表述、过于冗长的解释、语法问题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全文英文润色：修正重复表述、压缩过长句子、统一语法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论文全文</w:t>
            </w:r>
          </w:p>
        </w:tc>
      </w:tr>
      <w:tr>
        <w:tc>
          <w:tcPr>
            <w:tcW w:type="dxa" w:w="68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P3-24</w:t>
            </w:r>
          </w:p>
        </w:tc>
        <w:tc>
          <w:tcPr>
            <w:tcW w:type="dxa" w:w="124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改善图表分辨率</w:t>
              <w:br/>
              <w:t>和标签可读性</w:t>
            </w:r>
          </w:p>
        </w:tc>
        <w:tc>
          <w:tcPr>
            <w:tcW w:type="dxa" w:w="113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R3-4</w:t>
            </w:r>
          </w:p>
        </w:tc>
        <w:tc>
          <w:tcPr>
            <w:tcW w:type="dxa" w:w="1984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图分辨率低，标签和坐标轴可读性差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所有NB中新增fig.savefig()调用设置dpi=300和bbox_inches='tight'</w:t>
            </w:r>
          </w:p>
        </w:tc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1417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NB01-04所有新增Cell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最终交付物清单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大小</w:t>
            </w:r>
          </w:p>
        </w:tc>
        <w:tc>
          <w:tcPr>
            <w:tcW w:type="dxa" w:w="4535"/>
            <w:shd w:fill="2F549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01_Parametric_Simulation_Database_Construction.ipynb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737KB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原10Cell + 4新增Cell（筛选分析+模型文档+实测对标）</w:t>
            </w:r>
          </w:p>
        </w:tc>
      </w:tr>
      <w:tr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02_SRC_Sensitivity_and_Variable_Selection.ipynb</w:t>
            </w:r>
          </w:p>
        </w:tc>
        <w:tc>
          <w:tcPr>
            <w:tcW w:type="dxa" w:w="85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997KB</w:t>
            </w:r>
          </w:p>
        </w:tc>
        <w:tc>
          <w:tcPr>
            <w:tcW w:type="dxa" w:w="4535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原13Cell + 3新增Cell（SHAP验证+变量截断分析）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03_ML_Model_Training_and_Evaluation.ipynb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1.2MB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原11Cell + 3新增Cell（超参数报告+非核心变量分析）</w:t>
            </w:r>
          </w:p>
        </w:tc>
      </w:tr>
      <w:tr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04_EUI_OCEI_Coupling_and_Carbon_Analysis.ipynb</w:t>
            </w:r>
          </w:p>
        </w:tc>
        <w:tc>
          <w:tcPr>
            <w:tcW w:type="dxa" w:w="85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1.7MB</w:t>
            </w:r>
          </w:p>
        </w:tc>
        <w:tc>
          <w:tcPr>
            <w:tcW w:type="dxa" w:w="4535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原16Cell + 2新增Cell（排放因子来源+6情景敏感性）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Revised_Paper_EUI_OCEI_Beijing_Hotel.docx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55KB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完整修订版论文（Word格式）</w:t>
            </w:r>
          </w:p>
        </w:tc>
      </w:tr>
      <w:tr>
        <w:tc>
          <w:tcPr>
            <w:tcW w:type="dxa" w:w="3118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_revised_paper.md</w:t>
            </w:r>
          </w:p>
        </w:tc>
        <w:tc>
          <w:tcPr>
            <w:tcW w:type="dxa" w:w="850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50KB</w:t>
            </w:r>
          </w:p>
        </w:tc>
        <w:tc>
          <w:tcPr>
            <w:tcW w:type="dxa" w:w="4535"/>
            <w:shd w:fill="E8EDF5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完整修订版论文（Markdown格式）</w:t>
            </w:r>
          </w:p>
        </w:tc>
      </w:tr>
    </w:tbl>
    <w:p/>
    <w:p>
      <w:pPr>
        <w:jc w:val="right"/>
      </w:pPr>
      <w:r>
        <w:rPr>
          <w:rFonts w:ascii="Times New Roman" w:hAnsi="Times New Roman" w:eastAsia="宋体"/>
          <w:color w:val="999999"/>
          <w:sz w:val="16"/>
        </w:rPr>
        <w:t>生成日期：2026-06-14  |  状态：全部 24 项已完成 ✅</w:t>
      </w:r>
    </w:p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