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980000"/>
          <w:sz w:val="42"/>
          <w:szCs w:val="42"/>
          <w:u w:val="single"/>
        </w:rPr>
      </w:pPr>
      <w:r w:rsidDel="00000000" w:rsidR="00000000" w:rsidRPr="00000000">
        <w:rPr>
          <w:b w:val="1"/>
          <w:color w:val="980000"/>
          <w:sz w:val="42"/>
          <w:szCs w:val="42"/>
          <w:u w:val="single"/>
          <w:rtl w:val="0"/>
        </w:rPr>
        <w:t xml:space="preserve">Articles in English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Հոդը սպասարկու բառ կամ մասնիկ է, որը դրվելով գոյականի վրա, արտահայտում է որոշյալի կամ անորոշի, սեռի, թվի, հոլովի և մի շարք այլ քերականական կարգեր։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Indefinite (անորոշ) - a / an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Definite (որոշյալ) - the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a + բաղաձայն - օր․՝ a </w:t>
      </w:r>
      <w:r w:rsidDel="00000000" w:rsidR="00000000" w:rsidRPr="00000000">
        <w:rPr>
          <w:u w:val="single"/>
          <w:rtl w:val="0"/>
        </w:rPr>
        <w:t xml:space="preserve">p</w:t>
      </w:r>
      <w:r w:rsidDel="00000000" w:rsidR="00000000" w:rsidRPr="00000000">
        <w:rPr>
          <w:rtl w:val="0"/>
        </w:rPr>
        <w:t xml:space="preserve">en, a </w:t>
      </w:r>
      <w:r w:rsidDel="00000000" w:rsidR="00000000" w:rsidRPr="00000000">
        <w:rPr>
          <w:u w:val="single"/>
          <w:rtl w:val="0"/>
        </w:rPr>
        <w:t xml:space="preserve">p</w:t>
      </w:r>
      <w:r w:rsidDel="00000000" w:rsidR="00000000" w:rsidRPr="00000000">
        <w:rPr>
          <w:rtl w:val="0"/>
        </w:rPr>
        <w:t xml:space="preserve">encil, a </w:t>
      </w:r>
      <w:r w:rsidDel="00000000" w:rsidR="00000000" w:rsidRPr="00000000">
        <w:rPr>
          <w:u w:val="single"/>
          <w:rtl w:val="0"/>
        </w:rPr>
        <w:t xml:space="preserve">l</w:t>
      </w:r>
      <w:r w:rsidDel="00000000" w:rsidR="00000000" w:rsidRPr="00000000">
        <w:rPr>
          <w:rtl w:val="0"/>
        </w:rPr>
        <w:t xml:space="preserve">ion, a </w:t>
      </w:r>
      <w:r w:rsidDel="00000000" w:rsidR="00000000" w:rsidRPr="00000000">
        <w:rPr>
          <w:u w:val="single"/>
          <w:rtl w:val="0"/>
        </w:rPr>
        <w:t xml:space="preserve">c</w:t>
      </w:r>
      <w:r w:rsidDel="00000000" w:rsidR="00000000" w:rsidRPr="00000000">
        <w:rPr>
          <w:rtl w:val="0"/>
        </w:rPr>
        <w:t xml:space="preserve">omputer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an + ձայնավոր - օր․՝ an </w:t>
      </w:r>
      <w:r w:rsidDel="00000000" w:rsidR="00000000" w:rsidRPr="00000000">
        <w:rPr>
          <w:u w:val="single"/>
          <w:rtl w:val="0"/>
        </w:rPr>
        <w:t xml:space="preserve">a</w:t>
      </w:r>
      <w:r w:rsidDel="00000000" w:rsidR="00000000" w:rsidRPr="00000000">
        <w:rPr>
          <w:rtl w:val="0"/>
        </w:rPr>
        <w:t xml:space="preserve">pple, an </w:t>
      </w:r>
      <w:r w:rsidDel="00000000" w:rsidR="00000000" w:rsidRPr="00000000">
        <w:rPr>
          <w:u w:val="single"/>
          <w:rtl w:val="0"/>
        </w:rPr>
        <w:t xml:space="preserve">e</w:t>
      </w:r>
      <w:r w:rsidDel="00000000" w:rsidR="00000000" w:rsidRPr="00000000">
        <w:rPr>
          <w:rtl w:val="0"/>
        </w:rPr>
        <w:t xml:space="preserve">lephant, an </w:t>
      </w:r>
      <w:r w:rsidDel="00000000" w:rsidR="00000000" w:rsidRPr="00000000">
        <w:rPr>
          <w:u w:val="single"/>
          <w:rtl w:val="0"/>
        </w:rPr>
        <w:t xml:space="preserve">i</w:t>
      </w:r>
      <w:r w:rsidDel="00000000" w:rsidR="00000000" w:rsidRPr="00000000">
        <w:rPr>
          <w:rtl w:val="0"/>
        </w:rPr>
        <w:t xml:space="preserve">nteresting book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Tahoma" w:cs="Tahoma" w:eastAsia="Tahoma" w:hAnsi="Tahoma"/>
          <w:b w:val="1"/>
          <w:i w:val="1"/>
          <w:rtl w:val="0"/>
        </w:rPr>
        <w:t xml:space="preserve">Կանոն 1</w:t>
      </w:r>
      <w:r w:rsidDel="00000000" w:rsidR="00000000" w:rsidRPr="00000000">
        <w:rPr>
          <w:rFonts w:ascii="Tahoma" w:cs="Tahoma" w:eastAsia="Tahoma" w:hAnsi="Tahoma"/>
          <w:rtl w:val="0"/>
        </w:rPr>
        <w:t xml:space="preserve">. Անորոշ հոդը ցույց է տալիս մի առարկա կամ անձ, որը անորոշ է, անծանոթ խոսողին կամ լսողին: Այն թարգմանվում է որպես ինչ-որ կամ մի՝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Օրինակ՝ </w:t>
        <w:tab/>
        <w:t xml:space="preserve">Give me a copy-book.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There is a man standing by the window.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Tahoma" w:cs="Tahoma" w:eastAsia="Tahoma" w:hAnsi="Tahoma"/>
          <w:b w:val="1"/>
          <w:i w:val="1"/>
          <w:rtl w:val="0"/>
        </w:rPr>
        <w:t xml:space="preserve">Կանոն 2.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Անորոշ հոդը օգտագործվում է, երբ ներկայացնում ենք առարկա կամ անձ։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Օրինակ՝ </w:t>
        <w:tab/>
        <w:t xml:space="preserve">This is a table.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I am a student.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Չի կարելի՝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Անորոշ հոդը երբեք չի օգտագործվում հոգնակի թվով գործածված գոյականների հետ ինչպես նաև անհաշվելի գոյականների հետ։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1619250</wp:posOffset>
            </wp:positionH>
            <wp:positionV relativeFrom="paragraph">
              <wp:posOffset>222250</wp:posOffset>
            </wp:positionV>
            <wp:extent cx="1038225" cy="1038225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038225" cy="1038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Օրինակ՝ </w:t>
        <w:tab/>
        <w:t xml:space="preserve">a cup -     </w:t>
        <w:tab/>
        <w:t xml:space="preserve">  a cups</w:t>
      </w:r>
    </w:p>
    <w:p w:rsidR="00000000" w:rsidDel="00000000" w:rsidP="00000000" w:rsidRDefault="00000000" w:rsidRPr="00000000" w14:paraId="0000001B">
      <w:pPr>
        <w:ind w:left="720" w:firstLine="720"/>
        <w:rPr/>
      </w:pPr>
      <w:r w:rsidDel="00000000" w:rsidR="00000000" w:rsidRPr="00000000">
        <w:rPr>
          <w:rtl w:val="0"/>
        </w:rPr>
        <w:t xml:space="preserve">an apple -  </w:t>
        <w:tab/>
        <w:t xml:space="preserve">an apples.</w:t>
      </w:r>
    </w:p>
    <w:p w:rsidR="00000000" w:rsidDel="00000000" w:rsidP="00000000" w:rsidRDefault="00000000" w:rsidRPr="00000000" w14:paraId="0000001C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