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555555"/>
          <w:sz w:val="24"/>
          <w:szCs w:val="24"/>
        </w:rPr>
        <w:t xml:space="preserve">ENTREGABLE 02</w:t>
      </w:r>
    </w:p>
    <w:p>
      <w:pPr>
        <w:spacing w:after="300"/>
        <w:jc w:val="center"/>
      </w:pPr>
      <w:r>
        <w:rPr>
          <w:b/>
          <w:bCs/>
          <w:color w:val="2b5876"/>
          <w:sz w:val="40"/>
          <w:szCs w:val="40"/>
        </w:rPr>
        <w:t xml:space="preserve">DOCUMENTO DE DISEÑO</w:t>
      </w:r>
    </w:p>
    <w:p>
      <w:pPr>
        <w:spacing w:after="900"/>
        <w:jc w:val="center"/>
      </w:pPr>
      <w:r>
        <w:rPr>
          <w:color w:val="555555"/>
          <w:sz w:val="26"/>
          <w:szCs w:val="26"/>
        </w:rPr>
        <w:t xml:space="preserve">Fase de Diseño del ciclo de desarrollo de software</w:t>
      </w:r>
    </w:p>
    <w:p>
      <w:pPr>
        <w:spacing w:after="100"/>
        <w:jc w:val="center"/>
      </w:pPr>
      <w:r>
        <w:rPr>
          <w:sz w:val="22"/>
          <w:szCs w:val="22"/>
        </w:rPr>
        <w:t xml:space="preserve">Repositorio Inteligente de Documentos con Inteligencia Artificial</w:t>
      </w:r>
    </w:p>
    <w:p>
      <w:pPr>
        <w:spacing w:after="100"/>
        <w:jc w:val="center"/>
      </w:pPr>
      <w:r>
        <w:rPr>
          <w:sz w:val="22"/>
          <w:szCs w:val="22"/>
        </w:rPr>
        <w:t xml:space="preserve">Desarrollo de Aplicaciones Empresariales – VI Semestre</w:t>
      </w:r>
    </w:p>
    <w:p>
      <w:pPr>
        <w:spacing w:after="100"/>
        <w:jc w:val="center"/>
      </w:pPr>
      <w:r>
        <w:rPr>
          <w:sz w:val="22"/>
          <w:szCs w:val="22"/>
        </w:rPr>
        <w:t xml:space="preserve">Docente: Wilson Castaño Galviz</w:t>
      </w:r>
    </w:p>
    <w:p>
      <w:pPr>
        <w:spacing w:after="100"/>
        <w:jc w:val="center"/>
      </w:pPr>
      <w:r>
        <w:rPr>
          <w:sz w:val="22"/>
          <w:szCs w:val="22"/>
        </w:rPr>
        <w:t xml:space="preserve">Unidades Tecnológicas de Santander (UTS)</w:t>
      </w:r>
    </w:p>
    <w:p>
      <w:r>
        <w:br w:type="page"/>
      </w:r>
    </w:p>
    <w:p>
      <w:pPr>
        <w:pStyle w:val="Heading1"/>
        <w:spacing w:after="200" w:before="400"/>
      </w:pPr>
      <w:r>
        <w:t xml:space="preserve">2. Diseño</w:t>
      </w:r>
    </w:p>
    <w:p>
      <w:pPr>
        <w:pStyle w:val="Heading2"/>
        <w:spacing w:after="150" w:before="300"/>
      </w:pPr>
      <w:r>
        <w:t xml:space="preserve">2.1 Arquitectura general de la solución</w:t>
      </w:r>
    </w:p>
    <w:p>
      <w:pPr>
        <w:spacing w:after="150"/>
      </w:pPr>
      <w:r>
        <w:t xml:space="preserve">La solución adopta una arquitectura en capas desplegada sobre un servidor XAMPP (Apache + PHP + MySQL), con un servicio externo de Inteligencia Artificial consumido vía API REST. Las capas son: Presentación (frontend web), Aplicación (backend PHP con organización tipo MVC), Datos y Almacenamiento (MySQL + sistema de archivos), e IA externa (modelo de lenguaje para clasificación, resumen, extracción y generación de respuestas).</w:t>
      </w:r>
    </w:p>
    <w:p>
      <w:pPr>
        <w:spacing w:after="80" w:before="150"/>
        <w:jc w:val="center"/>
      </w:pPr>
      <w:r>
        <w:drawing>
          <wp:inline distT="0" distB="0" distL="0" distR="0">
            <wp:extent cx="4572000" cy="375175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751755"/>
                    </a:xfrm>
                    <a:prstGeom prst="rect">
                      <a:avLst/>
                    </a:prstGeom>
                  </pic:spPr>
                </pic:pic>
              </a:graphicData>
            </a:graphic>
          </wp:inline>
        </w:drawing>
      </w:r>
    </w:p>
    <w:p>
      <w:pPr>
        <w:spacing w:after="300"/>
        <w:jc w:val="center"/>
      </w:pPr>
      <w:r>
        <w:rPr>
          <w:i/>
          <w:iCs/>
          <w:color w:val="555555"/>
          <w:sz w:val="18"/>
          <w:szCs w:val="18"/>
        </w:rPr>
        <w:t xml:space="preserve">Figura 2. Arquitectura general de la solución por capas.</w:t>
      </w:r>
    </w:p>
    <w:p>
      <w:pPr>
        <w:pStyle w:val="Heading2"/>
        <w:spacing w:after="150" w:before="300"/>
      </w:pPr>
      <w:r>
        <w:t xml:space="preserve">2.2 Arquitectura frontend, backend, datos, almacenamiento e IA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4000"/>
      </w:tblGrid>
      <w:tr>
        <w:trPr>
          <w:tblHeader/>
        </w:trPr>
        <w:tc>
          <w:tcPr>
            <w:tcW w:type="dxa" w:w="1800"/>
            <w:shd w:fill="2b5876" w:val="clear"/>
            <w:vAlign w:val="center"/>
          </w:tcPr>
          <w:p>
            <w:r>
              <w:rPr>
                <w:b/>
                <w:bCs/>
                <w:color w:val="FFFFFF"/>
                <w:sz w:val="19"/>
                <w:szCs w:val="19"/>
              </w:rPr>
              <w:t xml:space="preserve">Capa</w:t>
            </w:r>
          </w:p>
        </w:tc>
        <w:tc>
          <w:tcPr>
            <w:tcW w:type="dxa" w:w="3600"/>
            <w:shd w:fill="2b5876" w:val="clear"/>
            <w:vAlign w:val="center"/>
          </w:tcPr>
          <w:p>
            <w:r>
              <w:rPr>
                <w:b/>
                <w:bCs/>
                <w:color w:val="FFFFFF"/>
                <w:sz w:val="19"/>
                <w:szCs w:val="19"/>
              </w:rPr>
              <w:t xml:space="preserve">Tecnología</w:t>
            </w:r>
          </w:p>
        </w:tc>
        <w:tc>
          <w:tcPr>
            <w:tcW w:type="dxa" w:w="4000"/>
            <w:shd w:fill="2b5876" w:val="clear"/>
            <w:vAlign w:val="center"/>
          </w:tcPr>
          <w:p>
            <w:r>
              <w:rPr>
                <w:b/>
                <w:bCs/>
                <w:color w:val="FFFFFF"/>
                <w:sz w:val="19"/>
                <w:szCs w:val="19"/>
              </w:rPr>
              <w:t xml:space="preserve">Responsabilidad</w:t>
            </w:r>
          </w:p>
        </w:tc>
      </w:tr>
      <w:tr>
        <w:tc>
          <w:tcPr>
            <w:tcW w:type="dxa" w:w="1800"/>
            <w:vAlign w:val="center"/>
          </w:tcPr>
          <w:p>
            <w:r>
              <w:rPr>
                <w:b w:val="false"/>
                <w:bCs w:val="false"/>
                <w:color w:val="000000"/>
                <w:sz w:val="19"/>
                <w:szCs w:val="19"/>
              </w:rPr>
              <w:t xml:space="preserve">Frontend</w:t>
            </w:r>
          </w:p>
        </w:tc>
        <w:tc>
          <w:tcPr>
            <w:tcW w:type="dxa" w:w="3600"/>
            <w:vAlign w:val="center"/>
          </w:tcPr>
          <w:p>
            <w:r>
              <w:rPr>
                <w:b w:val="false"/>
                <w:bCs w:val="false"/>
                <w:color w:val="000000"/>
                <w:sz w:val="19"/>
                <w:szCs w:val="19"/>
              </w:rPr>
              <w:t xml:space="preserve">HTML5 + CSS3 + JavaScript (fetch/AJAX)</w:t>
            </w:r>
          </w:p>
        </w:tc>
        <w:tc>
          <w:tcPr>
            <w:tcW w:type="dxa" w:w="4000"/>
            <w:vAlign w:val="center"/>
          </w:tcPr>
          <w:p>
            <w:r>
              <w:rPr>
                <w:b w:val="false"/>
                <w:bCs w:val="false"/>
                <w:color w:val="000000"/>
                <w:sz w:val="19"/>
                <w:szCs w:val="19"/>
              </w:rPr>
              <w:t xml:space="preserve">Interfaz de usuario: carga de archivos, navegación de carpetas, búsqueda, chat de consulta y dashboard</w:t>
            </w:r>
          </w:p>
        </w:tc>
      </w:tr>
      <w:tr>
        <w:tc>
          <w:tcPr>
            <w:tcW w:type="dxa" w:w="1800"/>
            <w:vAlign w:val="center"/>
          </w:tcPr>
          <w:p>
            <w:r>
              <w:rPr>
                <w:b w:val="false"/>
                <w:bCs w:val="false"/>
                <w:color w:val="000000"/>
                <w:sz w:val="19"/>
                <w:szCs w:val="19"/>
              </w:rPr>
              <w:t xml:space="preserve">Backend</w:t>
            </w:r>
          </w:p>
        </w:tc>
        <w:tc>
          <w:tcPr>
            <w:tcW w:type="dxa" w:w="3600"/>
            <w:vAlign w:val="center"/>
          </w:tcPr>
          <w:p>
            <w:r>
              <w:rPr>
                <w:b w:val="false"/>
                <w:bCs w:val="false"/>
                <w:color w:val="000000"/>
                <w:sz w:val="19"/>
                <w:szCs w:val="19"/>
              </w:rPr>
              <w:t xml:space="preserve">PHP (organización MVC), Composer para librerías</w:t>
            </w:r>
          </w:p>
        </w:tc>
        <w:tc>
          <w:tcPr>
            <w:tcW w:type="dxa" w:w="4000"/>
            <w:vAlign w:val="center"/>
          </w:tcPr>
          <w:p>
            <w:r>
              <w:rPr>
                <w:b w:val="false"/>
                <w:bCs w:val="false"/>
                <w:color w:val="000000"/>
                <w:sz w:val="19"/>
                <w:szCs w:val="19"/>
              </w:rPr>
              <w:t xml:space="preserve">Lógica de negocio, autenticación, orquestación del procesamiento IA, exposición de endpoints</w:t>
            </w:r>
          </w:p>
        </w:tc>
      </w:tr>
      <w:tr>
        <w:tc>
          <w:tcPr>
            <w:tcW w:type="dxa" w:w="1800"/>
            <w:vAlign w:val="center"/>
          </w:tcPr>
          <w:p>
            <w:r>
              <w:rPr>
                <w:b w:val="false"/>
                <w:bCs w:val="false"/>
                <w:color w:val="000000"/>
                <w:sz w:val="19"/>
                <w:szCs w:val="19"/>
              </w:rPr>
              <w:t xml:space="preserve">Datos</w:t>
            </w:r>
          </w:p>
        </w:tc>
        <w:tc>
          <w:tcPr>
            <w:tcW w:type="dxa" w:w="3600"/>
            <w:vAlign w:val="center"/>
          </w:tcPr>
          <w:p>
            <w:r>
              <w:rPr>
                <w:b w:val="false"/>
                <w:bCs w:val="false"/>
                <w:color w:val="000000"/>
                <w:sz w:val="19"/>
                <w:szCs w:val="19"/>
              </w:rPr>
              <w:t xml:space="preserve">MySQL, administrado con phpMyAdmin</w:t>
            </w:r>
          </w:p>
        </w:tc>
        <w:tc>
          <w:tcPr>
            <w:tcW w:type="dxa" w:w="4000"/>
            <w:vAlign w:val="center"/>
          </w:tcPr>
          <w:p>
            <w:r>
              <w:rPr>
                <w:b w:val="false"/>
                <w:bCs w:val="false"/>
                <w:color w:val="000000"/>
                <w:sz w:val="19"/>
                <w:szCs w:val="19"/>
              </w:rPr>
              <w:t xml:space="preserve">Persistencia de usuarios, carpetas, documentos, metadatos, embeddings y logs</w:t>
            </w:r>
          </w:p>
        </w:tc>
      </w:tr>
      <w:tr>
        <w:tc>
          <w:tcPr>
            <w:tcW w:type="dxa" w:w="1800"/>
            <w:vAlign w:val="center"/>
          </w:tcPr>
          <w:p>
            <w:r>
              <w:rPr>
                <w:b w:val="false"/>
                <w:bCs w:val="false"/>
                <w:color w:val="000000"/>
                <w:sz w:val="19"/>
                <w:szCs w:val="19"/>
              </w:rPr>
              <w:t xml:space="preserve">Almacenamiento</w:t>
            </w:r>
          </w:p>
        </w:tc>
        <w:tc>
          <w:tcPr>
            <w:tcW w:type="dxa" w:w="3600"/>
            <w:vAlign w:val="center"/>
          </w:tcPr>
          <w:p>
            <w:r>
              <w:rPr>
                <w:b w:val="false"/>
                <w:bCs w:val="false"/>
                <w:color w:val="000000"/>
                <w:sz w:val="19"/>
                <w:szCs w:val="19"/>
              </w:rPr>
              <w:t xml:space="preserve">Sistema de archivos local (htdocs/uploads)</w:t>
            </w:r>
          </w:p>
        </w:tc>
        <w:tc>
          <w:tcPr>
            <w:tcW w:type="dxa" w:w="4000"/>
            <w:vAlign w:val="center"/>
          </w:tcPr>
          <w:p>
            <w:r>
              <w:rPr>
                <w:b w:val="false"/>
                <w:bCs w:val="false"/>
                <w:color w:val="000000"/>
                <w:sz w:val="19"/>
                <w:szCs w:val="19"/>
              </w:rPr>
              <w:t xml:space="preserve">Almacenamiento físico de los archivos originales cargados</w:t>
            </w:r>
          </w:p>
        </w:tc>
      </w:tr>
      <w:tr>
        <w:tc>
          <w:tcPr>
            <w:tcW w:type="dxa" w:w="1800"/>
            <w:vAlign w:val="center"/>
          </w:tcPr>
          <w:p>
            <w:r>
              <w:rPr>
                <w:b w:val="false"/>
                <w:bCs w:val="false"/>
                <w:color w:val="000000"/>
                <w:sz w:val="19"/>
                <w:szCs w:val="19"/>
              </w:rPr>
              <w:t xml:space="preserve">IA</w:t>
            </w:r>
          </w:p>
        </w:tc>
        <w:tc>
          <w:tcPr>
            <w:tcW w:type="dxa" w:w="3600"/>
            <w:vAlign w:val="center"/>
          </w:tcPr>
          <w:p>
            <w:r>
              <w:rPr>
                <w:b w:val="false"/>
                <w:bCs w:val="false"/>
                <w:color w:val="000000"/>
                <w:sz w:val="19"/>
                <w:szCs w:val="19"/>
              </w:rPr>
              <w:t xml:space="preserve">API externa de modelo de lenguaje (Claude / OpenAI) vía cURL</w:t>
            </w:r>
          </w:p>
        </w:tc>
        <w:tc>
          <w:tcPr>
            <w:tcW w:type="dxa" w:w="4000"/>
            <w:vAlign w:val="center"/>
          </w:tcPr>
          <w:p>
            <w:r>
              <w:rPr>
                <w:b w:val="false"/>
                <w:bCs w:val="false"/>
                <w:color w:val="000000"/>
                <w:sz w:val="19"/>
                <w:szCs w:val="19"/>
              </w:rPr>
              <w:t xml:space="preserve">Clasificación, resumen, extracción de metadatos, generación de embeddings y respuesta a preguntas en lenguaje natural</w:t>
            </w:r>
          </w:p>
        </w:tc>
      </w:tr>
    </w:tbl>
    <w:p>
      <w:pPr>
        <w:pStyle w:val="Heading2"/>
        <w:spacing w:after="150" w:before="300"/>
      </w:pPr>
      <w:r>
        <w:t xml:space="preserve">2.3 Diagrama de arquitectura</w:t>
      </w:r>
    </w:p>
    <w:p>
      <w:pPr>
        <w:spacing w:after="150"/>
      </w:pPr>
      <w:r>
        <w:t xml:space="preserve">Ver Figura 2 (sección 2.1). El diagrama evidencia el flujo desde la interfaz web hasta el servicio externo de IA, pasando por los módulos del backend y la capa de datos.</w:t>
      </w:r>
    </w:p>
    <w:p>
      <w:pPr>
        <w:pStyle w:val="Heading2"/>
        <w:spacing w:after="150" w:before="300"/>
      </w:pPr>
      <w:r>
        <w:t xml:space="preserve">2.4 Diagrama de casos de uso</w:t>
      </w:r>
    </w:p>
    <w:p>
      <w:pPr>
        <w:spacing w:after="150"/>
      </w:pPr>
      <w:r>
        <w:t xml:space="preserve">Ver Figura 1 (sección 1.11), que resume las interacciones de Administrador y Usuario con el sistema.</w:t>
      </w:r>
    </w:p>
    <w:p>
      <w:pPr>
        <w:pStyle w:val="Heading2"/>
        <w:spacing w:after="150" w:before="300"/>
      </w:pPr>
      <w:r>
        <w:t xml:space="preserve">2.5 Diagrama de componentes</w:t>
      </w:r>
    </w:p>
    <w:p>
      <w:pPr>
        <w:spacing w:after="80" w:before="150"/>
        <w:jc w:val="center"/>
      </w:pPr>
      <w:r>
        <w:drawing>
          <wp:inline distT="0" distB="0" distL="0" distR="0">
            <wp:extent cx="4000500" cy="368190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681908"/>
                    </a:xfrm>
                    <a:prstGeom prst="rect">
                      <a:avLst/>
                    </a:prstGeom>
                  </pic:spPr>
                </pic:pic>
              </a:graphicData>
            </a:graphic>
          </wp:inline>
        </w:drawing>
      </w:r>
    </w:p>
    <w:p>
      <w:pPr>
        <w:spacing w:after="300"/>
        <w:jc w:val="center"/>
      </w:pPr>
      <w:r>
        <w:rPr>
          <w:i/>
          <w:iCs/>
          <w:color w:val="555555"/>
          <w:sz w:val="18"/>
          <w:szCs w:val="18"/>
        </w:rPr>
        <w:t xml:space="preserve">Figura 3. Diagrama de componentes del backend y su interacción con datos, almacenamiento e IA externa.</w:t>
      </w:r>
    </w:p>
    <w:p>
      <w:pPr>
        <w:pStyle w:val="Heading2"/>
        <w:spacing w:after="150" w:before="300"/>
      </w:pPr>
      <w:r>
        <w:t xml:space="preserve">2.6 Diagrama de despliegue</w:t>
      </w:r>
    </w:p>
    <w:p>
      <w:pPr>
        <w:spacing w:after="80" w:before="150"/>
        <w:jc w:val="center"/>
      </w:pPr>
      <w:r>
        <w:drawing>
          <wp:inline distT="0" distB="0" distL="0" distR="0">
            <wp:extent cx="4953000" cy="217772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177727"/>
                    </a:xfrm>
                    <a:prstGeom prst="rect">
                      <a:avLst/>
                    </a:prstGeom>
                  </pic:spPr>
                </pic:pic>
              </a:graphicData>
            </a:graphic>
          </wp:inline>
        </w:drawing>
      </w:r>
    </w:p>
    <w:p>
      <w:pPr>
        <w:spacing w:after="300"/>
        <w:jc w:val="center"/>
      </w:pPr>
      <w:r>
        <w:rPr>
          <w:i/>
          <w:iCs/>
          <w:color w:val="555555"/>
          <w:sz w:val="18"/>
          <w:szCs w:val="18"/>
        </w:rPr>
        <w:t xml:space="preserve">Figura 4. Diagrama de despliegue: cliente, servidor XAMPP y servicio de IA en la nube.</w:t>
      </w:r>
    </w:p>
    <w:p>
      <w:pPr>
        <w:pStyle w:val="Heading2"/>
        <w:spacing w:after="150" w:before="300"/>
      </w:pPr>
      <w:r>
        <w:t xml:space="preserve">2.7 Diagramas de secuencia de procesos principales</w:t>
      </w:r>
    </w:p>
    <w:p>
      <w:pPr>
        <w:pStyle w:val="Heading3"/>
        <w:spacing w:after="100" w:before="200"/>
      </w:pPr>
      <w:r>
        <w:t xml:space="preserve">Secuencia 1: Carga y procesamiento de un documento</w:t>
      </w:r>
    </w:p>
    <w:p>
      <w:pPr>
        <w:spacing w:after="80" w:before="150"/>
        <w:jc w:val="center"/>
      </w:pPr>
      <w:r>
        <w:drawing>
          <wp:inline distT="0" distB="0" distL="0" distR="0">
            <wp:extent cx="5334000" cy="199817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998173"/>
                    </a:xfrm>
                    <a:prstGeom prst="rect">
                      <a:avLst/>
                    </a:prstGeom>
                  </pic:spPr>
                </pic:pic>
              </a:graphicData>
            </a:graphic>
          </wp:inline>
        </w:drawing>
      </w:r>
    </w:p>
    <w:p>
      <w:pPr>
        <w:spacing w:after="300"/>
        <w:jc w:val="center"/>
      </w:pPr>
      <w:r>
        <w:rPr>
          <w:i/>
          <w:iCs/>
          <w:color w:val="555555"/>
          <w:sz w:val="18"/>
          <w:szCs w:val="18"/>
        </w:rPr>
        <w:t xml:space="preserve">Figura 5. Secuencia completa desde la carga del archivo hasta el almacenamiento de los resultados de IA.</w:t>
      </w:r>
    </w:p>
    <w:p>
      <w:pPr>
        <w:pStyle w:val="Heading3"/>
        <w:spacing w:after="100" w:before="200"/>
      </w:pPr>
      <w:r>
        <w:t xml:space="preserve">Secuencia 2: Consulta en lenguaje natural (RAG)</w:t>
      </w:r>
    </w:p>
    <w:p>
      <w:pPr>
        <w:spacing w:after="80" w:before="150"/>
        <w:jc w:val="center"/>
      </w:pPr>
      <w:r>
        <w:drawing>
          <wp:inline distT="0" distB="0" distL="0" distR="0">
            <wp:extent cx="5334000" cy="254237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542374"/>
                    </a:xfrm>
                    <a:prstGeom prst="rect">
                      <a:avLst/>
                    </a:prstGeom>
                  </pic:spPr>
                </pic:pic>
              </a:graphicData>
            </a:graphic>
          </wp:inline>
        </w:drawing>
      </w:r>
    </w:p>
    <w:p>
      <w:pPr>
        <w:spacing w:after="300"/>
        <w:jc w:val="center"/>
      </w:pPr>
      <w:r>
        <w:rPr>
          <w:i/>
          <w:iCs/>
          <w:color w:val="555555"/>
          <w:sz w:val="18"/>
          <w:szCs w:val="18"/>
        </w:rPr>
        <w:t xml:space="preserve">Figura 6. Secuencia de recuperación de fragmentos relevantes y generación de respuesta (RAG).</w:t>
      </w:r>
    </w:p>
    <w:p>
      <w:pPr>
        <w:pStyle w:val="Heading2"/>
        <w:spacing w:after="150" w:before="300"/>
      </w:pPr>
      <w:r>
        <w:t xml:space="preserve">2.8 Modelo entidad-relación y diccionario de datos</w:t>
      </w:r>
    </w:p>
    <w:p>
      <w:pPr>
        <w:spacing w:after="80" w:before="150"/>
        <w:jc w:val="center"/>
      </w:pPr>
      <w:r>
        <w:drawing>
          <wp:inline distT="0" distB="0" distL="0" distR="0">
            <wp:extent cx="5334000" cy="255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555875"/>
                    </a:xfrm>
                    <a:prstGeom prst="rect">
                      <a:avLst/>
                    </a:prstGeom>
                  </pic:spPr>
                </pic:pic>
              </a:graphicData>
            </a:graphic>
          </wp:inline>
        </w:drawing>
      </w:r>
    </w:p>
    <w:p>
      <w:pPr>
        <w:spacing w:after="300"/>
        <w:jc w:val="center"/>
      </w:pPr>
      <w:r>
        <w:rPr>
          <w:i/>
          <w:iCs/>
          <w:color w:val="555555"/>
          <w:sz w:val="18"/>
          <w:szCs w:val="18"/>
        </w:rPr>
        <w:t xml:space="preserve">Figura 7. Modelo entidad-relación de la base de datos MySQL.</w:t>
      </w:r>
    </w:p>
    <w:p>
      <w:pPr>
        <w:pStyle w:val="Heading3"/>
        <w:spacing w:after="100" w:before="200"/>
      </w:pPr>
      <w:r>
        <w:t xml:space="preserve">Diccionario de datos — tabla documentos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800"/>
      </w:tblGrid>
      <w:tr>
        <w:trPr>
          <w:tblHeader/>
        </w:trPr>
        <w:tc>
          <w:tcPr>
            <w:tcW w:type="dxa" w:w="2600"/>
            <w:shd w:fill="2b5876" w:val="clear"/>
            <w:vAlign w:val="center"/>
          </w:tcPr>
          <w:p>
            <w:r>
              <w:rPr>
                <w:b/>
                <w:bCs/>
                <w:color w:val="FFFFFF"/>
                <w:sz w:val="19"/>
                <w:szCs w:val="19"/>
              </w:rPr>
              <w:t xml:space="preserve">Campo</w:t>
            </w:r>
          </w:p>
        </w:tc>
        <w:tc>
          <w:tcPr>
            <w:tcW w:type="dxa" w:w="2800"/>
            <w:shd w:fill="2b5876" w:val="clear"/>
            <w:vAlign w:val="center"/>
          </w:tcPr>
          <w:p>
            <w:r>
              <w:rPr>
                <w:b/>
                <w:bCs/>
                <w:color w:val="FFFFFF"/>
                <w:sz w:val="19"/>
                <w:szCs w:val="19"/>
              </w:rPr>
              <w:t xml:space="preserve">Tipo</w:t>
            </w:r>
          </w:p>
        </w:tc>
        <w:tc>
          <w:tcPr>
            <w:tcW w:type="dxa" w:w="3800"/>
            <w:shd w:fill="2b5876" w:val="clear"/>
            <w:vAlign w:val="center"/>
          </w:tcPr>
          <w:p>
            <w:r>
              <w:rPr>
                <w:b/>
                <w:bCs/>
                <w:color w:val="FFFFFF"/>
                <w:sz w:val="19"/>
                <w:szCs w:val="19"/>
              </w:rPr>
              <w:t xml:space="preserve">Descripción</w:t>
            </w:r>
          </w:p>
        </w:tc>
      </w:tr>
      <w:tr>
        <w:tc>
          <w:tcPr>
            <w:tcW w:type="dxa" w:w="2600"/>
            <w:vAlign w:val="center"/>
          </w:tcPr>
          <w:p>
            <w:r>
              <w:rPr>
                <w:b w:val="false"/>
                <w:bCs w:val="false"/>
                <w:color w:val="000000"/>
                <w:sz w:val="19"/>
                <w:szCs w:val="19"/>
              </w:rPr>
              <w:t xml:space="preserve">id_documento</w:t>
            </w:r>
          </w:p>
        </w:tc>
        <w:tc>
          <w:tcPr>
            <w:tcW w:type="dxa" w:w="2800"/>
            <w:vAlign w:val="center"/>
          </w:tcPr>
          <w:p>
            <w:r>
              <w:rPr>
                <w:b w:val="false"/>
                <w:bCs w:val="false"/>
                <w:color w:val="000000"/>
                <w:sz w:val="19"/>
                <w:szCs w:val="19"/>
              </w:rPr>
              <w:t xml:space="preserve">INT (PK, AUTO_INCREMENT)</w:t>
            </w:r>
          </w:p>
        </w:tc>
        <w:tc>
          <w:tcPr>
            <w:tcW w:type="dxa" w:w="3800"/>
            <w:vAlign w:val="center"/>
          </w:tcPr>
          <w:p>
            <w:r>
              <w:rPr>
                <w:b w:val="false"/>
                <w:bCs w:val="false"/>
                <w:color w:val="000000"/>
                <w:sz w:val="19"/>
                <w:szCs w:val="19"/>
              </w:rPr>
              <w:t xml:space="preserve">Identificador único del documento</w:t>
            </w:r>
          </w:p>
        </w:tc>
      </w:tr>
      <w:tr>
        <w:tc>
          <w:tcPr>
            <w:tcW w:type="dxa" w:w="2600"/>
            <w:vAlign w:val="center"/>
          </w:tcPr>
          <w:p>
            <w:r>
              <w:rPr>
                <w:b w:val="false"/>
                <w:bCs w:val="false"/>
                <w:color w:val="000000"/>
                <w:sz w:val="19"/>
                <w:szCs w:val="19"/>
              </w:rPr>
              <w:t xml:space="preserve">id_carpeta</w:t>
            </w:r>
          </w:p>
        </w:tc>
        <w:tc>
          <w:tcPr>
            <w:tcW w:type="dxa" w:w="2800"/>
            <w:vAlign w:val="center"/>
          </w:tcPr>
          <w:p>
            <w:r>
              <w:rPr>
                <w:b w:val="false"/>
                <w:bCs w:val="false"/>
                <w:color w:val="000000"/>
                <w:sz w:val="19"/>
                <w:szCs w:val="19"/>
              </w:rPr>
              <w:t xml:space="preserve">INT (FK)</w:t>
            </w:r>
          </w:p>
        </w:tc>
        <w:tc>
          <w:tcPr>
            <w:tcW w:type="dxa" w:w="3800"/>
            <w:vAlign w:val="center"/>
          </w:tcPr>
          <w:p>
            <w:r>
              <w:rPr>
                <w:b w:val="false"/>
                <w:bCs w:val="false"/>
                <w:color w:val="000000"/>
                <w:sz w:val="19"/>
                <w:szCs w:val="19"/>
              </w:rPr>
              <w:t xml:space="preserve">Carpeta a la que pertenece el documento</w:t>
            </w:r>
          </w:p>
        </w:tc>
      </w:tr>
      <w:tr>
        <w:tc>
          <w:tcPr>
            <w:tcW w:type="dxa" w:w="2600"/>
            <w:vAlign w:val="center"/>
          </w:tcPr>
          <w:p>
            <w:r>
              <w:rPr>
                <w:b w:val="false"/>
                <w:bCs w:val="false"/>
                <w:color w:val="000000"/>
                <w:sz w:val="19"/>
                <w:szCs w:val="19"/>
              </w:rPr>
              <w:t xml:space="preserve">nombre_archivo</w:t>
            </w:r>
          </w:p>
        </w:tc>
        <w:tc>
          <w:tcPr>
            <w:tcW w:type="dxa" w:w="2800"/>
            <w:vAlign w:val="center"/>
          </w:tcPr>
          <w:p>
            <w:r>
              <w:rPr>
                <w:b w:val="false"/>
                <w:bCs w:val="false"/>
                <w:color w:val="000000"/>
                <w:sz w:val="19"/>
                <w:szCs w:val="19"/>
              </w:rPr>
              <w:t xml:space="preserve">VARCHAR(255)</w:t>
            </w:r>
          </w:p>
        </w:tc>
        <w:tc>
          <w:tcPr>
            <w:tcW w:type="dxa" w:w="3800"/>
            <w:vAlign w:val="center"/>
          </w:tcPr>
          <w:p>
            <w:r>
              <w:rPr>
                <w:b w:val="false"/>
                <w:bCs w:val="false"/>
                <w:color w:val="000000"/>
                <w:sz w:val="19"/>
                <w:szCs w:val="19"/>
              </w:rPr>
              <w:t xml:space="preserve">Nombre original del archivo cargado</w:t>
            </w:r>
          </w:p>
        </w:tc>
      </w:tr>
      <w:tr>
        <w:tc>
          <w:tcPr>
            <w:tcW w:type="dxa" w:w="2600"/>
            <w:vAlign w:val="center"/>
          </w:tcPr>
          <w:p>
            <w:r>
              <w:rPr>
                <w:b w:val="false"/>
                <w:bCs w:val="false"/>
                <w:color w:val="000000"/>
                <w:sz w:val="19"/>
                <w:szCs w:val="19"/>
              </w:rPr>
              <w:t xml:space="preserve">tipo</w:t>
            </w:r>
          </w:p>
        </w:tc>
        <w:tc>
          <w:tcPr>
            <w:tcW w:type="dxa" w:w="2800"/>
            <w:vAlign w:val="center"/>
          </w:tcPr>
          <w:p>
            <w:r>
              <w:rPr>
                <w:b w:val="false"/>
                <w:bCs w:val="false"/>
                <w:color w:val="000000"/>
                <w:sz w:val="19"/>
                <w:szCs w:val="19"/>
              </w:rPr>
              <w:t xml:space="preserve">ENUM('pdf','docx','txt')</w:t>
            </w:r>
          </w:p>
        </w:tc>
        <w:tc>
          <w:tcPr>
            <w:tcW w:type="dxa" w:w="3800"/>
            <w:vAlign w:val="center"/>
          </w:tcPr>
          <w:p>
            <w:r>
              <w:rPr>
                <w:b w:val="false"/>
                <w:bCs w:val="false"/>
                <w:color w:val="000000"/>
                <w:sz w:val="19"/>
                <w:szCs w:val="19"/>
              </w:rPr>
              <w:t xml:space="preserve">Formato del archivo</w:t>
            </w:r>
          </w:p>
        </w:tc>
      </w:tr>
      <w:tr>
        <w:tc>
          <w:tcPr>
            <w:tcW w:type="dxa" w:w="2600"/>
            <w:vAlign w:val="center"/>
          </w:tcPr>
          <w:p>
            <w:r>
              <w:rPr>
                <w:b w:val="false"/>
                <w:bCs w:val="false"/>
                <w:color w:val="000000"/>
                <w:sz w:val="19"/>
                <w:szCs w:val="19"/>
              </w:rPr>
              <w:t xml:space="preserve">ruta_almacenamiento</w:t>
            </w:r>
          </w:p>
        </w:tc>
        <w:tc>
          <w:tcPr>
            <w:tcW w:type="dxa" w:w="2800"/>
            <w:vAlign w:val="center"/>
          </w:tcPr>
          <w:p>
            <w:r>
              <w:rPr>
                <w:b w:val="false"/>
                <w:bCs w:val="false"/>
                <w:color w:val="000000"/>
                <w:sz w:val="19"/>
                <w:szCs w:val="19"/>
              </w:rPr>
              <w:t xml:space="preserve">VARCHAR(255)</w:t>
            </w:r>
          </w:p>
        </w:tc>
        <w:tc>
          <w:tcPr>
            <w:tcW w:type="dxa" w:w="3800"/>
            <w:vAlign w:val="center"/>
          </w:tcPr>
          <w:p>
            <w:r>
              <w:rPr>
                <w:b w:val="false"/>
                <w:bCs w:val="false"/>
                <w:color w:val="000000"/>
                <w:sz w:val="19"/>
                <w:szCs w:val="19"/>
              </w:rPr>
              <w:t xml:space="preserve">Ruta física del archivo en el servidor</w:t>
            </w:r>
          </w:p>
        </w:tc>
      </w:tr>
      <w:tr>
        <w:tc>
          <w:tcPr>
            <w:tcW w:type="dxa" w:w="2600"/>
            <w:vAlign w:val="center"/>
          </w:tcPr>
          <w:p>
            <w:r>
              <w:rPr>
                <w:b w:val="false"/>
                <w:bCs w:val="false"/>
                <w:color w:val="000000"/>
                <w:sz w:val="19"/>
                <w:szCs w:val="19"/>
              </w:rPr>
              <w:t xml:space="preserve">texto_extraido</w:t>
            </w:r>
          </w:p>
        </w:tc>
        <w:tc>
          <w:tcPr>
            <w:tcW w:type="dxa" w:w="2800"/>
            <w:vAlign w:val="center"/>
          </w:tcPr>
          <w:p>
            <w:r>
              <w:rPr>
                <w:b w:val="false"/>
                <w:bCs w:val="false"/>
                <w:color w:val="000000"/>
                <w:sz w:val="19"/>
                <w:szCs w:val="19"/>
              </w:rPr>
              <w:t xml:space="preserve">MEDIUMTEXT</w:t>
            </w:r>
          </w:p>
        </w:tc>
        <w:tc>
          <w:tcPr>
            <w:tcW w:type="dxa" w:w="3800"/>
            <w:vAlign w:val="center"/>
          </w:tcPr>
          <w:p>
            <w:r>
              <w:rPr>
                <w:b w:val="false"/>
                <w:bCs w:val="false"/>
                <w:color w:val="000000"/>
                <w:sz w:val="19"/>
                <w:szCs w:val="19"/>
              </w:rPr>
              <w:t xml:space="preserve">Contenido textual extraído del archivo</w:t>
            </w:r>
          </w:p>
        </w:tc>
      </w:tr>
      <w:tr>
        <w:tc>
          <w:tcPr>
            <w:tcW w:type="dxa" w:w="2600"/>
            <w:vAlign w:val="center"/>
          </w:tcPr>
          <w:p>
            <w:r>
              <w:rPr>
                <w:b w:val="false"/>
                <w:bCs w:val="false"/>
                <w:color w:val="000000"/>
                <w:sz w:val="19"/>
                <w:szCs w:val="19"/>
              </w:rPr>
              <w:t xml:space="preserve">categoria</w:t>
            </w:r>
          </w:p>
        </w:tc>
        <w:tc>
          <w:tcPr>
            <w:tcW w:type="dxa" w:w="2800"/>
            <w:vAlign w:val="center"/>
          </w:tcPr>
          <w:p>
            <w:r>
              <w:rPr>
                <w:b w:val="false"/>
                <w:bCs w:val="false"/>
                <w:color w:val="000000"/>
                <w:sz w:val="19"/>
                <w:szCs w:val="19"/>
              </w:rPr>
              <w:t xml:space="preserve">VARCHAR(50)</w:t>
            </w:r>
          </w:p>
        </w:tc>
        <w:tc>
          <w:tcPr>
            <w:tcW w:type="dxa" w:w="3800"/>
            <w:vAlign w:val="center"/>
          </w:tcPr>
          <w:p>
            <w:r>
              <w:rPr>
                <w:b w:val="false"/>
                <w:bCs w:val="false"/>
                <w:color w:val="000000"/>
                <w:sz w:val="19"/>
                <w:szCs w:val="19"/>
              </w:rPr>
              <w:t xml:space="preserve">Categoría asignada por la IA</w:t>
            </w:r>
          </w:p>
        </w:tc>
      </w:tr>
      <w:tr>
        <w:tc>
          <w:tcPr>
            <w:tcW w:type="dxa" w:w="2600"/>
            <w:vAlign w:val="center"/>
          </w:tcPr>
          <w:p>
            <w:r>
              <w:rPr>
                <w:b w:val="false"/>
                <w:bCs w:val="false"/>
                <w:color w:val="000000"/>
                <w:sz w:val="19"/>
                <w:szCs w:val="19"/>
              </w:rPr>
              <w:t xml:space="preserve">resumen</w:t>
            </w:r>
          </w:p>
        </w:tc>
        <w:tc>
          <w:tcPr>
            <w:tcW w:type="dxa" w:w="2800"/>
            <w:vAlign w:val="center"/>
          </w:tcPr>
          <w:p>
            <w:r>
              <w:rPr>
                <w:b w:val="false"/>
                <w:bCs w:val="false"/>
                <w:color w:val="000000"/>
                <w:sz w:val="19"/>
                <w:szCs w:val="19"/>
              </w:rPr>
              <w:t xml:space="preserve">TEXT</w:t>
            </w:r>
          </w:p>
        </w:tc>
        <w:tc>
          <w:tcPr>
            <w:tcW w:type="dxa" w:w="3800"/>
            <w:vAlign w:val="center"/>
          </w:tcPr>
          <w:p>
            <w:r>
              <w:rPr>
                <w:b w:val="false"/>
                <w:bCs w:val="false"/>
                <w:color w:val="000000"/>
                <w:sz w:val="19"/>
                <w:szCs w:val="19"/>
              </w:rPr>
              <w:t xml:space="preserve">Resumen generado automáticamente</w:t>
            </w:r>
          </w:p>
        </w:tc>
      </w:tr>
      <w:tr>
        <w:tc>
          <w:tcPr>
            <w:tcW w:type="dxa" w:w="2600"/>
            <w:vAlign w:val="center"/>
          </w:tcPr>
          <w:p>
            <w:r>
              <w:rPr>
                <w:b w:val="false"/>
                <w:bCs w:val="false"/>
                <w:color w:val="000000"/>
                <w:sz w:val="19"/>
                <w:szCs w:val="19"/>
              </w:rPr>
              <w:t xml:space="preserve">fecha_carga</w:t>
            </w:r>
          </w:p>
        </w:tc>
        <w:tc>
          <w:tcPr>
            <w:tcW w:type="dxa" w:w="2800"/>
            <w:vAlign w:val="center"/>
          </w:tcPr>
          <w:p>
            <w:r>
              <w:rPr>
                <w:b w:val="false"/>
                <w:bCs w:val="false"/>
                <w:color w:val="000000"/>
                <w:sz w:val="19"/>
                <w:szCs w:val="19"/>
              </w:rPr>
              <w:t xml:space="preserve">DATETIME</w:t>
            </w:r>
          </w:p>
        </w:tc>
        <w:tc>
          <w:tcPr>
            <w:tcW w:type="dxa" w:w="3800"/>
            <w:vAlign w:val="center"/>
          </w:tcPr>
          <w:p>
            <w:r>
              <w:rPr>
                <w:b w:val="false"/>
                <w:bCs w:val="false"/>
                <w:color w:val="000000"/>
                <w:sz w:val="19"/>
                <w:szCs w:val="19"/>
              </w:rPr>
              <w:t xml:space="preserve">Fecha y hora de carga del documento</w:t>
            </w:r>
          </w:p>
        </w:tc>
      </w:tr>
    </w:tbl>
    <w:p>
      <w:pPr>
        <w:pStyle w:val="Heading3"/>
        <w:spacing w:after="100" w:before="200"/>
      </w:pPr>
      <w:r>
        <w:t xml:space="preserve">Diccionario de datos — tabla procesamiento_log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800"/>
      </w:tblGrid>
      <w:tr>
        <w:trPr>
          <w:tblHeader/>
        </w:trPr>
        <w:tc>
          <w:tcPr>
            <w:tcW w:type="dxa" w:w="2600"/>
            <w:shd w:fill="2b5876" w:val="clear"/>
            <w:vAlign w:val="center"/>
          </w:tcPr>
          <w:p>
            <w:r>
              <w:rPr>
                <w:b/>
                <w:bCs/>
                <w:color w:val="FFFFFF"/>
                <w:sz w:val="19"/>
                <w:szCs w:val="19"/>
              </w:rPr>
              <w:t xml:space="preserve">Campo</w:t>
            </w:r>
          </w:p>
        </w:tc>
        <w:tc>
          <w:tcPr>
            <w:tcW w:type="dxa" w:w="2800"/>
            <w:shd w:fill="2b5876" w:val="clear"/>
            <w:vAlign w:val="center"/>
          </w:tcPr>
          <w:p>
            <w:r>
              <w:rPr>
                <w:b/>
                <w:bCs/>
                <w:color w:val="FFFFFF"/>
                <w:sz w:val="19"/>
                <w:szCs w:val="19"/>
              </w:rPr>
              <w:t xml:space="preserve">Tipo</w:t>
            </w:r>
          </w:p>
        </w:tc>
        <w:tc>
          <w:tcPr>
            <w:tcW w:type="dxa" w:w="3800"/>
            <w:shd w:fill="2b5876" w:val="clear"/>
            <w:vAlign w:val="center"/>
          </w:tcPr>
          <w:p>
            <w:r>
              <w:rPr>
                <w:b/>
                <w:bCs/>
                <w:color w:val="FFFFFF"/>
                <w:sz w:val="19"/>
                <w:szCs w:val="19"/>
              </w:rPr>
              <w:t xml:space="preserve">Descripción</w:t>
            </w:r>
          </w:p>
        </w:tc>
      </w:tr>
      <w:tr>
        <w:tc>
          <w:tcPr>
            <w:tcW w:type="dxa" w:w="2600"/>
            <w:vAlign w:val="center"/>
          </w:tcPr>
          <w:p>
            <w:r>
              <w:rPr>
                <w:b w:val="false"/>
                <w:bCs w:val="false"/>
                <w:color w:val="000000"/>
                <w:sz w:val="19"/>
                <w:szCs w:val="19"/>
              </w:rPr>
              <w:t xml:space="preserve">id_log</w:t>
            </w:r>
          </w:p>
        </w:tc>
        <w:tc>
          <w:tcPr>
            <w:tcW w:type="dxa" w:w="2800"/>
            <w:vAlign w:val="center"/>
          </w:tcPr>
          <w:p>
            <w:r>
              <w:rPr>
                <w:b w:val="false"/>
                <w:bCs w:val="false"/>
                <w:color w:val="000000"/>
                <w:sz w:val="19"/>
                <w:szCs w:val="19"/>
              </w:rPr>
              <w:t xml:space="preserve">INT (PK, AUTO_INCREMENT)</w:t>
            </w:r>
          </w:p>
        </w:tc>
        <w:tc>
          <w:tcPr>
            <w:tcW w:type="dxa" w:w="3800"/>
            <w:vAlign w:val="center"/>
          </w:tcPr>
          <w:p>
            <w:r>
              <w:rPr>
                <w:b w:val="false"/>
                <w:bCs w:val="false"/>
                <w:color w:val="000000"/>
                <w:sz w:val="19"/>
                <w:szCs w:val="19"/>
              </w:rPr>
              <w:t xml:space="preserve">Identificador único del evento de log</w:t>
            </w:r>
          </w:p>
        </w:tc>
      </w:tr>
      <w:tr>
        <w:tc>
          <w:tcPr>
            <w:tcW w:type="dxa" w:w="2600"/>
            <w:vAlign w:val="center"/>
          </w:tcPr>
          <w:p>
            <w:r>
              <w:rPr>
                <w:b w:val="false"/>
                <w:bCs w:val="false"/>
                <w:color w:val="000000"/>
                <w:sz w:val="19"/>
                <w:szCs w:val="19"/>
              </w:rPr>
              <w:t xml:space="preserve">id_documento</w:t>
            </w:r>
          </w:p>
        </w:tc>
        <w:tc>
          <w:tcPr>
            <w:tcW w:type="dxa" w:w="2800"/>
            <w:vAlign w:val="center"/>
          </w:tcPr>
          <w:p>
            <w:r>
              <w:rPr>
                <w:b w:val="false"/>
                <w:bCs w:val="false"/>
                <w:color w:val="000000"/>
                <w:sz w:val="19"/>
                <w:szCs w:val="19"/>
              </w:rPr>
              <w:t xml:space="preserve">INT (FK)</w:t>
            </w:r>
          </w:p>
        </w:tc>
        <w:tc>
          <w:tcPr>
            <w:tcW w:type="dxa" w:w="3800"/>
            <w:vAlign w:val="center"/>
          </w:tcPr>
          <w:p>
            <w:r>
              <w:rPr>
                <w:b w:val="false"/>
                <w:bCs w:val="false"/>
                <w:color w:val="000000"/>
                <w:sz w:val="19"/>
                <w:szCs w:val="19"/>
              </w:rPr>
              <w:t xml:space="preserve">Documento asociado al evento</w:t>
            </w:r>
          </w:p>
        </w:tc>
      </w:tr>
      <w:tr>
        <w:tc>
          <w:tcPr>
            <w:tcW w:type="dxa" w:w="2600"/>
            <w:vAlign w:val="center"/>
          </w:tcPr>
          <w:p>
            <w:r>
              <w:rPr>
                <w:b w:val="false"/>
                <w:bCs w:val="false"/>
                <w:color w:val="000000"/>
                <w:sz w:val="19"/>
                <w:szCs w:val="19"/>
              </w:rPr>
              <w:t xml:space="preserve">estado</w:t>
            </w:r>
          </w:p>
        </w:tc>
        <w:tc>
          <w:tcPr>
            <w:tcW w:type="dxa" w:w="2800"/>
            <w:vAlign w:val="center"/>
          </w:tcPr>
          <w:p>
            <w:r>
              <w:rPr>
                <w:b w:val="false"/>
                <w:bCs w:val="false"/>
                <w:color w:val="000000"/>
                <w:sz w:val="19"/>
                <w:szCs w:val="19"/>
              </w:rPr>
              <w:t xml:space="preserve">ENUM('pendiente','procesando','completado','error')</w:t>
            </w:r>
          </w:p>
        </w:tc>
        <w:tc>
          <w:tcPr>
            <w:tcW w:type="dxa" w:w="3800"/>
            <w:vAlign w:val="center"/>
          </w:tcPr>
          <w:p>
            <w:r>
              <w:rPr>
                <w:b w:val="false"/>
                <w:bCs w:val="false"/>
                <w:color w:val="000000"/>
                <w:sz w:val="19"/>
                <w:szCs w:val="19"/>
              </w:rPr>
              <w:t xml:space="preserve">Estado actual del procesamiento</w:t>
            </w:r>
          </w:p>
        </w:tc>
      </w:tr>
      <w:tr>
        <w:tc>
          <w:tcPr>
            <w:tcW w:type="dxa" w:w="2600"/>
            <w:vAlign w:val="center"/>
          </w:tcPr>
          <w:p>
            <w:r>
              <w:rPr>
                <w:b w:val="false"/>
                <w:bCs w:val="false"/>
                <w:color w:val="000000"/>
                <w:sz w:val="19"/>
                <w:szCs w:val="19"/>
              </w:rPr>
              <w:t xml:space="preserve">mensaje_error</w:t>
            </w:r>
          </w:p>
        </w:tc>
        <w:tc>
          <w:tcPr>
            <w:tcW w:type="dxa" w:w="2800"/>
            <w:vAlign w:val="center"/>
          </w:tcPr>
          <w:p>
            <w:r>
              <w:rPr>
                <w:b w:val="false"/>
                <w:bCs w:val="false"/>
                <w:color w:val="000000"/>
                <w:sz w:val="19"/>
                <w:szCs w:val="19"/>
              </w:rPr>
              <w:t xml:space="preserve">TEXT (nullable)</w:t>
            </w:r>
          </w:p>
        </w:tc>
        <w:tc>
          <w:tcPr>
            <w:tcW w:type="dxa" w:w="3800"/>
            <w:vAlign w:val="center"/>
          </w:tcPr>
          <w:p>
            <w:r>
              <w:rPr>
                <w:b w:val="false"/>
                <w:bCs w:val="false"/>
                <w:color w:val="000000"/>
                <w:sz w:val="19"/>
                <w:szCs w:val="19"/>
              </w:rPr>
              <w:t xml:space="preserve">Detalle del error, si lo hubo</w:t>
            </w:r>
          </w:p>
        </w:tc>
      </w:tr>
      <w:tr>
        <w:tc>
          <w:tcPr>
            <w:tcW w:type="dxa" w:w="2600"/>
            <w:vAlign w:val="center"/>
          </w:tcPr>
          <w:p>
            <w:r>
              <w:rPr>
                <w:b w:val="false"/>
                <w:bCs w:val="false"/>
                <w:color w:val="000000"/>
                <w:sz w:val="19"/>
                <w:szCs w:val="19"/>
              </w:rPr>
              <w:t xml:space="preserve">fecha_evento</w:t>
            </w:r>
          </w:p>
        </w:tc>
        <w:tc>
          <w:tcPr>
            <w:tcW w:type="dxa" w:w="2800"/>
            <w:vAlign w:val="center"/>
          </w:tcPr>
          <w:p>
            <w:r>
              <w:rPr>
                <w:b w:val="false"/>
                <w:bCs w:val="false"/>
                <w:color w:val="000000"/>
                <w:sz w:val="19"/>
                <w:szCs w:val="19"/>
              </w:rPr>
              <w:t xml:space="preserve">DATETIME</w:t>
            </w:r>
          </w:p>
        </w:tc>
        <w:tc>
          <w:tcPr>
            <w:tcW w:type="dxa" w:w="3800"/>
            <w:vAlign w:val="center"/>
          </w:tcPr>
          <w:p>
            <w:r>
              <w:rPr>
                <w:b w:val="false"/>
                <w:bCs w:val="false"/>
                <w:color w:val="000000"/>
                <w:sz w:val="19"/>
                <w:szCs w:val="19"/>
              </w:rPr>
              <w:t xml:space="preserve">Momento del registro del evento</w:t>
            </w:r>
          </w:p>
        </w:tc>
      </w:tr>
    </w:tbl>
    <w:p>
      <w:pPr>
        <w:pStyle w:val="Heading2"/>
        <w:spacing w:after="150" w:before="300"/>
      </w:pPr>
      <w:r>
        <w:t xml:space="preserve">2.9 Diseño de API / servicios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800"/>
      </w:tblGrid>
      <w:tr>
        <w:trPr>
          <w:tblHeader/>
        </w:trPr>
        <w:tc>
          <w:tcPr>
            <w:tcW w:type="dxa" w:w="2800"/>
            <w:shd w:fill="2b5876" w:val="clear"/>
            <w:vAlign w:val="center"/>
          </w:tcPr>
          <w:p>
            <w:r>
              <w:rPr>
                <w:b/>
                <w:bCs/>
                <w:color w:val="FFFFFF"/>
                <w:sz w:val="19"/>
                <w:szCs w:val="19"/>
              </w:rPr>
              <w:t xml:space="preserve">Endpoint</w:t>
            </w:r>
          </w:p>
        </w:tc>
        <w:tc>
          <w:tcPr>
            <w:tcW w:type="dxa" w:w="1600"/>
            <w:shd w:fill="2b5876" w:val="clear"/>
            <w:vAlign w:val="center"/>
          </w:tcPr>
          <w:p>
            <w:r>
              <w:rPr>
                <w:b/>
                <w:bCs/>
                <w:color w:val="FFFFFF"/>
                <w:sz w:val="19"/>
                <w:szCs w:val="19"/>
              </w:rPr>
              <w:t xml:space="preserve">Método</w:t>
            </w:r>
          </w:p>
        </w:tc>
        <w:tc>
          <w:tcPr>
            <w:tcW w:type="dxa" w:w="4800"/>
            <w:shd w:fill="2b5876" w:val="clear"/>
            <w:vAlign w:val="center"/>
          </w:tcPr>
          <w:p>
            <w:r>
              <w:rPr>
                <w:b/>
                <w:bCs/>
                <w:color w:val="FFFFFF"/>
                <w:sz w:val="19"/>
                <w:szCs w:val="19"/>
              </w:rPr>
              <w:t xml:space="preserve">Descripción</w:t>
            </w:r>
          </w:p>
        </w:tc>
      </w:tr>
      <w:tr>
        <w:tc>
          <w:tcPr>
            <w:tcW w:type="dxa" w:w="2800"/>
            <w:vAlign w:val="center"/>
          </w:tcPr>
          <w:p>
            <w:r>
              <w:rPr>
                <w:b w:val="false"/>
                <w:bCs w:val="false"/>
                <w:color w:val="000000"/>
                <w:sz w:val="19"/>
                <w:szCs w:val="19"/>
              </w:rPr>
              <w:t xml:space="preserve">/api/auth/login</w:t>
            </w:r>
          </w:p>
        </w:tc>
        <w:tc>
          <w:tcPr>
            <w:tcW w:type="dxa" w:w="1600"/>
            <w:vAlign w:val="center"/>
          </w:tcPr>
          <w:p>
            <w:r>
              <w:rPr>
                <w:b w:val="false"/>
                <w:bCs w:val="false"/>
                <w:color w:val="000000"/>
                <w:sz w:val="19"/>
                <w:szCs w:val="19"/>
              </w:rPr>
              <w:t xml:space="preserve">POST</w:t>
            </w:r>
          </w:p>
        </w:tc>
        <w:tc>
          <w:tcPr>
            <w:tcW w:type="dxa" w:w="4800"/>
            <w:vAlign w:val="center"/>
          </w:tcPr>
          <w:p>
            <w:r>
              <w:rPr>
                <w:b w:val="false"/>
                <w:bCs w:val="false"/>
                <w:color w:val="000000"/>
                <w:sz w:val="19"/>
                <w:szCs w:val="19"/>
              </w:rPr>
              <w:t xml:space="preserve">Autentica un usuario y devuelve su sesión/token</w:t>
            </w:r>
          </w:p>
        </w:tc>
      </w:tr>
      <w:tr>
        <w:tc>
          <w:tcPr>
            <w:tcW w:type="dxa" w:w="2800"/>
            <w:vAlign w:val="center"/>
          </w:tcPr>
          <w:p>
            <w:r>
              <w:rPr>
                <w:b w:val="false"/>
                <w:bCs w:val="false"/>
                <w:color w:val="000000"/>
                <w:sz w:val="19"/>
                <w:szCs w:val="19"/>
              </w:rPr>
              <w:t xml:space="preserve">/api/carpetas</w:t>
            </w:r>
          </w:p>
        </w:tc>
        <w:tc>
          <w:tcPr>
            <w:tcW w:type="dxa" w:w="1600"/>
            <w:vAlign w:val="center"/>
          </w:tcPr>
          <w:p>
            <w:r>
              <w:rPr>
                <w:b w:val="false"/>
                <w:bCs w:val="false"/>
                <w:color w:val="000000"/>
                <w:sz w:val="19"/>
                <w:szCs w:val="19"/>
              </w:rPr>
              <w:t xml:space="preserve">GET / POST</w:t>
            </w:r>
          </w:p>
        </w:tc>
        <w:tc>
          <w:tcPr>
            <w:tcW w:type="dxa" w:w="4800"/>
            <w:vAlign w:val="center"/>
          </w:tcPr>
          <w:p>
            <w:r>
              <w:rPr>
                <w:b w:val="false"/>
                <w:bCs w:val="false"/>
                <w:color w:val="000000"/>
                <w:sz w:val="19"/>
                <w:szCs w:val="19"/>
              </w:rPr>
              <w:t xml:space="preserve">Lista o crea carpetas del repositorio</w:t>
            </w:r>
          </w:p>
        </w:tc>
      </w:tr>
      <w:tr>
        <w:tc>
          <w:tcPr>
            <w:tcW w:type="dxa" w:w="2800"/>
            <w:vAlign w:val="center"/>
          </w:tcPr>
          <w:p>
            <w:r>
              <w:rPr>
                <w:b w:val="false"/>
                <w:bCs w:val="false"/>
                <w:color w:val="000000"/>
                <w:sz w:val="19"/>
                <w:szCs w:val="19"/>
              </w:rPr>
              <w:t xml:space="preserve">/api/documentos</w:t>
            </w:r>
          </w:p>
        </w:tc>
        <w:tc>
          <w:tcPr>
            <w:tcW w:type="dxa" w:w="1600"/>
            <w:vAlign w:val="center"/>
          </w:tcPr>
          <w:p>
            <w:r>
              <w:rPr>
                <w:b w:val="false"/>
                <w:bCs w:val="false"/>
                <w:color w:val="000000"/>
                <w:sz w:val="19"/>
                <w:szCs w:val="19"/>
              </w:rPr>
              <w:t xml:space="preserve">POST</w:t>
            </w:r>
          </w:p>
        </w:tc>
        <w:tc>
          <w:tcPr>
            <w:tcW w:type="dxa" w:w="4800"/>
            <w:vAlign w:val="center"/>
          </w:tcPr>
          <w:p>
            <w:r>
              <w:rPr>
                <w:b w:val="false"/>
                <w:bCs w:val="false"/>
                <w:color w:val="000000"/>
                <w:sz w:val="19"/>
                <w:szCs w:val="19"/>
              </w:rPr>
              <w:t xml:space="preserve">Carga un nuevo documento y dispara el procesamiento IA</w:t>
            </w:r>
          </w:p>
        </w:tc>
      </w:tr>
      <w:tr>
        <w:tc>
          <w:tcPr>
            <w:tcW w:type="dxa" w:w="2800"/>
            <w:vAlign w:val="center"/>
          </w:tcPr>
          <w:p>
            <w:r>
              <w:rPr>
                <w:b w:val="false"/>
                <w:bCs w:val="false"/>
                <w:color w:val="000000"/>
                <w:sz w:val="19"/>
                <w:szCs w:val="19"/>
              </w:rPr>
              <w:t xml:space="preserve">/api/documentos/{id}</w:t>
            </w:r>
          </w:p>
        </w:tc>
        <w:tc>
          <w:tcPr>
            <w:tcW w:type="dxa" w:w="1600"/>
            <w:vAlign w:val="center"/>
          </w:tcPr>
          <w:p>
            <w:r>
              <w:rPr>
                <w:b w:val="false"/>
                <w:bCs w:val="false"/>
                <w:color w:val="000000"/>
                <w:sz w:val="19"/>
                <w:szCs w:val="19"/>
              </w:rPr>
              <w:t xml:space="preserve">GET / DELETE</w:t>
            </w:r>
          </w:p>
        </w:tc>
        <w:tc>
          <w:tcPr>
            <w:tcW w:type="dxa" w:w="4800"/>
            <w:vAlign w:val="center"/>
          </w:tcPr>
          <w:p>
            <w:r>
              <w:rPr>
                <w:b w:val="false"/>
                <w:bCs w:val="false"/>
                <w:color w:val="000000"/>
                <w:sz w:val="19"/>
                <w:szCs w:val="19"/>
              </w:rPr>
              <w:t xml:space="preserve">Consulta el detalle o elimina un documento</w:t>
            </w:r>
          </w:p>
        </w:tc>
      </w:tr>
      <w:tr>
        <w:tc>
          <w:tcPr>
            <w:tcW w:type="dxa" w:w="2800"/>
            <w:vAlign w:val="center"/>
          </w:tcPr>
          <w:p>
            <w:r>
              <w:rPr>
                <w:b w:val="false"/>
                <w:bCs w:val="false"/>
                <w:color w:val="000000"/>
                <w:sz w:val="19"/>
                <w:szCs w:val="19"/>
              </w:rPr>
              <w:t xml:space="preserve">/api/documentos/{id}/descargar</w:t>
            </w:r>
          </w:p>
        </w:tc>
        <w:tc>
          <w:tcPr>
            <w:tcW w:type="dxa" w:w="1600"/>
            <w:vAlign w:val="center"/>
          </w:tcPr>
          <w:p>
            <w:r>
              <w:rPr>
                <w:b w:val="false"/>
                <w:bCs w:val="false"/>
                <w:color w:val="000000"/>
                <w:sz w:val="19"/>
                <w:szCs w:val="19"/>
              </w:rPr>
              <w:t xml:space="preserve">GET</w:t>
            </w:r>
          </w:p>
        </w:tc>
        <w:tc>
          <w:tcPr>
            <w:tcW w:type="dxa" w:w="4800"/>
            <w:vAlign w:val="center"/>
          </w:tcPr>
          <w:p>
            <w:r>
              <w:rPr>
                <w:b w:val="false"/>
                <w:bCs w:val="false"/>
                <w:color w:val="000000"/>
                <w:sz w:val="19"/>
                <w:szCs w:val="19"/>
              </w:rPr>
              <w:t xml:space="preserve">Descarga el archivo original</w:t>
            </w:r>
          </w:p>
        </w:tc>
      </w:tr>
      <w:tr>
        <w:tc>
          <w:tcPr>
            <w:tcW w:type="dxa" w:w="2800"/>
            <w:vAlign w:val="center"/>
          </w:tcPr>
          <w:p>
            <w:r>
              <w:rPr>
                <w:b w:val="false"/>
                <w:bCs w:val="false"/>
                <w:color w:val="000000"/>
                <w:sz w:val="19"/>
                <w:szCs w:val="19"/>
              </w:rPr>
              <w:t xml:space="preserve">/api/buscar</w:t>
            </w:r>
          </w:p>
        </w:tc>
        <w:tc>
          <w:tcPr>
            <w:tcW w:type="dxa" w:w="1600"/>
            <w:vAlign w:val="center"/>
          </w:tcPr>
          <w:p>
            <w:r>
              <w:rPr>
                <w:b w:val="false"/>
                <w:bCs w:val="false"/>
                <w:color w:val="000000"/>
                <w:sz w:val="19"/>
                <w:szCs w:val="19"/>
              </w:rPr>
              <w:t xml:space="preserve">GET</w:t>
            </w:r>
          </w:p>
        </w:tc>
        <w:tc>
          <w:tcPr>
            <w:tcW w:type="dxa" w:w="4800"/>
            <w:vAlign w:val="center"/>
          </w:tcPr>
          <w:p>
            <w:r>
              <w:rPr>
                <w:b w:val="false"/>
                <w:bCs w:val="false"/>
                <w:color w:val="000000"/>
                <w:sz w:val="19"/>
                <w:szCs w:val="19"/>
              </w:rPr>
              <w:t xml:space="preserve">Búsqueda de texto dentro del contenido documental</w:t>
            </w:r>
          </w:p>
        </w:tc>
      </w:tr>
      <w:tr>
        <w:tc>
          <w:tcPr>
            <w:tcW w:type="dxa" w:w="2800"/>
            <w:vAlign w:val="center"/>
          </w:tcPr>
          <w:p>
            <w:r>
              <w:rPr>
                <w:b w:val="false"/>
                <w:bCs w:val="false"/>
                <w:color w:val="000000"/>
                <w:sz w:val="19"/>
                <w:szCs w:val="19"/>
              </w:rPr>
              <w:t xml:space="preserve">/api/consulta</w:t>
            </w:r>
          </w:p>
        </w:tc>
        <w:tc>
          <w:tcPr>
            <w:tcW w:type="dxa" w:w="1600"/>
            <w:vAlign w:val="center"/>
          </w:tcPr>
          <w:p>
            <w:r>
              <w:rPr>
                <w:b w:val="false"/>
                <w:bCs w:val="false"/>
                <w:color w:val="000000"/>
                <w:sz w:val="19"/>
                <w:szCs w:val="19"/>
              </w:rPr>
              <w:t xml:space="preserve">POST</w:t>
            </w:r>
          </w:p>
        </w:tc>
        <w:tc>
          <w:tcPr>
            <w:tcW w:type="dxa" w:w="4800"/>
            <w:vAlign w:val="center"/>
          </w:tcPr>
          <w:p>
            <w:r>
              <w:rPr>
                <w:b w:val="false"/>
                <w:bCs w:val="false"/>
                <w:color w:val="000000"/>
                <w:sz w:val="19"/>
                <w:szCs w:val="19"/>
              </w:rPr>
              <w:t xml:space="preserve">Recibe una pregunta en lenguaje natural y devuelve la respuesta generada (RAG)</w:t>
            </w:r>
          </w:p>
        </w:tc>
      </w:tr>
      <w:tr>
        <w:tc>
          <w:tcPr>
            <w:tcW w:type="dxa" w:w="2800"/>
            <w:vAlign w:val="center"/>
          </w:tcPr>
          <w:p>
            <w:r>
              <w:rPr>
                <w:b w:val="false"/>
                <w:bCs w:val="false"/>
                <w:color w:val="000000"/>
                <w:sz w:val="19"/>
                <w:szCs w:val="19"/>
              </w:rPr>
              <w:t xml:space="preserve">/api/dashboard</w:t>
            </w:r>
          </w:p>
        </w:tc>
        <w:tc>
          <w:tcPr>
            <w:tcW w:type="dxa" w:w="1600"/>
            <w:vAlign w:val="center"/>
          </w:tcPr>
          <w:p>
            <w:r>
              <w:rPr>
                <w:b w:val="false"/>
                <w:bCs w:val="false"/>
                <w:color w:val="000000"/>
                <w:sz w:val="19"/>
                <w:szCs w:val="19"/>
              </w:rPr>
              <w:t xml:space="preserve">GET</w:t>
            </w:r>
          </w:p>
        </w:tc>
        <w:tc>
          <w:tcPr>
            <w:tcW w:type="dxa" w:w="4800"/>
            <w:vAlign w:val="center"/>
          </w:tcPr>
          <w:p>
            <w:r>
              <w:rPr>
                <w:b w:val="false"/>
                <w:bCs w:val="false"/>
                <w:color w:val="000000"/>
                <w:sz w:val="19"/>
                <w:szCs w:val="19"/>
              </w:rPr>
              <w:t xml:space="preserve">Devuelve los indicadores agregados del repositorio</w:t>
            </w:r>
          </w:p>
        </w:tc>
      </w:tr>
      <w:tr>
        <w:tc>
          <w:tcPr>
            <w:tcW w:type="dxa" w:w="2800"/>
            <w:vAlign w:val="center"/>
          </w:tcPr>
          <w:p>
            <w:r>
              <w:rPr>
                <w:b w:val="false"/>
                <w:bCs w:val="false"/>
                <w:color w:val="000000"/>
                <w:sz w:val="19"/>
                <w:szCs w:val="19"/>
              </w:rPr>
              <w:t xml:space="preserve">/api/logs</w:t>
            </w:r>
          </w:p>
        </w:tc>
        <w:tc>
          <w:tcPr>
            <w:tcW w:type="dxa" w:w="1600"/>
            <w:vAlign w:val="center"/>
          </w:tcPr>
          <w:p>
            <w:r>
              <w:rPr>
                <w:b w:val="false"/>
                <w:bCs w:val="false"/>
                <w:color w:val="000000"/>
                <w:sz w:val="19"/>
                <w:szCs w:val="19"/>
              </w:rPr>
              <w:t xml:space="preserve">GET</w:t>
            </w:r>
          </w:p>
        </w:tc>
        <w:tc>
          <w:tcPr>
            <w:tcW w:type="dxa" w:w="4800"/>
            <w:vAlign w:val="center"/>
          </w:tcPr>
          <w:p>
            <w:r>
              <w:rPr>
                <w:b w:val="false"/>
                <w:bCs w:val="false"/>
                <w:color w:val="000000"/>
                <w:sz w:val="19"/>
                <w:szCs w:val="19"/>
              </w:rPr>
              <w:t xml:space="preserve">Devuelve el registro de errores y estados (solo administrador)</w:t>
            </w:r>
          </w:p>
        </w:tc>
      </w:tr>
    </w:tbl>
    <w:p>
      <w:pPr>
        <w:pStyle w:val="Heading2"/>
        <w:spacing w:after="150" w:before="300"/>
      </w:pPr>
      <w:r>
        <w:t xml:space="preserve">2.10 Diseño de interfaces y prototipos</w:t>
      </w:r>
    </w:p>
    <w:p>
      <w:pPr>
        <w:spacing w:after="150"/>
      </w:pPr>
      <w:r>
        <w:t xml:space="preserve">Las pantallas principales previstas son: (1) Login, (2) Explorador de repositorio (árbol de carpetas + lista de documentos con su estado), (3) Detalle de documento (categoría, resumen, metadatos, descarga), (4) Buscador / chat de consulta en lenguaje natural con referencias a documentos fuente, y (5) Dashboard con indicadores. Los prototipos de baja fidelidad de estas pantallas se elaboran en la fase de maquetación (Figma o wireframes en papel) y se anexan como material complementario a este documento.</w:t>
      </w:r>
    </w:p>
    <w:p>
      <w:pPr>
        <w:pStyle w:val="Heading2"/>
        <w:spacing w:after="150" w:before="300"/>
      </w:pPr>
      <w:r>
        <w:t xml:space="preserve">2.11 Flujo de procesamiento documental</w:t>
      </w:r>
    </w:p>
    <w:p>
      <w:pPr>
        <w:spacing w:after="150"/>
      </w:pPr>
      <w:r>
        <w:t xml:space="preserve">El flujo de procesamiento documental sigue exactamente la secuencia exigida en el requisito central de IA: archivo → extracción de contenido → procesamiento IA → almacenamiento de resultados → búsqueda/consulta → respuesta. Este flujo está representado en detalle en las Figuras 5 y 6 (diagramas de secuencia), y cada paso queda además reflejado como un estado visible en la tabla procesamiento_log, de modo que el flujo real es verificable en la interfaz y no solo en la documentación.</w:t>
      </w:r>
    </w:p>
    <w:p>
      <w:pPr>
        <w:pStyle w:val="Heading2"/>
        <w:spacing w:after="150" w:before="300"/>
      </w:pPr>
      <w:r>
        <w:t xml:space="preserve">2.12 Diseño de la integración con IA</w:t>
      </w:r>
    </w:p>
    <w:p>
      <w:pPr>
        <w:spacing w:after="150"/>
      </w:pPr>
      <w:r>
        <w:t xml:space="preserve">La integración con IA se realiza mediante llamadas HTTPS (cURL desde PHP) a la API de un modelo de lenguaje (Claude o OpenAI), usada en dos modos:</w:t>
      </w:r>
    </w:p>
    <w:p>
      <w:pPr>
        <w:pStyle w:val="ListParagraph"/>
        <w:numPr>
          <w:ilvl w:val="0"/>
          <w:numId w:val="1"/>
        </w:numPr>
        <w:spacing w:after="80"/>
      </w:pPr>
      <w:r>
        <w:t xml:space="preserve">Modo 1 — Procesamiento de documento: se envía el texto extraído junto con un prompt estructurado que solicita, en formato JSON, la categoría (de un conjunto cerrado), un resumen y los metadatos relevantes según el tipo de documento.</w:t>
      </w:r>
    </w:p>
    <w:p>
      <w:pPr>
        <w:pStyle w:val="ListParagraph"/>
        <w:numPr>
          <w:ilvl w:val="0"/>
          <w:numId w:val="1"/>
        </w:numPr>
        <w:spacing w:after="80"/>
      </w:pPr>
      <w:r>
        <w:t xml:space="preserve">Modo 2 — Consulta en lenguaje natural (RAG simplificado): se genera el embedding de la pregunta del usuario, se compara mediante similitud de coseno (calculada en PHP) contra los embeddings de los fragmentos de documentos almacenados en MySQL, y los fragmentos más relevantes se envían junto con la pregunta al modelo para generar la respuesta final.</w:t>
      </w:r>
    </w:p>
    <w:p>
      <w:pPr>
        <w:spacing w:after="150"/>
      </w:pPr>
      <w:r>
        <w:t xml:space="preserve">Esta integración se documenta con mayor detalle técnico —incluyendo la justificación de por qué se usa este enfoque de RAG simplificado en lugar de una base de datos vectorial dedicada— en la sección 2.13.</w:t>
      </w:r>
    </w:p>
    <w:p>
      <w:pPr>
        <w:pStyle w:val="Heading2"/>
        <w:spacing w:after="150" w:before="300"/>
      </w:pPr>
      <w:r>
        <w:t xml:space="preserve">2.13 Decisiones tecnológicas y su justificación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rPr>
          <w:tblHeader/>
        </w:trPr>
        <w:tc>
          <w:tcPr>
            <w:tcW w:type="dxa" w:w="3200"/>
            <w:shd w:fill="2b5876" w:val="clear"/>
            <w:vAlign w:val="center"/>
          </w:tcPr>
          <w:p>
            <w:r>
              <w:rPr>
                <w:b/>
                <w:bCs/>
                <w:color w:val="FFFFFF"/>
                <w:sz w:val="19"/>
                <w:szCs w:val="19"/>
              </w:rPr>
              <w:t xml:space="preserve">Decisión</w:t>
            </w:r>
          </w:p>
        </w:tc>
        <w:tc>
          <w:tcPr>
            <w:tcW w:type="dxa" w:w="6800"/>
            <w:shd w:fill="2b5876" w:val="clear"/>
            <w:vAlign w:val="center"/>
          </w:tcPr>
          <w:p>
            <w:r>
              <w:rPr>
                <w:b/>
                <w:bCs/>
                <w:color w:val="FFFFFF"/>
                <w:sz w:val="19"/>
                <w:szCs w:val="19"/>
              </w:rPr>
              <w:t xml:space="preserve">Justificación</w:t>
            </w:r>
          </w:p>
        </w:tc>
      </w:tr>
      <w:tr>
        <w:tc>
          <w:tcPr>
            <w:tcW w:type="dxa" w:w="3200"/>
            <w:vAlign w:val="center"/>
          </w:tcPr>
          <w:p>
            <w:r>
              <w:rPr>
                <w:b w:val="false"/>
                <w:bCs w:val="false"/>
                <w:color w:val="000000"/>
                <w:sz w:val="19"/>
                <w:szCs w:val="19"/>
              </w:rPr>
              <w:t xml:space="preserve">PHP + MySQL + XAMPP</w:t>
            </w:r>
          </w:p>
        </w:tc>
        <w:tc>
          <w:tcPr>
            <w:tcW w:type="dxa" w:w="6800"/>
            <w:vAlign w:val="center"/>
          </w:tcPr>
          <w:p>
            <w:r>
              <w:rPr>
                <w:b w:val="false"/>
                <w:bCs w:val="false"/>
                <w:color w:val="000000"/>
                <w:sz w:val="19"/>
                <w:szCs w:val="19"/>
              </w:rPr>
              <w:t xml:space="preserve">Entorno de desarrollo estándar, gratuito y ya conocido por el equipo; permite desplegar la aplicación fácilmente en cualquier equipo sin configuración compleja, adecuado para el alcance académico del proyecto</w:t>
            </w:r>
          </w:p>
        </w:tc>
      </w:tr>
      <w:tr>
        <w:tc>
          <w:tcPr>
            <w:tcW w:type="dxa" w:w="3200"/>
            <w:vAlign w:val="center"/>
          </w:tcPr>
          <w:p>
            <w:r>
              <w:rPr>
                <w:b w:val="false"/>
                <w:bCs w:val="false"/>
                <w:color w:val="000000"/>
                <w:sz w:val="19"/>
                <w:szCs w:val="19"/>
              </w:rPr>
              <w:t xml:space="preserve">Arquitectura tipo MVC en PHP plano</w:t>
            </w:r>
          </w:p>
        </w:tc>
        <w:tc>
          <w:tcPr>
            <w:tcW w:type="dxa" w:w="6800"/>
            <w:vAlign w:val="center"/>
          </w:tcPr>
          <w:p>
            <w:r>
              <w:rPr>
                <w:b w:val="false"/>
                <w:bCs w:val="false"/>
                <w:color w:val="000000"/>
                <w:sz w:val="19"/>
                <w:szCs w:val="19"/>
              </w:rPr>
              <w:t xml:space="preserve">Facilita mantenibilidad (RNF-06) sin la sobrecarga de aprender un framework completo dentro del tiempo del proyecto</w:t>
            </w:r>
          </w:p>
        </w:tc>
      </w:tr>
      <w:tr>
        <w:tc>
          <w:tcPr>
            <w:tcW w:type="dxa" w:w="3200"/>
            <w:vAlign w:val="center"/>
          </w:tcPr>
          <w:p>
            <w:r>
              <w:rPr>
                <w:b w:val="false"/>
                <w:bCs w:val="false"/>
                <w:color w:val="000000"/>
                <w:sz w:val="19"/>
                <w:szCs w:val="19"/>
              </w:rPr>
              <w:t xml:space="preserve">API de modelo de lenguaje externo (Claude/OpenAI) en lugar de un modelo propio</w:t>
            </w:r>
          </w:p>
        </w:tc>
        <w:tc>
          <w:tcPr>
            <w:tcW w:type="dxa" w:w="6800"/>
            <w:vAlign w:val="center"/>
          </w:tcPr>
          <w:p>
            <w:r>
              <w:rPr>
                <w:b w:val="false"/>
                <w:bCs w:val="false"/>
                <w:color w:val="000000"/>
                <w:sz w:val="19"/>
                <w:szCs w:val="19"/>
              </w:rPr>
              <w:t xml:space="preserve">Entrenar o alojar un modelo de NLP propio está fuera del alcance de un proyecto académico de un semestre; consumir una API ya entrenada permite enfocar el esfuerzo en la integración y el flujo de negocio</w:t>
            </w:r>
          </w:p>
        </w:tc>
      </w:tr>
      <w:tr>
        <w:tc>
          <w:tcPr>
            <w:tcW w:type="dxa" w:w="3200"/>
            <w:vAlign w:val="center"/>
          </w:tcPr>
          <w:p>
            <w:r>
              <w:rPr>
                <w:b w:val="false"/>
                <w:bCs w:val="false"/>
                <w:color w:val="000000"/>
                <w:sz w:val="19"/>
                <w:szCs w:val="19"/>
              </w:rPr>
              <w:t xml:space="preserve">Embeddings + similitud de coseno calculada en PHP (en vez de una base de datos vectorial dedicada)</w:t>
            </w:r>
          </w:p>
        </w:tc>
        <w:tc>
          <w:tcPr>
            <w:tcW w:type="dxa" w:w="6800"/>
            <w:vAlign w:val="center"/>
          </w:tcPr>
          <w:p>
            <w:r>
              <w:rPr>
                <w:b w:val="false"/>
                <w:bCs w:val="false"/>
                <w:color w:val="000000"/>
                <w:sz w:val="19"/>
                <w:szCs w:val="19"/>
              </w:rPr>
              <w:t xml:space="preserve">MySQL no cuenta con tipo de dato vectorial nativo; dado el volumen de documentos esperado en las pruebas (decenas a un par de cientos), calcular la similitud en PHP es suficientemente eficiente y evita añadir infraestructura adicional (Pinecone, pgvector, etc.) que sería sobre-ingeniería para este alcance</w:t>
            </w:r>
          </w:p>
        </w:tc>
      </w:tr>
      <w:tr>
        <w:tc>
          <w:tcPr>
            <w:tcW w:type="dxa" w:w="3200"/>
            <w:vAlign w:val="center"/>
          </w:tcPr>
          <w:p>
            <w:r>
              <w:rPr>
                <w:b w:val="false"/>
                <w:bCs w:val="false"/>
                <w:color w:val="000000"/>
                <w:sz w:val="19"/>
                <w:szCs w:val="19"/>
              </w:rPr>
              <w:t xml:space="preserve">No incluir OCR en el alcance mínimo</w:t>
            </w:r>
          </w:p>
        </w:tc>
        <w:tc>
          <w:tcPr>
            <w:tcW w:type="dxa" w:w="6800"/>
            <w:vAlign w:val="center"/>
          </w:tcPr>
          <w:p>
            <w:r>
              <w:rPr>
                <w:b w:val="false"/>
                <w:bCs w:val="false"/>
                <w:color w:val="000000"/>
                <w:sz w:val="19"/>
                <w:szCs w:val="19"/>
              </w:rPr>
              <w:t xml:space="preserve">Los documentos de prueba definidos tienen texto seleccionable; el OCR se documenta como extensión futura para no comprometer el cronograma con una funcionalidad no exigida como obligatoria</w:t>
            </w:r>
          </w:p>
        </w:tc>
      </w:tr>
      <w:tr>
        <w:tc>
          <w:tcPr>
            <w:tcW w:type="dxa" w:w="3200"/>
            <w:vAlign w:val="center"/>
          </w:tcPr>
          <w:p>
            <w:r>
              <w:rPr>
                <w:b w:val="false"/>
                <w:bCs w:val="false"/>
                <w:color w:val="000000"/>
                <w:sz w:val="19"/>
                <w:szCs w:val="19"/>
              </w:rPr>
              <w:t xml:space="preserve">PDO con prepared statements para acceso a datos</w:t>
            </w:r>
          </w:p>
        </w:tc>
        <w:tc>
          <w:tcPr>
            <w:tcW w:type="dxa" w:w="6800"/>
            <w:vAlign w:val="center"/>
          </w:tcPr>
          <w:p>
            <w:r>
              <w:rPr>
                <w:b w:val="false"/>
                <w:bCs w:val="false"/>
                <w:color w:val="000000"/>
                <w:sz w:val="19"/>
                <w:szCs w:val="19"/>
              </w:rPr>
              <w:t xml:space="preserve">Previene inyección SQL de forma estándar y es compatible de forma nativa con PHP, sin librerías adicionales</w:t>
            </w:r>
          </w:p>
        </w:tc>
      </w:tr>
    </w:tbl>
    <w:p>
      <w:pPr>
        <w:pStyle w:val="Heading2"/>
        <w:spacing w:after="150" w:before="300"/>
      </w:pPr>
      <w:r>
        <w:t xml:space="preserve">2.14 Diseño básico de seguridad</w:t>
      </w:r>
    </w:p>
    <w:p>
      <w:pPr>
        <w:pStyle w:val="ListParagraph"/>
        <w:numPr>
          <w:ilvl w:val="0"/>
          <w:numId w:val="1"/>
        </w:numPr>
        <w:spacing w:after="80"/>
      </w:pPr>
      <w:r>
        <w:t xml:space="preserve">Autenticación con contraseñas almacenadas mediante hash (password_hash de PHP), nunca en texto plano.</w:t>
      </w:r>
    </w:p>
    <w:p>
      <w:pPr>
        <w:pStyle w:val="ListParagraph"/>
        <w:numPr>
          <w:ilvl w:val="0"/>
          <w:numId w:val="1"/>
        </w:numPr>
        <w:spacing w:after="80"/>
      </w:pPr>
      <w:r>
        <w:t xml:space="preserve">Control de acceso por rol: rutas de administrador protegidas y verificadas en cada petición, no solo ocultas en el frontend.</w:t>
      </w:r>
    </w:p>
    <w:p>
      <w:pPr>
        <w:pStyle w:val="ListParagraph"/>
        <w:numPr>
          <w:ilvl w:val="0"/>
          <w:numId w:val="1"/>
        </w:numPr>
        <w:spacing w:after="80"/>
      </w:pPr>
      <w:r>
        <w:t xml:space="preserve">Validación de archivos cargados por tipo MIME real y extensión, con límite de tamaño, para evitar la carga de archivos ejecutables disfrazados.</w:t>
      </w:r>
    </w:p>
    <w:p>
      <w:pPr>
        <w:pStyle w:val="ListParagraph"/>
        <w:numPr>
          <w:ilvl w:val="0"/>
          <w:numId w:val="1"/>
        </w:numPr>
        <w:spacing w:after="80"/>
      </w:pPr>
      <w:r>
        <w:t xml:space="preserve">Uso de prepared statements (PDO) en todas las consultas SQL para prevenir inyección.</w:t>
      </w:r>
    </w:p>
    <w:p>
      <w:pPr>
        <w:pStyle w:val="ListParagraph"/>
        <w:numPr>
          <w:ilvl w:val="0"/>
          <w:numId w:val="1"/>
        </w:numPr>
        <w:spacing w:after="80"/>
      </w:pPr>
      <w:r>
        <w:t xml:space="preserve">Las credenciales de la API de IA se manejan como variables de entorno / configuración fuera del control de versiones, nunca embebidas en el código fuente.</w:t>
      </w:r>
    </w:p>
    <w:p>
      <w:pPr>
        <w:pStyle w:val="ListParagraph"/>
        <w:numPr>
          <w:ilvl w:val="0"/>
          <w:numId w:val="1"/>
        </w:numPr>
        <w:spacing w:after="80"/>
      </w:pPr>
      <w:r>
        <w:t xml:space="preserve">Registro (log) de accesos y de errores de procesamiento para trazabilidad ante incidentes.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Página </w:t>
    </w:r>
    <w:r>
      <w:rPr>
        <w:color w:val="888888"/>
        <w:sz w:val="16"/>
        <w:szCs w:val="16"/>
      </w:rPr>
      <w:fldChar w:fldCharType="begin"/>
      <w:instrText xml:space="preserve">PAGE</w:instrText>
      <w:fldChar w:fldCharType="separate"/>
      <w:fldChar w:fldCharType="end"/>
    </w:r>
    <w:r>
      <w:rPr>
        <w:color w:val="888888"/>
        <w:sz w:val="16"/>
        <w:szCs w:val="16"/>
      </w:rPr>
      <w:t xml:space="preserve"> de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02 - Documento de Diseño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b5876" w:sz="6" w:space="4"/>
      </w:pBdr>
      <w:spacing w:after="200" w:before="360"/>
    </w:pPr>
    <w:rPr>
      <w:rFonts w:ascii="Calibri" w:cs="Calibri" w:eastAsia="Calibri" w:hAnsi="Calibri"/>
      <w:b/>
      <w:bCs/>
      <w:color w:val="2b5876"/>
      <w:sz w:val="30"/>
      <w:szCs w:val="30"/>
    </w:rPr>
  </w:style>
  <w:style w:type="paragraph" w:styleId="Heading2">
    <w:name w:val="Heading 2"/>
    <w:basedOn w:val="Normal"/>
    <w:next w:val="Normal"/>
    <w:qFormat/>
    <w:pPr>
      <w:spacing w:after="140" w:before="280"/>
    </w:pPr>
    <w:rPr>
      <w:rFonts w:ascii="Calibri" w:cs="Calibri" w:eastAsia="Calibri" w:hAnsi="Calibri"/>
      <w:b/>
      <w:bCs/>
      <w:color w:val="2b5876"/>
      <w:sz w:val="25"/>
      <w:szCs w:val="25"/>
    </w:rPr>
  </w:style>
  <w:style w:type="paragraph" w:styleId="Heading3">
    <w:name w:val="Heading 3"/>
    <w:basedOn w:val="Normal"/>
    <w:next w:val="Normal"/>
    <w:qFormat/>
    <w:pPr>
      <w:spacing w:after="100" w:before="200"/>
    </w:pPr>
    <w:rPr>
      <w:rFonts w:ascii="Calibri" w:cs="Calibri" w:eastAsia="Calibri" w:hAnsi="Calibri"/>
      <w:b/>
      <w:bCs/>
      <w:i/>
      <w:iCs/>
      <w:color w:val="5555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c775124a38c14be8735fff05a4d1999208d1547.png"/><Relationship Id="rId10" Type="http://schemas.openxmlformats.org/officeDocument/2006/relationships/image" Target="media/cb25c07b40da3b3d27d534eaa2c44d3b96ff45ec.png"/><Relationship Id="rId11" Type="http://schemas.openxmlformats.org/officeDocument/2006/relationships/image" Target="media/20bb6eae74b7b917c97dc467d1ab4d1aa9e47ebc.png"/><Relationship Id="rId12" Type="http://schemas.openxmlformats.org/officeDocument/2006/relationships/image" Target="media/626362a3bb10ce8df76dc73793f7ad2b71b96dc8.png"/><Relationship Id="rId13" Type="http://schemas.openxmlformats.org/officeDocument/2006/relationships/image" Target="media/b0321ec6d38645b804eb81a67f249c9d757273c0.png"/><Relationship Id="rId14" Type="http://schemas.openxmlformats.org/officeDocument/2006/relationships/image" Target="media/b22f1a27f01880d05a57a7833e456571923bc66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2026-09-06T01:58:37.603Z</dcterms:created>
  <dcterms:modified xsi:type="dcterms:W3CDTF">2026-09-06T01:58:37.603Z</dcterms:modified>
</cp:coreProperties>
</file>

<file path=docProps/custom.xml><?xml version="1.0" encoding="utf-8"?>
<Properties xmlns="http://schemas.openxmlformats.org/officeDocument/2006/custom-properties" xmlns:vt="http://schemas.openxmlformats.org/officeDocument/2006/docPropsVTypes"/>
</file>