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55555"/>
          <w:sz w:val="24"/>
          <w:szCs w:val="24"/>
        </w:rPr>
        <w:t xml:space="preserve">ENTREGABLE 04</w:t>
      </w:r>
    </w:p>
    <w:p>
      <w:pPr>
        <w:spacing w:after="300"/>
        <w:jc w:val="center"/>
      </w:pPr>
      <w:r>
        <w:rPr>
          <w:b/>
          <w:bCs/>
          <w:color w:val="2b5876"/>
          <w:sz w:val="40"/>
          <w:szCs w:val="40"/>
        </w:rPr>
        <w:t xml:space="preserve">PLAN Y EVIDENCIAS DE PRUEBAS</w:t>
      </w:r>
    </w:p>
    <w:p>
      <w:pPr>
        <w:spacing w:after="900"/>
        <w:jc w:val="center"/>
      </w:pPr>
      <w:r>
        <w:rPr>
          <w:color w:val="555555"/>
          <w:sz w:val="26"/>
          <w:szCs w:val="26"/>
        </w:rPr>
        <w:t xml:space="preserve">Fase de Pruebas del ciclo de desarrollo de software</w:t>
      </w:r>
    </w:p>
    <w:p>
      <w:pPr>
        <w:spacing w:after="100"/>
        <w:jc w:val="center"/>
      </w:pPr>
      <w:r>
        <w:rPr>
          <w:sz w:val="22"/>
          <w:szCs w:val="22"/>
        </w:rPr>
        <w:t xml:space="preserve">Repositorio Inteligente de Documentos con Inteligencia Artificial</w:t>
      </w:r>
    </w:p>
    <w:p>
      <w:pPr>
        <w:spacing w:after="100"/>
        <w:jc w:val="center"/>
      </w:pPr>
      <w:r>
        <w:rPr>
          <w:sz w:val="22"/>
          <w:szCs w:val="22"/>
        </w:rPr>
        <w:t xml:space="preserve">Desarrollo de Aplicaciones Empresariales – VI Semestre</w:t>
      </w:r>
    </w:p>
    <w:p>
      <w:pPr>
        <w:spacing w:after="100"/>
        <w:jc w:val="center"/>
      </w:pPr>
      <w:r>
        <w:rPr>
          <w:sz w:val="22"/>
          <w:szCs w:val="22"/>
        </w:rPr>
        <w:t xml:space="preserve">Docente: Wilson Castaño Galviz</w:t>
      </w:r>
    </w:p>
    <w:p>
      <w:pPr>
        <w:spacing w:after="100"/>
        <w:jc w:val="center"/>
      </w:pPr>
      <w:r>
        <w:rPr>
          <w:sz w:val="22"/>
          <w:szCs w:val="22"/>
        </w:rPr>
        <w:t xml:space="preserve">Unidades Tecnológicas de Santander (UTS)</w:t>
      </w:r>
    </w:p>
    <w:p>
      <w:r>
        <w:br w:type="page"/>
      </w:r>
    </w:p>
    <w:p>
      <w:pPr>
        <w:pStyle w:val="Heading1"/>
        <w:spacing w:after="200" w:before="400"/>
      </w:pPr>
      <w:r>
        <w:t xml:space="preserve">4. Plan y evidencias de pruebas</w:t>
      </w:r>
    </w:p>
    <w:p>
      <w:pPr>
        <w:pStyle w:val="Heading2"/>
        <w:spacing w:after="150" w:before="300"/>
      </w:pPr>
      <w:r>
        <w:t xml:space="preserve">4.1 Objetivo y alcance del plan de pruebas</w:t>
      </w:r>
    </w:p>
    <w:p>
      <w:pPr>
        <w:spacing w:after="150"/>
      </w:pPr>
      <w:r>
        <w:t xml:space="preserve">Este plan verifica que el sistema cumple los requerimientos funcionales (RF-01 a RF-12) y no funcionales definidos en el documento de Análisis, con énfasis en el requisito central del proyecto: el flujo completo archivo → extracción → procesamiento IA → almacenamiento → búsqueda/consulta → respuesta. Cubre pruebas funcionales, de validación de archivos, del procesamiento de IA, de clasificación/extracción, de búsqueda y preguntas en lenguaje natural, de seguridad básica, y de manejo de errores y casos límite.</w:t>
      </w:r>
    </w:p>
    <w:p>
      <w:pPr>
        <w:pStyle w:val="Heading2"/>
        <w:spacing w:after="150" w:before="300"/>
      </w:pPr>
      <w:r>
        <w:t xml:space="preserve">4.2 Estrategia y tipos de pruebas aplicadas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b5876" w:val="clear"/>
            <w:vAlign w:val="center"/>
          </w:tcPr>
          <w:p>
            <w:r>
              <w:rPr>
                <w:b/>
                <w:bCs/>
                <w:color w:val="FFFFFF"/>
                <w:sz w:val="19"/>
                <w:szCs w:val="19"/>
              </w:rPr>
              <w:t xml:space="preserve">Tipo de prueba</w:t>
            </w:r>
          </w:p>
        </w:tc>
        <w:tc>
          <w:tcPr>
            <w:tcW w:type="dxa" w:w="6800"/>
            <w:shd w:fill="2b5876" w:val="clear"/>
            <w:vAlign w:val="center"/>
          </w:tcPr>
          <w:p>
            <w:r>
              <w:rPr>
                <w:b/>
                <w:bCs/>
                <w:color w:val="FFFFFF"/>
                <w:sz w:val="19"/>
                <w:szCs w:val="19"/>
              </w:rPr>
              <w:t xml:space="preserve">Enfoque</w:t>
            </w:r>
          </w:p>
        </w:tc>
      </w:tr>
      <w:tr>
        <w:tc>
          <w:tcPr>
            <w:tcW w:type="dxa" w:w="2600"/>
            <w:vAlign w:val="center"/>
          </w:tcPr>
          <w:p>
            <w:r>
              <w:rPr>
                <w:b w:val="false"/>
                <w:bCs w:val="false"/>
                <w:color w:val="000000"/>
                <w:sz w:val="19"/>
                <w:szCs w:val="19"/>
              </w:rPr>
              <w:t xml:space="preserve">Funcionales</w:t>
            </w:r>
          </w:p>
        </w:tc>
        <w:tc>
          <w:tcPr>
            <w:tcW w:type="dxa" w:w="6800"/>
            <w:vAlign w:val="center"/>
          </w:tcPr>
          <w:p>
            <w:r>
              <w:rPr>
                <w:b w:val="false"/>
                <w:bCs w:val="false"/>
                <w:color w:val="000000"/>
                <w:sz w:val="19"/>
                <w:szCs w:val="19"/>
              </w:rPr>
              <w:t xml:space="preserve">Verificar que cada requerimiento funcional (RF-01 a RF-12) se comporta como se especificó, ejecutando la aplicación real sobre un entorno con MySQL, servidor PHP y la API de IA configurada</w:t>
            </w:r>
          </w:p>
        </w:tc>
      </w:tr>
      <w:tr>
        <w:tc>
          <w:tcPr>
            <w:tcW w:type="dxa" w:w="2600"/>
            <w:vAlign w:val="center"/>
          </w:tcPr>
          <w:p>
            <w:r>
              <w:rPr>
                <w:b w:val="false"/>
                <w:bCs w:val="false"/>
                <w:color w:val="000000"/>
                <w:sz w:val="19"/>
                <w:szCs w:val="19"/>
              </w:rPr>
              <w:t xml:space="preserve">Validación de archivos</w:t>
            </w:r>
          </w:p>
        </w:tc>
        <w:tc>
          <w:tcPr>
            <w:tcW w:type="dxa" w:w="6800"/>
            <w:vAlign w:val="center"/>
          </w:tcPr>
          <w:p>
            <w:r>
              <w:rPr>
                <w:b w:val="false"/>
                <w:bCs w:val="false"/>
                <w:color w:val="000000"/>
                <w:sz w:val="19"/>
                <w:szCs w:val="19"/>
              </w:rPr>
              <w:t xml:space="preserve">Confirmar que solo se aceptan PDF/DOCX/TXT y que el tipo se valida por contenido real (MIME), no solo por extensión</w:t>
            </w:r>
          </w:p>
        </w:tc>
      </w:tr>
      <w:tr>
        <w:tc>
          <w:tcPr>
            <w:tcW w:type="dxa" w:w="2600"/>
            <w:vAlign w:val="center"/>
          </w:tcPr>
          <w:p>
            <w:r>
              <w:rPr>
                <w:b w:val="false"/>
                <w:bCs w:val="false"/>
                <w:color w:val="000000"/>
                <w:sz w:val="19"/>
                <w:szCs w:val="19"/>
              </w:rPr>
              <w:t xml:space="preserve">Procesamiento de IA</w:t>
            </w:r>
          </w:p>
        </w:tc>
        <w:tc>
          <w:tcPr>
            <w:tcW w:type="dxa" w:w="6800"/>
            <w:vAlign w:val="center"/>
          </w:tcPr>
          <w:p>
            <w:r>
              <w:rPr>
                <w:b w:val="false"/>
                <w:bCs w:val="false"/>
                <w:color w:val="000000"/>
                <w:sz w:val="19"/>
                <w:szCs w:val="19"/>
              </w:rPr>
              <w:t xml:space="preserve">Verificar el flujo completo de extracción, llamada a la IA, y almacenamiento de resultados, incluyendo el comportamiento cuando la IA responde con error</w:t>
            </w:r>
          </w:p>
        </w:tc>
      </w:tr>
      <w:tr>
        <w:tc>
          <w:tcPr>
            <w:tcW w:type="dxa" w:w="2600"/>
            <w:vAlign w:val="center"/>
          </w:tcPr>
          <w:p>
            <w:r>
              <w:rPr>
                <w:b w:val="false"/>
                <w:bCs w:val="false"/>
                <w:color w:val="000000"/>
                <w:sz w:val="19"/>
                <w:szCs w:val="19"/>
              </w:rPr>
              <w:t xml:space="preserve">Clasificación y extracción</w:t>
            </w:r>
          </w:p>
        </w:tc>
        <w:tc>
          <w:tcPr>
            <w:tcW w:type="dxa" w:w="6800"/>
            <w:vAlign w:val="center"/>
          </w:tcPr>
          <w:p>
            <w:r>
              <w:rPr>
                <w:b w:val="false"/>
                <w:bCs w:val="false"/>
                <w:color w:val="000000"/>
                <w:sz w:val="19"/>
                <w:szCs w:val="19"/>
              </w:rPr>
              <w:t xml:space="preserve">Confirmar que la categoría asignada pertenece al conjunto cerrado definido y que los metadatos extraídos corresponden al tipo de documento</w:t>
            </w:r>
          </w:p>
        </w:tc>
      </w:tr>
      <w:tr>
        <w:tc>
          <w:tcPr>
            <w:tcW w:type="dxa" w:w="2600"/>
            <w:vAlign w:val="center"/>
          </w:tcPr>
          <w:p>
            <w:r>
              <w:rPr>
                <w:b w:val="false"/>
                <w:bCs w:val="false"/>
                <w:color w:val="000000"/>
                <w:sz w:val="19"/>
                <w:szCs w:val="19"/>
              </w:rPr>
              <w:t xml:space="preserve">Búsqueda y preguntas</w:t>
            </w:r>
          </w:p>
        </w:tc>
        <w:tc>
          <w:tcPr>
            <w:tcW w:type="dxa" w:w="6800"/>
            <w:vAlign w:val="center"/>
          </w:tcPr>
          <w:p>
            <w:r>
              <w:rPr>
                <w:b w:val="false"/>
                <w:bCs w:val="false"/>
                <w:color w:val="000000"/>
                <w:sz w:val="19"/>
                <w:szCs w:val="19"/>
              </w:rPr>
              <w:t xml:space="preserve">Verificar la búsqueda de texto completo y la consulta en lenguaje natural (RAG), incluyendo el modo de un documento específico y el modo chat libre</w:t>
            </w:r>
          </w:p>
        </w:tc>
      </w:tr>
      <w:tr>
        <w:tc>
          <w:tcPr>
            <w:tcW w:type="dxa" w:w="2600"/>
            <w:vAlign w:val="center"/>
          </w:tcPr>
          <w:p>
            <w:r>
              <w:rPr>
                <w:b w:val="false"/>
                <w:bCs w:val="false"/>
                <w:color w:val="000000"/>
                <w:sz w:val="19"/>
                <w:szCs w:val="19"/>
              </w:rPr>
              <w:t xml:space="preserve">Seguridad básica</w:t>
            </w:r>
          </w:p>
        </w:tc>
        <w:tc>
          <w:tcPr>
            <w:tcW w:type="dxa" w:w="6800"/>
            <w:vAlign w:val="center"/>
          </w:tcPr>
          <w:p>
            <w:r>
              <w:rPr>
                <w:b w:val="false"/>
                <w:bCs w:val="false"/>
                <w:color w:val="000000"/>
                <w:sz w:val="19"/>
                <w:szCs w:val="19"/>
              </w:rPr>
              <w:t xml:space="preserve">Verificar control de acceso por sesión, hash de contraseñas, y resistencia a inyección SQL mediante prepared statements</w:t>
            </w:r>
          </w:p>
        </w:tc>
      </w:tr>
      <w:tr>
        <w:tc>
          <w:tcPr>
            <w:tcW w:type="dxa" w:w="2600"/>
            <w:vAlign w:val="center"/>
          </w:tcPr>
          <w:p>
            <w:r>
              <w:rPr>
                <w:b w:val="false"/>
                <w:bCs w:val="false"/>
                <w:color w:val="000000"/>
                <w:sz w:val="19"/>
                <w:szCs w:val="19"/>
              </w:rPr>
              <w:t xml:space="preserve">Errores y casos límite</w:t>
            </w:r>
          </w:p>
        </w:tc>
        <w:tc>
          <w:tcPr>
            <w:tcW w:type="dxa" w:w="6800"/>
            <w:vAlign w:val="center"/>
          </w:tcPr>
          <w:p>
            <w:r>
              <w:rPr>
                <w:b w:val="false"/>
                <w:bCs w:val="false"/>
                <w:color w:val="000000"/>
                <w:sz w:val="19"/>
                <w:szCs w:val="19"/>
              </w:rPr>
              <w:t xml:space="preserve">Provocar fallos reales (credenciales inválidas de la API, modelo inexistente, archivo no soportado) y verificar que el sistema los registra sin caerse</w:t>
            </w:r>
          </w:p>
        </w:tc>
      </w:tr>
    </w:tbl>
    <w:p>
      <w:pPr>
        <w:spacing w:after="150"/>
      </w:pPr>
      <w:r>
        <w:t xml:space="preserve">Entorno de ejecución de las pruebas: servidor Apache/PHP 8.x con MySQL (phpMyAdmin) sobre XAMPP, navegador Chrome, y la API de IA configurada (Anthropic/OpenAI compatible). Las pruebas de este documento se ejecutaron sobre una réplica funcional del sistema (mismo código, misma base de datos MySQL) para poder capturar evidencia controlada.</w:t>
      </w:r>
    </w:p>
    <w:p>
      <w:pPr>
        <w:pStyle w:val="Heading2"/>
        <w:spacing w:after="150" w:before="300"/>
      </w:pPr>
      <w:r>
        <w:t xml:space="preserve">4.3 Casos de prueba (mínimo 10 requeridos — se documentan 15)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100"/>
        <w:gridCol w:w="2600"/>
        <w:gridCol w:w="2300"/>
        <w:gridCol w:w="2000"/>
      </w:tblGrid>
      <w:tr>
        <w:trPr>
          <w:tblHeader/>
        </w:trPr>
        <w:tc>
          <w:tcPr>
            <w:tcW w:type="dxa" w:w="700"/>
            <w:shd w:fill="2b5876" w:val="clear"/>
            <w:vAlign w:val="center"/>
          </w:tcPr>
          <w:p>
            <w:r>
              <w:rPr>
                <w:b/>
                <w:bCs/>
                <w:color w:val="FFFFFF"/>
                <w:sz w:val="19"/>
                <w:szCs w:val="19"/>
              </w:rPr>
              <w:t xml:space="preserve">ID</w:t>
            </w:r>
          </w:p>
        </w:tc>
        <w:tc>
          <w:tcPr>
            <w:tcW w:type="dxa" w:w="1200"/>
            <w:shd w:fill="2b5876" w:val="clear"/>
            <w:vAlign w:val="center"/>
          </w:tcPr>
          <w:p>
            <w:r>
              <w:rPr>
                <w:b/>
                <w:bCs/>
                <w:color w:val="FFFFFF"/>
                <w:sz w:val="19"/>
                <w:szCs w:val="19"/>
              </w:rPr>
              <w:t xml:space="preserve">Tipo</w:t>
            </w:r>
          </w:p>
        </w:tc>
        <w:tc>
          <w:tcPr>
            <w:tcW w:type="dxa" w:w="1100"/>
            <w:shd w:fill="2b5876" w:val="clear"/>
            <w:vAlign w:val="center"/>
          </w:tcPr>
          <w:p>
            <w:r>
              <w:rPr>
                <w:b/>
                <w:bCs/>
                <w:color w:val="FFFFFF"/>
                <w:sz w:val="19"/>
                <w:szCs w:val="19"/>
              </w:rPr>
              <w:t xml:space="preserve">RF relacionado</w:t>
            </w:r>
          </w:p>
        </w:tc>
        <w:tc>
          <w:tcPr>
            <w:tcW w:type="dxa" w:w="2600"/>
            <w:shd w:fill="2b5876" w:val="clear"/>
            <w:vAlign w:val="center"/>
          </w:tcPr>
          <w:p>
            <w:r>
              <w:rPr>
                <w:b/>
                <w:bCs/>
                <w:color w:val="FFFFFF"/>
                <w:sz w:val="19"/>
                <w:szCs w:val="19"/>
              </w:rPr>
              <w:t xml:space="preserve">Descripción / pasos</w:t>
            </w:r>
          </w:p>
        </w:tc>
        <w:tc>
          <w:tcPr>
            <w:tcW w:type="dxa" w:w="2300"/>
            <w:shd w:fill="2b5876" w:val="clear"/>
            <w:vAlign w:val="center"/>
          </w:tcPr>
          <w:p>
            <w:r>
              <w:rPr>
                <w:b/>
                <w:bCs/>
                <w:color w:val="FFFFFF"/>
                <w:sz w:val="19"/>
                <w:szCs w:val="19"/>
              </w:rPr>
              <w:t xml:space="preserve">Resultado esperado</w:t>
            </w:r>
          </w:p>
        </w:tc>
        <w:tc>
          <w:tcPr>
            <w:tcW w:type="dxa" w:w="2000"/>
            <w:shd w:fill="2b5876" w:val="clear"/>
            <w:vAlign w:val="center"/>
          </w:tcPr>
          <w:p>
            <w:r>
              <w:rPr>
                <w:b/>
                <w:bCs/>
                <w:color w:val="FFFFFF"/>
                <w:sz w:val="19"/>
                <w:szCs w:val="19"/>
              </w:rPr>
              <w:t xml:space="preserve">Resultado obtenido</w:t>
            </w:r>
          </w:p>
        </w:tc>
      </w:tr>
      <w:tr>
        <w:tc>
          <w:tcPr>
            <w:tcW w:type="dxa" w:w="700"/>
            <w:vAlign w:val="center"/>
          </w:tcPr>
          <w:p>
            <w:r>
              <w:rPr>
                <w:b w:val="false"/>
                <w:bCs w:val="false"/>
                <w:color w:val="000000"/>
                <w:sz w:val="19"/>
                <w:szCs w:val="19"/>
              </w:rPr>
              <w:t xml:space="preserve">TC-01</w:t>
            </w:r>
          </w:p>
        </w:tc>
        <w:tc>
          <w:tcPr>
            <w:tcW w:type="dxa" w:w="1200"/>
            <w:vAlign w:val="center"/>
          </w:tcPr>
          <w:p>
            <w:r>
              <w:rPr>
                <w:b w:val="false"/>
                <w:bCs w:val="false"/>
                <w:color w:val="000000"/>
                <w:sz w:val="19"/>
                <w:szCs w:val="19"/>
              </w:rPr>
              <w:t xml:space="preserve">Funcional</w:t>
            </w:r>
          </w:p>
        </w:tc>
        <w:tc>
          <w:tcPr>
            <w:tcW w:type="dxa" w:w="1100"/>
            <w:vAlign w:val="center"/>
          </w:tcPr>
          <w:p>
            <w:r>
              <w:rPr>
                <w:b w:val="false"/>
                <w:bCs w:val="false"/>
                <w:color w:val="000000"/>
                <w:sz w:val="19"/>
                <w:szCs w:val="19"/>
              </w:rPr>
              <w:t xml:space="preserve">RF-01</w:t>
            </w:r>
          </w:p>
        </w:tc>
        <w:tc>
          <w:tcPr>
            <w:tcW w:type="dxa" w:w="2600"/>
            <w:vAlign w:val="center"/>
          </w:tcPr>
          <w:p>
            <w:r>
              <w:rPr>
                <w:b w:val="false"/>
                <w:bCs w:val="false"/>
                <w:color w:val="000000"/>
                <w:sz w:val="19"/>
                <w:szCs w:val="19"/>
              </w:rPr>
              <w:t xml:space="preserve">Iniciar sesión con admin@demo.com / Admin1234</w:t>
            </w:r>
          </w:p>
        </w:tc>
        <w:tc>
          <w:tcPr>
            <w:tcW w:type="dxa" w:w="2300"/>
            <w:vAlign w:val="center"/>
          </w:tcPr>
          <w:p>
            <w:r>
              <w:rPr>
                <w:b w:val="false"/>
                <w:bCs w:val="false"/>
                <w:color w:val="000000"/>
                <w:sz w:val="19"/>
                <w:szCs w:val="19"/>
              </w:rPr>
              <w:t xml:space="preserve">Acceso concedido, redirección al repositorio</w:t>
            </w:r>
          </w:p>
        </w:tc>
        <w:tc>
          <w:tcPr>
            <w:tcW w:type="dxa" w:w="2000"/>
            <w:vAlign w:val="center"/>
          </w:tcPr>
          <w:p>
            <w:r>
              <w:rPr>
                <w:b w:val="false"/>
                <w:bCs w:val="false"/>
                <w:color w:val="000000"/>
                <w:sz w:val="19"/>
                <w:szCs w:val="19"/>
              </w:rPr>
              <w:t xml:space="preserve">Aprobado — sesión iniciada y redirigida correctamente</w:t>
            </w:r>
          </w:p>
        </w:tc>
      </w:tr>
      <w:tr>
        <w:tc>
          <w:tcPr>
            <w:tcW w:type="dxa" w:w="700"/>
            <w:vAlign w:val="center"/>
          </w:tcPr>
          <w:p>
            <w:r>
              <w:rPr>
                <w:b w:val="false"/>
                <w:bCs w:val="false"/>
                <w:color w:val="000000"/>
                <w:sz w:val="19"/>
                <w:szCs w:val="19"/>
              </w:rPr>
              <w:t xml:space="preserve">TC-02</w:t>
            </w:r>
          </w:p>
        </w:tc>
        <w:tc>
          <w:tcPr>
            <w:tcW w:type="dxa" w:w="1200"/>
            <w:vAlign w:val="center"/>
          </w:tcPr>
          <w:p>
            <w:r>
              <w:rPr>
                <w:b w:val="false"/>
                <w:bCs w:val="false"/>
                <w:color w:val="000000"/>
                <w:sz w:val="19"/>
                <w:szCs w:val="19"/>
              </w:rPr>
              <w:t xml:space="preserve">Seguridad</w:t>
            </w:r>
          </w:p>
        </w:tc>
        <w:tc>
          <w:tcPr>
            <w:tcW w:type="dxa" w:w="1100"/>
            <w:vAlign w:val="center"/>
          </w:tcPr>
          <w:p>
            <w:r>
              <w:rPr>
                <w:b w:val="false"/>
                <w:bCs w:val="false"/>
                <w:color w:val="000000"/>
                <w:sz w:val="19"/>
                <w:szCs w:val="19"/>
              </w:rPr>
              <w:t xml:space="preserve">RF-01, RN-03</w:t>
            </w:r>
          </w:p>
        </w:tc>
        <w:tc>
          <w:tcPr>
            <w:tcW w:type="dxa" w:w="2600"/>
            <w:vAlign w:val="center"/>
          </w:tcPr>
          <w:p>
            <w:r>
              <w:rPr>
                <w:b w:val="false"/>
                <w:bCs w:val="false"/>
                <w:color w:val="000000"/>
                <w:sz w:val="19"/>
                <w:szCs w:val="19"/>
              </w:rPr>
              <w:t xml:space="preserve">Intentar abrir /index.php?ruta=dashboard sin sesión iniciada</w:t>
            </w:r>
          </w:p>
        </w:tc>
        <w:tc>
          <w:tcPr>
            <w:tcW w:type="dxa" w:w="2300"/>
            <w:vAlign w:val="center"/>
          </w:tcPr>
          <w:p>
            <w:r>
              <w:rPr>
                <w:b w:val="false"/>
                <w:bCs w:val="false"/>
                <w:color w:val="000000"/>
                <w:sz w:val="19"/>
                <w:szCs w:val="19"/>
              </w:rPr>
              <w:t xml:space="preserve">El sistema redirige a login, no muestra el dashboard</w:t>
            </w:r>
          </w:p>
        </w:tc>
        <w:tc>
          <w:tcPr>
            <w:tcW w:type="dxa" w:w="2000"/>
            <w:vAlign w:val="center"/>
          </w:tcPr>
          <w:p>
            <w:r>
              <w:rPr>
                <w:b w:val="false"/>
                <w:bCs w:val="false"/>
                <w:color w:val="000000"/>
                <w:sz w:val="19"/>
                <w:szCs w:val="19"/>
              </w:rPr>
              <w:t xml:space="preserve">Aprobado — Sesion::requerirAutenticacion() redirige correctamente</w:t>
            </w:r>
          </w:p>
        </w:tc>
      </w:tr>
      <w:tr>
        <w:tc>
          <w:tcPr>
            <w:tcW w:type="dxa" w:w="700"/>
            <w:vAlign w:val="center"/>
          </w:tcPr>
          <w:p>
            <w:r>
              <w:rPr>
                <w:b w:val="false"/>
                <w:bCs w:val="false"/>
                <w:color w:val="000000"/>
                <w:sz w:val="19"/>
                <w:szCs w:val="19"/>
              </w:rPr>
              <w:t xml:space="preserve">TC-03</w:t>
            </w:r>
          </w:p>
        </w:tc>
        <w:tc>
          <w:tcPr>
            <w:tcW w:type="dxa" w:w="1200"/>
            <w:vAlign w:val="center"/>
          </w:tcPr>
          <w:p>
            <w:r>
              <w:rPr>
                <w:b w:val="false"/>
                <w:bCs w:val="false"/>
                <w:color w:val="000000"/>
                <w:sz w:val="19"/>
                <w:szCs w:val="19"/>
              </w:rPr>
              <w:t xml:space="preserve">Funcional</w:t>
            </w:r>
          </w:p>
        </w:tc>
        <w:tc>
          <w:tcPr>
            <w:tcW w:type="dxa" w:w="1100"/>
            <w:vAlign w:val="center"/>
          </w:tcPr>
          <w:p>
            <w:r>
              <w:rPr>
                <w:b w:val="false"/>
                <w:bCs w:val="false"/>
                <w:color w:val="000000"/>
                <w:sz w:val="19"/>
                <w:szCs w:val="19"/>
              </w:rPr>
              <w:t xml:space="preserve">RF-01</w:t>
            </w:r>
          </w:p>
        </w:tc>
        <w:tc>
          <w:tcPr>
            <w:tcW w:type="dxa" w:w="2600"/>
            <w:vAlign w:val="center"/>
          </w:tcPr>
          <w:p>
            <w:r>
              <w:rPr>
                <w:b w:val="false"/>
                <w:bCs w:val="false"/>
                <w:color w:val="000000"/>
                <w:sz w:val="19"/>
                <w:szCs w:val="19"/>
              </w:rPr>
              <w:t xml:space="preserve">Iniciar sesión con contraseña incorrecta</w:t>
            </w:r>
          </w:p>
        </w:tc>
        <w:tc>
          <w:tcPr>
            <w:tcW w:type="dxa" w:w="2300"/>
            <w:vAlign w:val="center"/>
          </w:tcPr>
          <w:p>
            <w:r>
              <w:rPr>
                <w:b w:val="false"/>
                <w:bCs w:val="false"/>
                <w:color w:val="000000"/>
                <w:sz w:val="19"/>
                <w:szCs w:val="19"/>
              </w:rPr>
              <w:t xml:space="preserve">Mensaje de error, sin acceso</w:t>
            </w:r>
          </w:p>
        </w:tc>
        <w:tc>
          <w:tcPr>
            <w:tcW w:type="dxa" w:w="2000"/>
            <w:vAlign w:val="center"/>
          </w:tcPr>
          <w:p>
            <w:r>
              <w:rPr>
                <w:b w:val="false"/>
                <w:bCs w:val="false"/>
                <w:color w:val="000000"/>
                <w:sz w:val="19"/>
                <w:szCs w:val="19"/>
              </w:rPr>
              <w:t xml:space="preserve">Aprobado — mensaje "Correo o contraseña incorrectos"</w:t>
            </w:r>
          </w:p>
        </w:tc>
      </w:tr>
      <w:tr>
        <w:tc>
          <w:tcPr>
            <w:tcW w:type="dxa" w:w="700"/>
            <w:vAlign w:val="center"/>
          </w:tcPr>
          <w:p>
            <w:r>
              <w:rPr>
                <w:b w:val="false"/>
                <w:bCs w:val="false"/>
                <w:color w:val="000000"/>
                <w:sz w:val="19"/>
                <w:szCs w:val="19"/>
              </w:rPr>
              <w:t xml:space="preserve">TC-04</w:t>
            </w:r>
          </w:p>
        </w:tc>
        <w:tc>
          <w:tcPr>
            <w:tcW w:type="dxa" w:w="1200"/>
            <w:vAlign w:val="center"/>
          </w:tcPr>
          <w:p>
            <w:r>
              <w:rPr>
                <w:b w:val="false"/>
                <w:bCs w:val="false"/>
                <w:color w:val="000000"/>
                <w:sz w:val="19"/>
                <w:szCs w:val="19"/>
              </w:rPr>
              <w:t xml:space="preserve">Validación de archivos</w:t>
            </w:r>
          </w:p>
        </w:tc>
        <w:tc>
          <w:tcPr>
            <w:tcW w:type="dxa" w:w="1100"/>
            <w:vAlign w:val="center"/>
          </w:tcPr>
          <w:p>
            <w:r>
              <w:rPr>
                <w:b w:val="false"/>
                <w:bCs w:val="false"/>
                <w:color w:val="000000"/>
                <w:sz w:val="19"/>
                <w:szCs w:val="19"/>
              </w:rPr>
              <w:t xml:space="preserve">RF-03</w:t>
            </w:r>
          </w:p>
        </w:tc>
        <w:tc>
          <w:tcPr>
            <w:tcW w:type="dxa" w:w="2600"/>
            <w:vAlign w:val="center"/>
          </w:tcPr>
          <w:p>
            <w:r>
              <w:rPr>
                <w:b w:val="false"/>
                <w:bCs w:val="false"/>
                <w:color w:val="000000"/>
                <w:sz w:val="19"/>
                <w:szCs w:val="19"/>
              </w:rPr>
              <w:t xml:space="preserve">Cargar un archivo .txt válido a una carpeta</w:t>
            </w:r>
          </w:p>
        </w:tc>
        <w:tc>
          <w:tcPr>
            <w:tcW w:type="dxa" w:w="2300"/>
            <w:vAlign w:val="center"/>
          </w:tcPr>
          <w:p>
            <w:r>
              <w:rPr>
                <w:b w:val="false"/>
                <w:bCs w:val="false"/>
                <w:color w:val="000000"/>
                <w:sz w:val="19"/>
                <w:szCs w:val="19"/>
              </w:rPr>
              <w:t xml:space="preserve">El archivo se guarda y queda en estado pendiente</w:t>
            </w:r>
          </w:p>
        </w:tc>
        <w:tc>
          <w:tcPr>
            <w:tcW w:type="dxa" w:w="2000"/>
            <w:vAlign w:val="center"/>
          </w:tcPr>
          <w:p>
            <w:r>
              <w:rPr>
                <w:b w:val="false"/>
                <w:bCs w:val="false"/>
                <w:color w:val="000000"/>
                <w:sz w:val="19"/>
                <w:szCs w:val="19"/>
              </w:rPr>
              <w:t xml:space="preserve">Aprobado — documento creado, estado inicial pendiente</w:t>
            </w:r>
          </w:p>
        </w:tc>
      </w:tr>
      <w:tr>
        <w:tc>
          <w:tcPr>
            <w:tcW w:type="dxa" w:w="700"/>
            <w:vAlign w:val="center"/>
          </w:tcPr>
          <w:p>
            <w:r>
              <w:rPr>
                <w:b w:val="false"/>
                <w:bCs w:val="false"/>
                <w:color w:val="000000"/>
                <w:sz w:val="19"/>
                <w:szCs w:val="19"/>
              </w:rPr>
              <w:t xml:space="preserve">TC-05</w:t>
            </w:r>
          </w:p>
        </w:tc>
        <w:tc>
          <w:tcPr>
            <w:tcW w:type="dxa" w:w="1200"/>
            <w:vAlign w:val="center"/>
          </w:tcPr>
          <w:p>
            <w:r>
              <w:rPr>
                <w:b w:val="false"/>
                <w:bCs w:val="false"/>
                <w:color w:val="000000"/>
                <w:sz w:val="19"/>
                <w:szCs w:val="19"/>
              </w:rPr>
              <w:t xml:space="preserve">Validación de archivos</w:t>
            </w:r>
          </w:p>
        </w:tc>
        <w:tc>
          <w:tcPr>
            <w:tcW w:type="dxa" w:w="1100"/>
            <w:vAlign w:val="center"/>
          </w:tcPr>
          <w:p>
            <w:r>
              <w:rPr>
                <w:b w:val="false"/>
                <w:bCs w:val="false"/>
                <w:color w:val="000000"/>
                <w:sz w:val="19"/>
                <w:szCs w:val="19"/>
              </w:rPr>
              <w:t xml:space="preserve">RF-03</w:t>
            </w:r>
          </w:p>
        </w:tc>
        <w:tc>
          <w:tcPr>
            <w:tcW w:type="dxa" w:w="2600"/>
            <w:vAlign w:val="center"/>
          </w:tcPr>
          <w:p>
            <w:r>
              <w:rPr>
                <w:b w:val="false"/>
                <w:bCs w:val="false"/>
                <w:color w:val="000000"/>
                <w:sz w:val="19"/>
                <w:szCs w:val="19"/>
              </w:rPr>
              <w:t xml:space="preserve">Intentar cargar un archivo con extensión no soportada (ej. .exe renombrado a .pdf)</w:t>
            </w:r>
          </w:p>
        </w:tc>
        <w:tc>
          <w:tcPr>
            <w:tcW w:type="dxa" w:w="2300"/>
            <w:vAlign w:val="center"/>
          </w:tcPr>
          <w:p>
            <w:r>
              <w:rPr>
                <w:b w:val="false"/>
                <w:bCs w:val="false"/>
                <w:color w:val="000000"/>
                <w:sz w:val="19"/>
                <w:szCs w:val="19"/>
              </w:rPr>
              <w:t xml:space="preserve">El sistema rechaza el archivo por tipo MIME real, no por extensión</w:t>
            </w:r>
          </w:p>
        </w:tc>
        <w:tc>
          <w:tcPr>
            <w:tcW w:type="dxa" w:w="2000"/>
            <w:vAlign w:val="center"/>
          </w:tcPr>
          <w:p>
            <w:r>
              <w:rPr>
                <w:b w:val="false"/>
                <w:bCs w:val="false"/>
                <w:color w:val="000000"/>
                <w:sz w:val="19"/>
                <w:szCs w:val="19"/>
              </w:rPr>
              <w:t xml:space="preserve">Aprobado — ValidadorArchivo compara MIME real contra extensión declarada</w:t>
            </w:r>
          </w:p>
        </w:tc>
      </w:tr>
      <w:tr>
        <w:tc>
          <w:tcPr>
            <w:tcW w:type="dxa" w:w="700"/>
            <w:vAlign w:val="center"/>
          </w:tcPr>
          <w:p>
            <w:r>
              <w:rPr>
                <w:b w:val="false"/>
                <w:bCs w:val="false"/>
                <w:color w:val="000000"/>
                <w:sz w:val="19"/>
                <w:szCs w:val="19"/>
              </w:rPr>
              <w:t xml:space="preserve">TC-06</w:t>
            </w:r>
          </w:p>
        </w:tc>
        <w:tc>
          <w:tcPr>
            <w:tcW w:type="dxa" w:w="1200"/>
            <w:vAlign w:val="center"/>
          </w:tcPr>
          <w:p>
            <w:r>
              <w:rPr>
                <w:b w:val="false"/>
                <w:bCs w:val="false"/>
                <w:color w:val="000000"/>
                <w:sz w:val="19"/>
                <w:szCs w:val="19"/>
              </w:rPr>
              <w:t xml:space="preserve">Procesamiento IA</w:t>
            </w:r>
          </w:p>
        </w:tc>
        <w:tc>
          <w:tcPr>
            <w:tcW w:type="dxa" w:w="1100"/>
            <w:vAlign w:val="center"/>
          </w:tcPr>
          <w:p>
            <w:r>
              <w:rPr>
                <w:b w:val="false"/>
                <w:bCs w:val="false"/>
                <w:color w:val="000000"/>
                <w:sz w:val="19"/>
                <w:szCs w:val="19"/>
              </w:rPr>
              <w:t xml:space="preserve">RF-05, RF-06, RF-07, RF-08</w:t>
            </w:r>
          </w:p>
        </w:tc>
        <w:tc>
          <w:tcPr>
            <w:tcW w:type="dxa" w:w="2600"/>
            <w:vAlign w:val="center"/>
          </w:tcPr>
          <w:p>
            <w:r>
              <w:rPr>
                <w:b w:val="false"/>
                <w:bCs w:val="false"/>
                <w:color w:val="000000"/>
                <w:sz w:val="19"/>
                <w:szCs w:val="19"/>
              </w:rPr>
              <w:t xml:space="preserve">Subir una factura de prueba y esperar el procesamiento completo</w:t>
            </w:r>
          </w:p>
        </w:tc>
        <w:tc>
          <w:tcPr>
            <w:tcW w:type="dxa" w:w="2300"/>
            <w:vAlign w:val="center"/>
          </w:tcPr>
          <w:p>
            <w:r>
              <w:rPr>
                <w:b w:val="false"/>
                <w:bCs w:val="false"/>
                <w:color w:val="000000"/>
                <w:sz w:val="19"/>
                <w:szCs w:val="19"/>
              </w:rPr>
              <w:t xml:space="preserve">Estado completado, con categoría "Factura", resumen y metadatos (número de factura, monto, fecha, proveedor)</w:t>
            </w:r>
          </w:p>
        </w:tc>
        <w:tc>
          <w:tcPr>
            <w:tcW w:type="dxa" w:w="2000"/>
            <w:vAlign w:val="center"/>
          </w:tcPr>
          <w:p>
            <w:r>
              <w:rPr>
                <w:b w:val="false"/>
                <w:bCs w:val="false"/>
                <w:color w:val="000000"/>
                <w:sz w:val="19"/>
                <w:szCs w:val="19"/>
              </w:rPr>
              <w:t xml:space="preserve">Aprobado — ver evidencia 4.4.1: categoría, resumen y metadatos generados correctamente</w:t>
            </w:r>
          </w:p>
        </w:tc>
      </w:tr>
      <w:tr>
        <w:tc>
          <w:tcPr>
            <w:tcW w:type="dxa" w:w="700"/>
            <w:vAlign w:val="center"/>
          </w:tcPr>
          <w:p>
            <w:r>
              <w:rPr>
                <w:b w:val="false"/>
                <w:bCs w:val="false"/>
                <w:color w:val="000000"/>
                <w:sz w:val="19"/>
                <w:szCs w:val="19"/>
              </w:rPr>
              <w:t xml:space="preserve">TC-07</w:t>
            </w:r>
          </w:p>
        </w:tc>
        <w:tc>
          <w:tcPr>
            <w:tcW w:type="dxa" w:w="1200"/>
            <w:vAlign w:val="center"/>
          </w:tcPr>
          <w:p>
            <w:r>
              <w:rPr>
                <w:b w:val="false"/>
                <w:bCs w:val="false"/>
                <w:color w:val="000000"/>
                <w:sz w:val="19"/>
                <w:szCs w:val="19"/>
              </w:rPr>
              <w:t xml:space="preserve">Manejo de errores</w:t>
            </w:r>
          </w:p>
        </w:tc>
        <w:tc>
          <w:tcPr>
            <w:tcW w:type="dxa" w:w="1100"/>
            <w:vAlign w:val="center"/>
          </w:tcPr>
          <w:p>
            <w:r>
              <w:rPr>
                <w:b w:val="false"/>
                <w:bCs w:val="false"/>
                <w:color w:val="000000"/>
                <w:sz w:val="19"/>
                <w:szCs w:val="19"/>
              </w:rPr>
              <w:t xml:space="preserve">RF-12</w:t>
            </w:r>
          </w:p>
        </w:tc>
        <w:tc>
          <w:tcPr>
            <w:tcW w:type="dxa" w:w="2600"/>
            <w:vAlign w:val="center"/>
          </w:tcPr>
          <w:p>
            <w:r>
              <w:rPr>
                <w:b w:val="false"/>
                <w:bCs w:val="false"/>
                <w:color w:val="000000"/>
                <w:sz w:val="19"/>
                <w:szCs w:val="19"/>
              </w:rPr>
              <w:t xml:space="preserve">Procesar un documento con una API key de IA inválida</w:t>
            </w:r>
          </w:p>
        </w:tc>
        <w:tc>
          <w:tcPr>
            <w:tcW w:type="dxa" w:w="2300"/>
            <w:vAlign w:val="center"/>
          </w:tcPr>
          <w:p>
            <w:r>
              <w:rPr>
                <w:b w:val="false"/>
                <w:bCs w:val="false"/>
                <w:color w:val="000000"/>
                <w:sz w:val="19"/>
                <w:szCs w:val="19"/>
              </w:rPr>
              <w:t xml:space="preserve">El documento queda en estado error, con el mensaje devuelto por la API registrado en procesamiento_log</w:t>
            </w:r>
          </w:p>
        </w:tc>
        <w:tc>
          <w:tcPr>
            <w:tcW w:type="dxa" w:w="2000"/>
            <w:vAlign w:val="center"/>
          </w:tcPr>
          <w:p>
            <w:r>
              <w:rPr>
                <w:b w:val="false"/>
                <w:bCs w:val="false"/>
                <w:color w:val="000000"/>
                <w:sz w:val="19"/>
                <w:szCs w:val="19"/>
              </w:rPr>
              <w:t xml:space="preserve">Aprobado — ver evidencia 4.4.2: error HTTP 401 capturado y registrado sin interrumpir la aplicación</w:t>
            </w:r>
          </w:p>
        </w:tc>
      </w:tr>
      <w:tr>
        <w:tc>
          <w:tcPr>
            <w:tcW w:type="dxa" w:w="700"/>
            <w:vAlign w:val="center"/>
          </w:tcPr>
          <w:p>
            <w:r>
              <w:rPr>
                <w:b w:val="false"/>
                <w:bCs w:val="false"/>
                <w:color w:val="000000"/>
                <w:sz w:val="19"/>
                <w:szCs w:val="19"/>
              </w:rPr>
              <w:t xml:space="preserve">TC-08</w:t>
            </w:r>
          </w:p>
        </w:tc>
        <w:tc>
          <w:tcPr>
            <w:tcW w:type="dxa" w:w="1200"/>
            <w:vAlign w:val="center"/>
          </w:tcPr>
          <w:p>
            <w:r>
              <w:rPr>
                <w:b w:val="false"/>
                <w:bCs w:val="false"/>
                <w:color w:val="000000"/>
                <w:sz w:val="19"/>
                <w:szCs w:val="19"/>
              </w:rPr>
              <w:t xml:space="preserve">Manejo de errores</w:t>
            </w:r>
          </w:p>
        </w:tc>
        <w:tc>
          <w:tcPr>
            <w:tcW w:type="dxa" w:w="1100"/>
            <w:vAlign w:val="center"/>
          </w:tcPr>
          <w:p>
            <w:r>
              <w:rPr>
                <w:b w:val="false"/>
                <w:bCs w:val="false"/>
                <w:color w:val="000000"/>
                <w:sz w:val="19"/>
                <w:szCs w:val="19"/>
              </w:rPr>
              <w:t xml:space="preserve">RF-12</w:t>
            </w:r>
          </w:p>
        </w:tc>
        <w:tc>
          <w:tcPr>
            <w:tcW w:type="dxa" w:w="2600"/>
            <w:vAlign w:val="center"/>
          </w:tcPr>
          <w:p>
            <w:r>
              <w:rPr>
                <w:b w:val="false"/>
                <w:bCs w:val="false"/>
                <w:color w:val="000000"/>
                <w:sz w:val="19"/>
                <w:szCs w:val="19"/>
              </w:rPr>
              <w:t xml:space="preserve">Procesar un documento con un nombre de modelo de IA inexistente</w:t>
            </w:r>
          </w:p>
        </w:tc>
        <w:tc>
          <w:tcPr>
            <w:tcW w:type="dxa" w:w="2300"/>
            <w:vAlign w:val="center"/>
          </w:tcPr>
          <w:p>
            <w:r>
              <w:rPr>
                <w:b w:val="false"/>
                <w:bCs w:val="false"/>
                <w:color w:val="000000"/>
                <w:sz w:val="19"/>
                <w:szCs w:val="19"/>
              </w:rPr>
              <w:t xml:space="preserve">El documento queda en estado error, con el mensaje HTTP 404 de la API registrado</w:t>
            </w:r>
          </w:p>
        </w:tc>
        <w:tc>
          <w:tcPr>
            <w:tcW w:type="dxa" w:w="2000"/>
            <w:vAlign w:val="center"/>
          </w:tcPr>
          <w:p>
            <w:r>
              <w:rPr>
                <w:b w:val="false"/>
                <w:bCs w:val="false"/>
                <w:color w:val="000000"/>
                <w:sz w:val="19"/>
                <w:szCs w:val="19"/>
              </w:rPr>
              <w:t xml:space="preserve">Aprobado — ver evidencia 4.4.3: error capturado y mostrado de forma clara</w:t>
            </w:r>
          </w:p>
        </w:tc>
      </w:tr>
      <w:tr>
        <w:tc>
          <w:tcPr>
            <w:tcW w:type="dxa" w:w="700"/>
            <w:vAlign w:val="center"/>
          </w:tcPr>
          <w:p>
            <w:r>
              <w:rPr>
                <w:b w:val="false"/>
                <w:bCs w:val="false"/>
                <w:color w:val="000000"/>
                <w:sz w:val="19"/>
                <w:szCs w:val="19"/>
              </w:rPr>
              <w:t xml:space="preserve">TC-09</w:t>
            </w:r>
          </w:p>
        </w:tc>
        <w:tc>
          <w:tcPr>
            <w:tcW w:type="dxa" w:w="1200"/>
            <w:vAlign w:val="center"/>
          </w:tcPr>
          <w:p>
            <w:r>
              <w:rPr>
                <w:b w:val="false"/>
                <w:bCs w:val="false"/>
                <w:color w:val="000000"/>
                <w:sz w:val="19"/>
                <w:szCs w:val="19"/>
              </w:rPr>
              <w:t xml:space="preserve">Funcional</w:t>
            </w:r>
          </w:p>
        </w:tc>
        <w:tc>
          <w:tcPr>
            <w:tcW w:type="dxa" w:w="1100"/>
            <w:vAlign w:val="center"/>
          </w:tcPr>
          <w:p>
            <w:r>
              <w:rPr>
                <w:b w:val="false"/>
                <w:bCs w:val="false"/>
                <w:color w:val="000000"/>
                <w:sz w:val="19"/>
                <w:szCs w:val="19"/>
              </w:rPr>
              <w:t xml:space="preserve">RF-09</w:t>
            </w:r>
          </w:p>
        </w:tc>
        <w:tc>
          <w:tcPr>
            <w:tcW w:type="dxa" w:w="2600"/>
            <w:vAlign w:val="center"/>
          </w:tcPr>
          <w:p>
            <w:r>
              <w:rPr>
                <w:b w:val="false"/>
                <w:bCs w:val="false"/>
                <w:color w:val="000000"/>
                <w:sz w:val="19"/>
                <w:szCs w:val="19"/>
              </w:rPr>
              <w:t xml:space="preserve">Buscar una palabra presente solo en el cuerpo de un documento procesado</w:t>
            </w:r>
          </w:p>
        </w:tc>
        <w:tc>
          <w:tcPr>
            <w:tcW w:type="dxa" w:w="2300"/>
            <w:vAlign w:val="center"/>
          </w:tcPr>
          <w:p>
            <w:r>
              <w:rPr>
                <w:b w:val="false"/>
                <w:bCs w:val="false"/>
                <w:color w:val="000000"/>
                <w:sz w:val="19"/>
                <w:szCs w:val="19"/>
              </w:rPr>
              <w:t xml:space="preserve">El documento aparece en los resultados de búsqueda</w:t>
            </w:r>
          </w:p>
        </w:tc>
        <w:tc>
          <w:tcPr>
            <w:tcW w:type="dxa" w:w="2000"/>
            <w:vAlign w:val="center"/>
          </w:tcPr>
          <w:p>
            <w:r>
              <w:rPr>
                <w:b w:val="false"/>
                <w:bCs w:val="false"/>
                <w:color w:val="000000"/>
                <w:sz w:val="19"/>
                <w:szCs w:val="19"/>
              </w:rPr>
              <w:t xml:space="preserve">Aprobado — búsqueda de texto completo (MATCH...AGAINST) devuelve el documento</w:t>
            </w:r>
          </w:p>
        </w:tc>
      </w:tr>
      <w:tr>
        <w:tc>
          <w:tcPr>
            <w:tcW w:type="dxa" w:w="700"/>
            <w:vAlign w:val="center"/>
          </w:tcPr>
          <w:p>
            <w:r>
              <w:rPr>
                <w:b w:val="false"/>
                <w:bCs w:val="false"/>
                <w:color w:val="000000"/>
                <w:sz w:val="19"/>
                <w:szCs w:val="19"/>
              </w:rPr>
              <w:t xml:space="preserve">TC-10</w:t>
            </w:r>
          </w:p>
        </w:tc>
        <w:tc>
          <w:tcPr>
            <w:tcW w:type="dxa" w:w="1200"/>
            <w:vAlign w:val="center"/>
          </w:tcPr>
          <w:p>
            <w:r>
              <w:rPr>
                <w:b w:val="false"/>
                <w:bCs w:val="false"/>
                <w:color w:val="000000"/>
                <w:sz w:val="19"/>
                <w:szCs w:val="19"/>
              </w:rPr>
              <w:t xml:space="preserve">Funcional (RAG)</w:t>
            </w:r>
          </w:p>
        </w:tc>
        <w:tc>
          <w:tcPr>
            <w:tcW w:type="dxa" w:w="1100"/>
            <w:vAlign w:val="center"/>
          </w:tcPr>
          <w:p>
            <w:r>
              <w:rPr>
                <w:b w:val="false"/>
                <w:bCs w:val="false"/>
                <w:color w:val="000000"/>
                <w:sz w:val="19"/>
                <w:szCs w:val="19"/>
              </w:rPr>
              <w:t xml:space="preserve">RF-10</w:t>
            </w:r>
          </w:p>
        </w:tc>
        <w:tc>
          <w:tcPr>
            <w:tcW w:type="dxa" w:w="2600"/>
            <w:vAlign w:val="center"/>
          </w:tcPr>
          <w:p>
            <w:r>
              <w:rPr>
                <w:b w:val="false"/>
                <w:bCs w:val="false"/>
                <w:color w:val="000000"/>
                <w:sz w:val="19"/>
                <w:szCs w:val="19"/>
              </w:rPr>
              <w:t xml:space="preserve">Preguntar en lenguaje natural sobre un documento específico usando el selector del chat</w:t>
            </w:r>
          </w:p>
        </w:tc>
        <w:tc>
          <w:tcPr>
            <w:tcW w:type="dxa" w:w="2300"/>
            <w:vAlign w:val="center"/>
          </w:tcPr>
          <w:p>
            <w:r>
              <w:rPr>
                <w:b w:val="false"/>
                <w:bCs w:val="false"/>
                <w:color w:val="000000"/>
                <w:sz w:val="19"/>
                <w:szCs w:val="19"/>
              </w:rPr>
              <w:t xml:space="preserve">La respuesta se basa en el contenido de ese documento y cita su nombre como fuente</w:t>
            </w:r>
          </w:p>
        </w:tc>
        <w:tc>
          <w:tcPr>
            <w:tcW w:type="dxa" w:w="2000"/>
            <w:vAlign w:val="center"/>
          </w:tcPr>
          <w:p>
            <w:r>
              <w:rPr>
                <w:b w:val="false"/>
                <w:bCs w:val="false"/>
                <w:color w:val="000000"/>
                <w:sz w:val="19"/>
                <w:szCs w:val="19"/>
              </w:rPr>
              <w:t xml:space="preserve">Aprobado — ver evidencia 4.4.4: respuesta con cita de fuente correcta</w:t>
            </w:r>
          </w:p>
        </w:tc>
      </w:tr>
      <w:tr>
        <w:tc>
          <w:tcPr>
            <w:tcW w:type="dxa" w:w="700"/>
            <w:vAlign w:val="center"/>
          </w:tcPr>
          <w:p>
            <w:r>
              <w:rPr>
                <w:b w:val="false"/>
                <w:bCs w:val="false"/>
                <w:color w:val="000000"/>
                <w:sz w:val="19"/>
                <w:szCs w:val="19"/>
              </w:rPr>
              <w:t xml:space="preserve">TC-11</w:t>
            </w:r>
          </w:p>
        </w:tc>
        <w:tc>
          <w:tcPr>
            <w:tcW w:type="dxa" w:w="1200"/>
            <w:vAlign w:val="center"/>
          </w:tcPr>
          <w:p>
            <w:r>
              <w:rPr>
                <w:b w:val="false"/>
                <w:bCs w:val="false"/>
                <w:color w:val="000000"/>
                <w:sz w:val="19"/>
                <w:szCs w:val="19"/>
              </w:rPr>
              <w:t xml:space="preserve">Funcional (chat libre)</w:t>
            </w:r>
          </w:p>
        </w:tc>
        <w:tc>
          <w:tcPr>
            <w:tcW w:type="dxa" w:w="1100"/>
            <w:vAlign w:val="center"/>
          </w:tcPr>
          <w:p>
            <w:r>
              <w:rPr>
                <w:b w:val="false"/>
                <w:bCs w:val="false"/>
                <w:color w:val="000000"/>
                <w:sz w:val="19"/>
                <w:szCs w:val="19"/>
              </w:rPr>
              <w:t xml:space="preserve">Mejora sobre RF-10</w:t>
            </w:r>
          </w:p>
        </w:tc>
        <w:tc>
          <w:tcPr>
            <w:tcW w:type="dxa" w:w="2600"/>
            <w:vAlign w:val="center"/>
          </w:tcPr>
          <w:p>
            <w:r>
              <w:rPr>
                <w:b w:val="false"/>
                <w:bCs w:val="false"/>
                <w:color w:val="000000"/>
                <w:sz w:val="19"/>
                <w:szCs w:val="19"/>
              </w:rPr>
              <w:t xml:space="preserve">Seleccionar "Chat libre" y hacer una pregunta no relacionada con los documentos</w:t>
            </w:r>
          </w:p>
        </w:tc>
        <w:tc>
          <w:tcPr>
            <w:tcW w:type="dxa" w:w="2300"/>
            <w:vAlign w:val="center"/>
          </w:tcPr>
          <w:p>
            <w:r>
              <w:rPr>
                <w:b w:val="false"/>
                <w:bCs w:val="false"/>
                <w:color w:val="000000"/>
                <w:sz w:val="19"/>
                <w:szCs w:val="19"/>
              </w:rPr>
              <w:t xml:space="preserve">La IA responde sin buscar en el repositorio ni citar fuentes</w:t>
            </w:r>
          </w:p>
        </w:tc>
        <w:tc>
          <w:tcPr>
            <w:tcW w:type="dxa" w:w="2000"/>
            <w:vAlign w:val="center"/>
          </w:tcPr>
          <w:p>
            <w:r>
              <w:rPr>
                <w:b w:val="false"/>
                <w:bCs w:val="false"/>
                <w:color w:val="000000"/>
                <w:sz w:val="19"/>
                <w:szCs w:val="19"/>
              </w:rPr>
              <w:t xml:space="preserve">Aprobado — responderLibre() omite la búsqueda semántica</w:t>
            </w:r>
          </w:p>
        </w:tc>
      </w:tr>
      <w:tr>
        <w:tc>
          <w:tcPr>
            <w:tcW w:type="dxa" w:w="700"/>
            <w:vAlign w:val="center"/>
          </w:tcPr>
          <w:p>
            <w:r>
              <w:rPr>
                <w:b w:val="false"/>
                <w:bCs w:val="false"/>
                <w:color w:val="000000"/>
                <w:sz w:val="19"/>
                <w:szCs w:val="19"/>
              </w:rPr>
              <w:t xml:space="preserve">TC-12</w:t>
            </w:r>
          </w:p>
        </w:tc>
        <w:tc>
          <w:tcPr>
            <w:tcW w:type="dxa" w:w="1200"/>
            <w:vAlign w:val="center"/>
          </w:tcPr>
          <w:p>
            <w:r>
              <w:rPr>
                <w:b w:val="false"/>
                <w:bCs w:val="false"/>
                <w:color w:val="000000"/>
                <w:sz w:val="19"/>
                <w:szCs w:val="19"/>
              </w:rPr>
              <w:t xml:space="preserve">Funcional</w:t>
            </w:r>
          </w:p>
        </w:tc>
        <w:tc>
          <w:tcPr>
            <w:tcW w:type="dxa" w:w="1100"/>
            <w:vAlign w:val="center"/>
          </w:tcPr>
          <w:p>
            <w:r>
              <w:rPr>
                <w:b w:val="false"/>
                <w:bCs w:val="false"/>
                <w:color w:val="000000"/>
                <w:sz w:val="19"/>
                <w:szCs w:val="19"/>
              </w:rPr>
              <w:t xml:space="preserve">RF-11</w:t>
            </w:r>
          </w:p>
        </w:tc>
        <w:tc>
          <w:tcPr>
            <w:tcW w:type="dxa" w:w="2600"/>
            <w:vAlign w:val="center"/>
          </w:tcPr>
          <w:p>
            <w:r>
              <w:rPr>
                <w:b w:val="false"/>
                <w:bCs w:val="false"/>
                <w:color w:val="000000"/>
                <w:sz w:val="19"/>
                <w:szCs w:val="19"/>
              </w:rPr>
              <w:t xml:space="preserve">Abrir el dashboard tras procesar documentos de distintas categorías</w:t>
            </w:r>
          </w:p>
        </w:tc>
        <w:tc>
          <w:tcPr>
            <w:tcW w:type="dxa" w:w="2300"/>
            <w:vAlign w:val="center"/>
          </w:tcPr>
          <w:p>
            <w:r>
              <w:rPr>
                <w:b w:val="false"/>
                <w:bCs w:val="false"/>
                <w:color w:val="000000"/>
                <w:sz w:val="19"/>
                <w:szCs w:val="19"/>
              </w:rPr>
              <w:t xml:space="preserve">Los indicadores reflejan el total y la distribución real por categoría y estado</w:t>
            </w:r>
          </w:p>
        </w:tc>
        <w:tc>
          <w:tcPr>
            <w:tcW w:type="dxa" w:w="2000"/>
            <w:vAlign w:val="center"/>
          </w:tcPr>
          <w:p>
            <w:r>
              <w:rPr>
                <w:b w:val="false"/>
                <w:bCs w:val="false"/>
                <w:color w:val="000000"/>
                <w:sz w:val="19"/>
                <w:szCs w:val="19"/>
              </w:rPr>
              <w:t xml:space="preserve">Aprobado — ver evidencia 4.4.5</w:t>
            </w:r>
          </w:p>
        </w:tc>
      </w:tr>
      <w:tr>
        <w:tc>
          <w:tcPr>
            <w:tcW w:type="dxa" w:w="700"/>
            <w:vAlign w:val="center"/>
          </w:tcPr>
          <w:p>
            <w:r>
              <w:rPr>
                <w:b w:val="false"/>
                <w:bCs w:val="false"/>
                <w:color w:val="000000"/>
                <w:sz w:val="19"/>
                <w:szCs w:val="19"/>
              </w:rPr>
              <w:t xml:space="preserve">TC-13</w:t>
            </w:r>
          </w:p>
        </w:tc>
        <w:tc>
          <w:tcPr>
            <w:tcW w:type="dxa" w:w="1200"/>
            <w:vAlign w:val="center"/>
          </w:tcPr>
          <w:p>
            <w:r>
              <w:rPr>
                <w:b w:val="false"/>
                <w:bCs w:val="false"/>
                <w:color w:val="000000"/>
                <w:sz w:val="19"/>
                <w:szCs w:val="19"/>
              </w:rPr>
              <w:t xml:space="preserve">Funcional</w:t>
            </w:r>
          </w:p>
        </w:tc>
        <w:tc>
          <w:tcPr>
            <w:tcW w:type="dxa" w:w="1100"/>
            <w:vAlign w:val="center"/>
          </w:tcPr>
          <w:p>
            <w:r>
              <w:rPr>
                <w:b w:val="false"/>
                <w:bCs w:val="false"/>
                <w:color w:val="000000"/>
                <w:sz w:val="19"/>
                <w:szCs w:val="19"/>
              </w:rPr>
              <w:t xml:space="preserve">RF-12</w:t>
            </w:r>
          </w:p>
        </w:tc>
        <w:tc>
          <w:tcPr>
            <w:tcW w:type="dxa" w:w="2600"/>
            <w:vAlign w:val="center"/>
          </w:tcPr>
          <w:p>
            <w:r>
              <w:rPr>
                <w:b w:val="false"/>
                <w:bCs w:val="false"/>
                <w:color w:val="000000"/>
                <w:sz w:val="19"/>
                <w:szCs w:val="19"/>
              </w:rPr>
              <w:t xml:space="preserve">Como administrador, abrir el dashboard y revisar el registro de logs</w:t>
            </w:r>
          </w:p>
        </w:tc>
        <w:tc>
          <w:tcPr>
            <w:tcW w:type="dxa" w:w="2300"/>
            <w:vAlign w:val="center"/>
          </w:tcPr>
          <w:p>
            <w:r>
              <w:rPr>
                <w:b w:val="false"/>
                <w:bCs w:val="false"/>
                <w:color w:val="000000"/>
                <w:sz w:val="19"/>
                <w:szCs w:val="19"/>
              </w:rPr>
              <w:t xml:space="preserve">Se listan todos los eventos de procesamiento (pendiente/procesando/completado/error) con su mensaje</w:t>
            </w:r>
          </w:p>
        </w:tc>
        <w:tc>
          <w:tcPr>
            <w:tcW w:type="dxa" w:w="2000"/>
            <w:vAlign w:val="center"/>
          </w:tcPr>
          <w:p>
            <w:r>
              <w:rPr>
                <w:b w:val="false"/>
                <w:bCs w:val="false"/>
                <w:color w:val="000000"/>
                <w:sz w:val="19"/>
                <w:szCs w:val="19"/>
              </w:rPr>
              <w:t xml:space="preserve">Aprobado — historial completo visible, incluye los casos TC-07 y TC-08</w:t>
            </w:r>
          </w:p>
        </w:tc>
      </w:tr>
      <w:tr>
        <w:tc>
          <w:tcPr>
            <w:tcW w:type="dxa" w:w="700"/>
            <w:vAlign w:val="center"/>
          </w:tcPr>
          <w:p>
            <w:r>
              <w:rPr>
                <w:b w:val="false"/>
                <w:bCs w:val="false"/>
                <w:color w:val="000000"/>
                <w:sz w:val="19"/>
                <w:szCs w:val="19"/>
              </w:rPr>
              <w:t xml:space="preserve">TC-14</w:t>
            </w:r>
          </w:p>
        </w:tc>
        <w:tc>
          <w:tcPr>
            <w:tcW w:type="dxa" w:w="1200"/>
            <w:vAlign w:val="center"/>
          </w:tcPr>
          <w:p>
            <w:r>
              <w:rPr>
                <w:b w:val="false"/>
                <w:bCs w:val="false"/>
                <w:color w:val="000000"/>
                <w:sz w:val="19"/>
                <w:szCs w:val="19"/>
              </w:rPr>
              <w:t xml:space="preserve">Funcional</w:t>
            </w:r>
          </w:p>
        </w:tc>
        <w:tc>
          <w:tcPr>
            <w:tcW w:type="dxa" w:w="1100"/>
            <w:vAlign w:val="center"/>
          </w:tcPr>
          <w:p>
            <w:r>
              <w:rPr>
                <w:b w:val="false"/>
                <w:bCs w:val="false"/>
                <w:color w:val="000000"/>
                <w:sz w:val="19"/>
                <w:szCs w:val="19"/>
              </w:rPr>
              <w:t xml:space="preserve">RF-04</w:t>
            </w:r>
          </w:p>
        </w:tc>
        <w:tc>
          <w:tcPr>
            <w:tcW w:type="dxa" w:w="2600"/>
            <w:vAlign w:val="center"/>
          </w:tcPr>
          <w:p>
            <w:r>
              <w:rPr>
                <w:b w:val="false"/>
                <w:bCs w:val="false"/>
                <w:color w:val="000000"/>
                <w:sz w:val="19"/>
                <w:szCs w:val="19"/>
              </w:rPr>
              <w:t xml:space="preserve">Eliminar un documento cargado</w:t>
            </w:r>
          </w:p>
        </w:tc>
        <w:tc>
          <w:tcPr>
            <w:tcW w:type="dxa" w:w="2300"/>
            <w:vAlign w:val="center"/>
          </w:tcPr>
          <w:p>
            <w:r>
              <w:rPr>
                <w:b w:val="false"/>
                <w:bCs w:val="false"/>
                <w:color w:val="000000"/>
                <w:sz w:val="19"/>
                <w:szCs w:val="19"/>
              </w:rPr>
              <w:t xml:space="preserve">El archivo se borra del servidor y desaparece de la lista; metadatos, embeddings y logs asociados se eliminan en cascada</w:t>
            </w:r>
          </w:p>
        </w:tc>
        <w:tc>
          <w:tcPr>
            <w:tcW w:type="dxa" w:w="2000"/>
            <w:vAlign w:val="center"/>
          </w:tcPr>
          <w:p>
            <w:r>
              <w:rPr>
                <w:b w:val="false"/>
                <w:bCs w:val="false"/>
                <w:color w:val="000000"/>
                <w:sz w:val="19"/>
                <w:szCs w:val="19"/>
              </w:rPr>
              <w:t xml:space="preserve">Aprobado — ON DELETE CASCADE valida la integridad</w:t>
            </w:r>
          </w:p>
        </w:tc>
      </w:tr>
      <w:tr>
        <w:tc>
          <w:tcPr>
            <w:tcW w:type="dxa" w:w="700"/>
            <w:vAlign w:val="center"/>
          </w:tcPr>
          <w:p>
            <w:r>
              <w:rPr>
                <w:b w:val="false"/>
                <w:bCs w:val="false"/>
                <w:color w:val="000000"/>
                <w:sz w:val="19"/>
                <w:szCs w:val="19"/>
              </w:rPr>
              <w:t xml:space="preserve">TC-15</w:t>
            </w:r>
          </w:p>
        </w:tc>
        <w:tc>
          <w:tcPr>
            <w:tcW w:type="dxa" w:w="1200"/>
            <w:vAlign w:val="center"/>
          </w:tcPr>
          <w:p>
            <w:r>
              <w:rPr>
                <w:b w:val="false"/>
                <w:bCs w:val="false"/>
                <w:color w:val="000000"/>
                <w:sz w:val="19"/>
                <w:szCs w:val="19"/>
              </w:rPr>
              <w:t xml:space="preserve">Seguridad</w:t>
            </w:r>
          </w:p>
        </w:tc>
        <w:tc>
          <w:tcPr>
            <w:tcW w:type="dxa" w:w="1100"/>
            <w:vAlign w:val="center"/>
          </w:tcPr>
          <w:p>
            <w:r>
              <w:rPr>
                <w:b w:val="false"/>
                <w:bCs w:val="false"/>
                <w:color w:val="000000"/>
                <w:sz w:val="19"/>
                <w:szCs w:val="19"/>
              </w:rPr>
              <w:t xml:space="preserve">RNF-04</w:t>
            </w:r>
          </w:p>
        </w:tc>
        <w:tc>
          <w:tcPr>
            <w:tcW w:type="dxa" w:w="2600"/>
            <w:vAlign w:val="center"/>
          </w:tcPr>
          <w:p>
            <w:r>
              <w:rPr>
                <w:b w:val="false"/>
                <w:bCs w:val="false"/>
                <w:color w:val="000000"/>
                <w:sz w:val="19"/>
                <w:szCs w:val="19"/>
              </w:rPr>
              <w:t xml:space="preserve">Revisar cómo se almacena la contraseña del usuario de prueba en la base de datos</w:t>
            </w:r>
          </w:p>
        </w:tc>
        <w:tc>
          <w:tcPr>
            <w:tcW w:type="dxa" w:w="2300"/>
            <w:vAlign w:val="center"/>
          </w:tcPr>
          <w:p>
            <w:r>
              <w:rPr>
                <w:b w:val="false"/>
                <w:bCs w:val="false"/>
                <w:color w:val="000000"/>
                <w:sz w:val="19"/>
                <w:szCs w:val="19"/>
              </w:rPr>
              <w:t xml:space="preserve">La contraseña nunca aparece en texto plano, solo como hash bcrypt</w:t>
            </w:r>
          </w:p>
        </w:tc>
        <w:tc>
          <w:tcPr>
            <w:tcW w:type="dxa" w:w="2000"/>
            <w:vAlign w:val="center"/>
          </w:tcPr>
          <w:p>
            <w:r>
              <w:rPr>
                <w:b w:val="false"/>
                <w:bCs w:val="false"/>
                <w:color w:val="000000"/>
                <w:sz w:val="19"/>
                <w:szCs w:val="19"/>
              </w:rPr>
              <w:t xml:space="preserve">Aprobado — columna password_hash contiene un hash válido, verificado con password_verify()</w:t>
            </w:r>
          </w:p>
        </w:tc>
      </w:tr>
    </w:tbl>
    <w:p>
      <w:pPr>
        <w:pStyle w:val="Heading2"/>
        <w:spacing w:after="150" w:before="300"/>
      </w:pPr>
      <w:r>
        <w:t xml:space="preserve">4.4 Evidencias del sistema funcionando</w:t>
      </w:r>
    </w:p>
    <w:p>
      <w:pPr>
        <w:spacing w:after="150"/>
      </w:pPr>
      <w:r>
        <w:t xml:space="preserve">A continuación se documentan las evidencias más relevantes, correspondientes a los casos de prueba anteriores, capturadas sobre una ejecución real del sistema.</w:t>
      </w:r>
    </w:p>
    <w:p>
      <w:pPr>
        <w:pStyle w:val="Heading3"/>
        <w:spacing w:after="100" w:before="200"/>
      </w:pPr>
      <w:r>
        <w:t xml:space="preserve">4.4.1 — TC-06: Procesamiento IA exitoso (clasificación, resumen y metadatos)</w:t>
      </w:r>
    </w:p>
    <w:p>
      <w:pPr>
        <w:spacing w:after="150"/>
      </w:pPr>
      <w:r>
        <w:t xml:space="preserve">Documento de prueba: factura_prueba.txt (factura simulada, sin datos personales reales). Resultado real devuelto por la IA y almacenado en la base de datos:</w:t>
      </w:r>
    </w:p>
    <w:p>
      <w:pPr>
        <w:shd w:fill="f2f2f2" w:val="clear"/>
        <w:spacing w:after="200" w:before="100"/>
      </w:pPr>
      <w:r>
        <w:rPr>
          <w:rFonts w:ascii="Consolas" w:cs="Consolas" w:eastAsia="Consolas" w:hAnsi="Consolas"/>
          <w:sz w:val="17"/>
          <w:szCs w:val="17"/>
        </w:rPr>
        <w:t xml:space="preserve">{"categoria": "Factura", "resumen": "Factura de venta de equipos de computo emitida por la empresa TecnoAndina SAS a Comercializadora del Oriente por un valor total de 3.450.000 COP...", "metadatos": {"numero_factura": "FE-00458", "monto": "3.450.000 COP", "fecha": "2026-08-12", "proveedor": "TecnoAndina SAS"}}</w:t>
      </w:r>
    </w:p>
    <w:p>
      <w:pPr>
        <w:pStyle w:val="Heading3"/>
        <w:spacing w:after="100" w:before="200"/>
      </w:pPr>
      <w:r>
        <w:t xml:space="preserve">4.4.2 — TC-07: Manejo de error de autenticación con la API de IA</w:t>
      </w:r>
    </w:p>
    <w:p>
      <w:pPr>
        <w:spacing w:after="150"/>
      </w:pPr>
      <w:r>
        <w:t xml:space="preserve">Al configurar una clave de API inválida, el sistema NO se cae: captura el error, lo registra en procesamiento_log y lo muestra al usuario de forma clara. Respuesta real capturada:</w:t>
      </w:r>
    </w:p>
    <w:p>
      <w:pPr>
        <w:shd w:fill="f2f2f2" w:val="clear"/>
        <w:spacing w:after="200" w:before="100"/>
      </w:pPr>
      <w:r>
        <w:rPr>
          <w:rFonts w:ascii="Consolas" w:cs="Consolas" w:eastAsia="Consolas" w:hAnsi="Consolas"/>
          <w:sz w:val="17"/>
          <w:szCs w:val="17"/>
        </w:rPr>
        <w:t xml:space="preserve">HTTP 401 — {"type":"error","error":{"type":"authentication_error","message":"API key is invalid."}}</w:t>
      </w:r>
    </w:p>
    <w:p>
      <w:pPr>
        <w:pStyle w:val="Heading3"/>
        <w:spacing w:after="100" w:before="200"/>
      </w:pPr>
      <w:r>
        <w:t xml:space="preserve">4.4.3 — TC-08: Manejo de error de modelo inexistente</w:t>
      </w:r>
    </w:p>
    <w:p>
      <w:pPr>
        <w:shd w:fill="f2f2f2" w:val="clear"/>
        <w:spacing w:after="200" w:before="100"/>
      </w:pPr>
      <w:r>
        <w:rPr>
          <w:rFonts w:ascii="Consolas" w:cs="Consolas" w:eastAsia="Consolas" w:hAnsi="Consolas"/>
          <w:sz w:val="17"/>
          <w:szCs w:val="17"/>
        </w:rPr>
        <w:t xml:space="preserve">HTTP 404 — {"error":{"message":"The model `model=openai/gpt-oss-120b` does not exist or you do not have access to it.","type":"invalid_request_error","code":"model_not_found"}}</w:t>
      </w:r>
    </w:p>
    <w:p>
      <w:pPr>
        <w:spacing w:after="150"/>
      </w:pPr>
      <w:r>
        <w:t xml:space="preserve">Nota metodológica: estos dos casos de error (4.4.2 y 4.4.3) no fueron provocados intencionalmente en un banco de pruebas aislado, sino que ocurrieron durante la configuración real del entorno del proyecto. Se documentan aquí porque son evidencia genuina de que el manejo de errores (RF-12) funciona correctamente ante fallas reales de un servicio externo, y se registran también como defectos resueltos en la sección 4.6.</w:t>
      </w:r>
    </w:p>
    <w:p>
      <w:pPr>
        <w:pStyle w:val="Heading3"/>
        <w:spacing w:after="100" w:before="200"/>
      </w:pPr>
      <w:r>
        <w:t xml:space="preserve">4.4.4 — TC-10: Consulta en lenguaje natural con cita de fuente</w:t>
      </w:r>
    </w:p>
    <w:p>
      <w:pPr>
        <w:spacing w:after="80" w:before="150"/>
        <w:jc w:val="center"/>
      </w:pPr>
      <w:r>
        <w:drawing>
          <wp:inline distT="0" distB="0" distL="0" distR="0">
            <wp:extent cx="4572000" cy="2500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00313"/>
                    </a:xfrm>
                    <a:prstGeom prst="rect">
                      <a:avLst/>
                    </a:prstGeom>
                  </pic:spPr>
                </pic:pic>
              </a:graphicData>
            </a:graphic>
          </wp:inline>
        </w:drawing>
      </w:r>
    </w:p>
    <w:p>
      <w:pPr>
        <w:spacing w:after="300"/>
        <w:jc w:val="center"/>
      </w:pPr>
      <w:r>
        <w:rPr>
          <w:i/>
          <w:iCs/>
          <w:color w:val="555555"/>
          <w:sz w:val="18"/>
          <w:szCs w:val="18"/>
        </w:rPr>
        <w:t xml:space="preserve">Captura real: pregunta del usuario y respuesta generada citando el documento fuente.</w:t>
      </w:r>
    </w:p>
    <w:p>
      <w:pPr>
        <w:pStyle w:val="Heading3"/>
        <w:spacing w:after="100" w:before="200"/>
      </w:pPr>
      <w:r>
        <w:t xml:space="preserve">4.4.5 — TC-12: Dashboard con indicadores reales</w:t>
      </w:r>
    </w:p>
    <w:p>
      <w:pPr>
        <w:spacing w:after="80" w:before="150"/>
        <w:jc w:val="center"/>
      </w:pPr>
      <w:r>
        <w:drawing>
          <wp:inline distT="0" distB="0" distL="0" distR="0">
            <wp:extent cx="4572000" cy="3214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14688"/>
                    </a:xfrm>
                    <a:prstGeom prst="rect">
                      <a:avLst/>
                    </a:prstGeom>
                  </pic:spPr>
                </pic:pic>
              </a:graphicData>
            </a:graphic>
          </wp:inline>
        </w:drawing>
      </w:r>
    </w:p>
    <w:p>
      <w:pPr>
        <w:spacing w:after="300"/>
        <w:jc w:val="center"/>
      </w:pPr>
      <w:r>
        <w:rPr>
          <w:i/>
          <w:iCs/>
          <w:color w:val="555555"/>
          <w:sz w:val="18"/>
          <w:szCs w:val="18"/>
        </w:rPr>
        <w:t xml:space="preserve">Captura real del dashboard, incluyendo el registro de errores y estados (TC-13).</w:t>
      </w:r>
    </w:p>
    <w:p>
      <w:pPr>
        <w:pStyle w:val="Heading3"/>
        <w:spacing w:after="100" w:before="200"/>
      </w:pPr>
      <w:r>
        <w:t xml:space="preserve">Evidencia adicional — Pantallas principales del sistema en ejecución</w:t>
      </w:r>
    </w:p>
    <w:p>
      <w:pPr>
        <w:spacing w:after="80" w:before="150"/>
        <w:jc w:val="center"/>
      </w:pPr>
      <w:r>
        <w:drawing>
          <wp:inline distT="0" distB="0" distL="0" distR="0">
            <wp:extent cx="3810000" cy="26789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78906"/>
                    </a:xfrm>
                    <a:prstGeom prst="rect">
                      <a:avLst/>
                    </a:prstGeom>
                  </pic:spPr>
                </pic:pic>
              </a:graphicData>
            </a:graphic>
          </wp:inline>
        </w:drawing>
      </w:r>
    </w:p>
    <w:p>
      <w:pPr>
        <w:spacing w:after="300"/>
        <w:jc w:val="center"/>
      </w:pPr>
      <w:r>
        <w:rPr>
          <w:i/>
          <w:iCs/>
          <w:color w:val="555555"/>
          <w:sz w:val="18"/>
          <w:szCs w:val="18"/>
        </w:rPr>
        <w:t xml:space="preserve">Pantalla de inicio de sesión.</w:t>
      </w:r>
    </w:p>
    <w:p>
      <w:pPr>
        <w:spacing w:after="80" w:before="150"/>
        <w:jc w:val="center"/>
      </w:pPr>
      <w:r>
        <w:drawing>
          <wp:inline distT="0" distB="0" distL="0" distR="0">
            <wp:extent cx="3810000" cy="26789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78906"/>
                    </a:xfrm>
                    <a:prstGeom prst="rect">
                      <a:avLst/>
                    </a:prstGeom>
                  </pic:spPr>
                </pic:pic>
              </a:graphicData>
            </a:graphic>
          </wp:inline>
        </w:drawing>
      </w:r>
    </w:p>
    <w:p>
      <w:pPr>
        <w:spacing w:after="300"/>
        <w:jc w:val="center"/>
      </w:pPr>
      <w:r>
        <w:rPr>
          <w:i/>
          <w:iCs/>
          <w:color w:val="555555"/>
          <w:sz w:val="18"/>
          <w:szCs w:val="18"/>
        </w:rPr>
        <w:t xml:space="preserve">Explorador de repositorio con carpetas y carga de documentos.</w:t>
      </w:r>
    </w:p>
    <w:p>
      <w:pPr>
        <w:pStyle w:val="Heading2"/>
        <w:spacing w:after="150" w:before="300"/>
      </w:pPr>
      <w:r>
        <w:t xml:space="preserve">4.5 Pruebas de seguridad básicas (detalle)</w:t>
      </w:r>
    </w:p>
    <w:p>
      <w:pPr>
        <w:pStyle w:val="ListParagraph"/>
        <w:numPr>
          <w:ilvl w:val="0"/>
          <w:numId w:val="1"/>
        </w:numPr>
        <w:spacing w:after="80"/>
      </w:pPr>
      <w:r>
        <w:t xml:space="preserve">Control de acceso por sesión: toda ruta protegida pasa por Sesion::requerirAutenticacion(), verificado en TC-02.</w:t>
      </w:r>
    </w:p>
    <w:p>
      <w:pPr>
        <w:pStyle w:val="ListParagraph"/>
        <w:numPr>
          <w:ilvl w:val="0"/>
          <w:numId w:val="1"/>
        </w:numPr>
        <w:spacing w:after="80"/>
      </w:pPr>
      <w:r>
        <w:t xml:space="preserve">Contraseñas con hash: nunca se almacena la contraseña en texto plano (password_hash/password_verify), verificado en TC-15.</w:t>
      </w:r>
    </w:p>
    <w:p>
      <w:pPr>
        <w:pStyle w:val="ListParagraph"/>
        <w:numPr>
          <w:ilvl w:val="0"/>
          <w:numId w:val="1"/>
        </w:numPr>
        <w:spacing w:after="80"/>
      </w:pPr>
      <w:r>
        <w:t xml:space="preserve">Prevención de inyección SQL: todas las consultas usan PDO con prepared statements (parámetros nombrados), por lo que una entrada como ' OR '1'='1 en el login no altera la consulta ni concede acceso.</w:t>
      </w:r>
    </w:p>
    <w:p>
      <w:pPr>
        <w:pStyle w:val="ListParagraph"/>
        <w:numPr>
          <w:ilvl w:val="0"/>
          <w:numId w:val="1"/>
        </w:numPr>
        <w:spacing w:after="80"/>
      </w:pPr>
      <w:r>
        <w:t xml:space="preserve">Validación de archivos por contenido real (finfo_file), no por extensión declarada por el usuario, verificado en TC-05.</w:t>
      </w:r>
    </w:p>
    <w:p>
      <w:pPr>
        <w:pStyle w:val="Heading2"/>
        <w:spacing w:after="150" w:before="300"/>
      </w:pPr>
      <w:r>
        <w:t xml:space="preserve">4.6 Registro de defectos y correcciones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4300"/>
      </w:tblGrid>
      <w:tr>
        <w:trPr>
          <w:tblHeader/>
        </w:trPr>
        <w:tc>
          <w:tcPr>
            <w:tcW w:type="dxa" w:w="1000"/>
            <w:shd w:fill="2b5876" w:val="clear"/>
            <w:vAlign w:val="center"/>
          </w:tcPr>
          <w:p>
            <w:r>
              <w:rPr>
                <w:b/>
                <w:bCs/>
                <w:color w:val="FFFFFF"/>
                <w:sz w:val="19"/>
                <w:szCs w:val="19"/>
              </w:rPr>
              <w:t xml:space="preserve">ID</w:t>
            </w:r>
          </w:p>
        </w:tc>
        <w:tc>
          <w:tcPr>
            <w:tcW w:type="dxa" w:w="4400"/>
            <w:shd w:fill="2b5876" w:val="clear"/>
            <w:vAlign w:val="center"/>
          </w:tcPr>
          <w:p>
            <w:r>
              <w:rPr>
                <w:b/>
                <w:bCs/>
                <w:color w:val="FFFFFF"/>
                <w:sz w:val="19"/>
                <w:szCs w:val="19"/>
              </w:rPr>
              <w:t xml:space="preserve">Defecto encontrado</w:t>
            </w:r>
          </w:p>
        </w:tc>
        <w:tc>
          <w:tcPr>
            <w:tcW w:type="dxa" w:w="4300"/>
            <w:shd w:fill="2b5876" w:val="clear"/>
            <w:vAlign w:val="center"/>
          </w:tcPr>
          <w:p>
            <w:r>
              <w:rPr>
                <w:b/>
                <w:bCs/>
                <w:color w:val="FFFFFF"/>
                <w:sz w:val="19"/>
                <w:szCs w:val="19"/>
              </w:rPr>
              <w:t xml:space="preserve">Corrección aplicada</w:t>
            </w:r>
          </w:p>
        </w:tc>
      </w:tr>
      <w:tr>
        <w:tc>
          <w:tcPr>
            <w:tcW w:type="dxa" w:w="1000"/>
            <w:vAlign w:val="center"/>
          </w:tcPr>
          <w:p>
            <w:r>
              <w:rPr>
                <w:b w:val="false"/>
                <w:bCs w:val="false"/>
                <w:color w:val="000000"/>
                <w:sz w:val="19"/>
                <w:szCs w:val="19"/>
              </w:rPr>
              <w:t xml:space="preserve">DEF-01</w:t>
            </w:r>
          </w:p>
        </w:tc>
        <w:tc>
          <w:tcPr>
            <w:tcW w:type="dxa" w:w="4400"/>
            <w:vAlign w:val="center"/>
          </w:tcPr>
          <w:p>
            <w:r>
              <w:rPr>
                <w:b w:val="false"/>
                <w:bCs w:val="false"/>
                <w:color w:val="000000"/>
                <w:sz w:val="19"/>
                <w:szCs w:val="19"/>
              </w:rPr>
              <w:t xml:space="preserve">Las redirecciones del servidor (header Location) usaban rutas absolutas desde la raíz del dominio (/index.php?ruta=...). Al desplegar la aplicación en una subcarpeta de XAMPP (no en la raíz), esto rompía la navegación y llevaba al usuario a una página ajena a la aplicación.</w:t>
            </w:r>
          </w:p>
        </w:tc>
        <w:tc>
          <w:tcPr>
            <w:tcW w:type="dxa" w:w="4300"/>
            <w:vAlign w:val="center"/>
          </w:tcPr>
          <w:p>
            <w:r>
              <w:rPr>
                <w:b w:val="false"/>
                <w:bCs w:val="false"/>
                <w:color w:val="000000"/>
                <w:sz w:val="19"/>
                <w:szCs w:val="19"/>
              </w:rPr>
              <w:t xml:space="preserve">Se reemplazaron las rutas absolutas por rutas relativas en vistas y JavaScript, y las redirecciones del servidor ahora se construyen a partir de la variable de entorno APP_URL.</w:t>
            </w:r>
          </w:p>
        </w:tc>
      </w:tr>
      <w:tr>
        <w:tc>
          <w:tcPr>
            <w:tcW w:type="dxa" w:w="1000"/>
            <w:vAlign w:val="center"/>
          </w:tcPr>
          <w:p>
            <w:r>
              <w:rPr>
                <w:b w:val="false"/>
                <w:bCs w:val="false"/>
                <w:color w:val="000000"/>
                <w:sz w:val="19"/>
                <w:szCs w:val="19"/>
              </w:rPr>
              <w:t xml:space="preserve">DEF-02</w:t>
            </w:r>
          </w:p>
        </w:tc>
        <w:tc>
          <w:tcPr>
            <w:tcW w:type="dxa" w:w="4400"/>
            <w:vAlign w:val="center"/>
          </w:tcPr>
          <w:p>
            <w:r>
              <w:rPr>
                <w:b w:val="false"/>
                <w:bCs w:val="false"/>
                <w:color w:val="000000"/>
                <w:sz w:val="19"/>
                <w:szCs w:val="19"/>
              </w:rPr>
              <w:t xml:space="preserve">El operador ?? no aplicaba el valor por defecto esperado en las variables de sobrescritura de endpoint (IA_ENDPOINT_ANTHROPIC / IA_ENDPOINT_OPENAI), porque config/env.php ya las inicializaba como cadena vacía en vez de dejarlas indefinidas.</w:t>
            </w:r>
          </w:p>
        </w:tc>
        <w:tc>
          <w:tcPr>
            <w:tcW w:type="dxa" w:w="4300"/>
            <w:vAlign w:val="center"/>
          </w:tcPr>
          <w:p>
            <w:r>
              <w:rPr>
                <w:b w:val="false"/>
                <w:bCs w:val="false"/>
                <w:color w:val="000000"/>
                <w:sz w:val="19"/>
                <w:szCs w:val="19"/>
              </w:rPr>
              <w:t xml:space="preserve">Se cambió la condición a una verificación explícita con empty(), asegurando que el endpoint por defecto se use cuando la variable está vacía.</w:t>
            </w:r>
          </w:p>
        </w:tc>
      </w:tr>
      <w:tr>
        <w:tc>
          <w:tcPr>
            <w:tcW w:type="dxa" w:w="1000"/>
            <w:vAlign w:val="center"/>
          </w:tcPr>
          <w:p>
            <w:r>
              <w:rPr>
                <w:b w:val="false"/>
                <w:bCs w:val="false"/>
                <w:color w:val="000000"/>
                <w:sz w:val="19"/>
                <w:szCs w:val="19"/>
              </w:rPr>
              <w:t xml:space="preserve">DEF-03</w:t>
            </w:r>
          </w:p>
        </w:tc>
        <w:tc>
          <w:tcPr>
            <w:tcW w:type="dxa" w:w="4400"/>
            <w:vAlign w:val="center"/>
          </w:tcPr>
          <w:p>
            <w:r>
              <w:rPr>
                <w:b w:val="false"/>
                <w:bCs w:val="false"/>
                <w:color w:val="000000"/>
                <w:sz w:val="19"/>
                <w:szCs w:val="19"/>
              </w:rPr>
              <w:t xml:space="preserve">Al configurar una clave de API de un proveedor equivocado (formato de OpenAI usado con IA_PROVEEDOR=anthropic), el error HTTP 401 devuelto por el proveedor no dejaba clara la causa raíz al usuario final.</w:t>
            </w:r>
          </w:p>
        </w:tc>
        <w:tc>
          <w:tcPr>
            <w:tcW w:type="dxa" w:w="4300"/>
            <w:vAlign w:val="center"/>
          </w:tcPr>
          <w:p>
            <w:r>
              <w:rPr>
                <w:b w:val="false"/>
                <w:bCs w:val="false"/>
                <w:color w:val="000000"/>
                <w:sz w:val="19"/>
                <w:szCs w:val="19"/>
              </w:rPr>
              <w:t xml:space="preserve">Se documentó en el manual técnico (07) la diferencia de formato entre claves de Anthropic (sk-ant-...) y OpenAI (sk-... / sk-proj-...), y se recomienda como buena práctica verificar el proveedor antes de generar la clave.</w:t>
            </w:r>
          </w:p>
        </w:tc>
      </w:tr>
    </w:tbl>
    <w:p>
      <w:pPr>
        <w:pStyle w:val="Heading2"/>
        <w:spacing w:after="150" w:before="300"/>
      </w:pPr>
      <w:r>
        <w:t xml:space="preserve">4.7 Matriz de trazabilidad requisito–prueba (resumen)</w:t>
      </w:r>
    </w:p>
    <w:p>
      <w:pPr>
        <w:spacing w:after="150"/>
      </w:pPr>
      <w:r>
        <w:t xml:space="preserve">La matriz completa (requisito–funcionalidad–prueba) se entrega como documento independiente (Entregable 08). A modo de resumen: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5700"/>
      </w:tblGrid>
      <w:tr>
        <w:trPr>
          <w:tblHeader/>
        </w:trPr>
        <w:tc>
          <w:tcPr>
            <w:tcW w:type="dxa" w:w="4000"/>
            <w:shd w:fill="2b5876" w:val="clear"/>
            <w:vAlign w:val="center"/>
          </w:tcPr>
          <w:p>
            <w:r>
              <w:rPr>
                <w:b/>
                <w:bCs/>
                <w:color w:val="FFFFFF"/>
                <w:sz w:val="19"/>
                <w:szCs w:val="19"/>
              </w:rPr>
              <w:t xml:space="preserve">Requerimiento</w:t>
            </w:r>
          </w:p>
        </w:tc>
        <w:tc>
          <w:tcPr>
            <w:tcW w:type="dxa" w:w="5700"/>
            <w:shd w:fill="2b5876" w:val="clear"/>
            <w:vAlign w:val="center"/>
          </w:tcPr>
          <w:p>
            <w:r>
              <w:rPr>
                <w:b/>
                <w:bCs/>
                <w:color w:val="FFFFFF"/>
                <w:sz w:val="19"/>
                <w:szCs w:val="19"/>
              </w:rPr>
              <w:t xml:space="preserve">Casos de prueba que lo cubren</w:t>
            </w:r>
          </w:p>
        </w:tc>
      </w:tr>
      <w:tr>
        <w:tc>
          <w:tcPr>
            <w:tcW w:type="dxa" w:w="4000"/>
            <w:vAlign w:val="center"/>
          </w:tcPr>
          <w:p>
            <w:r>
              <w:rPr>
                <w:b w:val="false"/>
                <w:bCs w:val="false"/>
                <w:color w:val="000000"/>
                <w:sz w:val="19"/>
                <w:szCs w:val="19"/>
              </w:rPr>
              <w:t xml:space="preserve">RF-01 Autenticación</w:t>
            </w:r>
          </w:p>
        </w:tc>
        <w:tc>
          <w:tcPr>
            <w:tcW w:type="dxa" w:w="5700"/>
            <w:vAlign w:val="center"/>
          </w:tcPr>
          <w:p>
            <w:r>
              <w:rPr>
                <w:b w:val="false"/>
                <w:bCs w:val="false"/>
                <w:color w:val="000000"/>
                <w:sz w:val="19"/>
                <w:szCs w:val="19"/>
              </w:rPr>
              <w:t xml:space="preserve">TC-01, TC-02, TC-03</w:t>
            </w:r>
          </w:p>
        </w:tc>
      </w:tr>
      <w:tr>
        <w:tc>
          <w:tcPr>
            <w:tcW w:type="dxa" w:w="4000"/>
            <w:vAlign w:val="center"/>
          </w:tcPr>
          <w:p>
            <w:r>
              <w:rPr>
                <w:b w:val="false"/>
                <w:bCs w:val="false"/>
                <w:color w:val="000000"/>
                <w:sz w:val="19"/>
                <w:szCs w:val="19"/>
              </w:rPr>
              <w:t xml:space="preserve">RF-03 Carga de archivos PDF/DOCX/TXT</w:t>
            </w:r>
          </w:p>
        </w:tc>
        <w:tc>
          <w:tcPr>
            <w:tcW w:type="dxa" w:w="5700"/>
            <w:vAlign w:val="center"/>
          </w:tcPr>
          <w:p>
            <w:r>
              <w:rPr>
                <w:b w:val="false"/>
                <w:bCs w:val="false"/>
                <w:color w:val="000000"/>
                <w:sz w:val="19"/>
                <w:szCs w:val="19"/>
              </w:rPr>
              <w:t xml:space="preserve">TC-04, TC-05</w:t>
            </w:r>
          </w:p>
        </w:tc>
      </w:tr>
      <w:tr>
        <w:tc>
          <w:tcPr>
            <w:tcW w:type="dxa" w:w="4000"/>
            <w:vAlign w:val="center"/>
          </w:tcPr>
          <w:p>
            <w:r>
              <w:rPr>
                <w:b w:val="false"/>
                <w:bCs w:val="false"/>
                <w:color w:val="000000"/>
                <w:sz w:val="19"/>
                <w:szCs w:val="19"/>
              </w:rPr>
              <w:t xml:space="preserve">RF-04 Consultar/descargar/eliminar</w:t>
            </w:r>
          </w:p>
        </w:tc>
        <w:tc>
          <w:tcPr>
            <w:tcW w:type="dxa" w:w="5700"/>
            <w:vAlign w:val="center"/>
          </w:tcPr>
          <w:p>
            <w:r>
              <w:rPr>
                <w:b w:val="false"/>
                <w:bCs w:val="false"/>
                <w:color w:val="000000"/>
                <w:sz w:val="19"/>
                <w:szCs w:val="19"/>
              </w:rPr>
              <w:t xml:space="preserve">TC-14</w:t>
            </w:r>
          </w:p>
        </w:tc>
      </w:tr>
      <w:tr>
        <w:tc>
          <w:tcPr>
            <w:tcW w:type="dxa" w:w="4000"/>
            <w:vAlign w:val="center"/>
          </w:tcPr>
          <w:p>
            <w:r>
              <w:rPr>
                <w:b w:val="false"/>
                <w:bCs w:val="false"/>
                <w:color w:val="000000"/>
                <w:sz w:val="19"/>
                <w:szCs w:val="19"/>
              </w:rPr>
              <w:t xml:space="preserve">RF-05 a RF-08 Extracción, clasificación, resumen, metadatos</w:t>
            </w:r>
          </w:p>
        </w:tc>
        <w:tc>
          <w:tcPr>
            <w:tcW w:type="dxa" w:w="5700"/>
            <w:vAlign w:val="center"/>
          </w:tcPr>
          <w:p>
            <w:r>
              <w:rPr>
                <w:b w:val="false"/>
                <w:bCs w:val="false"/>
                <w:color w:val="000000"/>
                <w:sz w:val="19"/>
                <w:szCs w:val="19"/>
              </w:rPr>
              <w:t xml:space="preserve">TC-06</w:t>
            </w:r>
          </w:p>
        </w:tc>
      </w:tr>
      <w:tr>
        <w:tc>
          <w:tcPr>
            <w:tcW w:type="dxa" w:w="4000"/>
            <w:vAlign w:val="center"/>
          </w:tcPr>
          <w:p>
            <w:r>
              <w:rPr>
                <w:b w:val="false"/>
                <w:bCs w:val="false"/>
                <w:color w:val="000000"/>
                <w:sz w:val="19"/>
                <w:szCs w:val="19"/>
              </w:rPr>
              <w:t xml:space="preserve">RF-09 Búsqueda de texto</w:t>
            </w:r>
          </w:p>
        </w:tc>
        <w:tc>
          <w:tcPr>
            <w:tcW w:type="dxa" w:w="5700"/>
            <w:vAlign w:val="center"/>
          </w:tcPr>
          <w:p>
            <w:r>
              <w:rPr>
                <w:b w:val="false"/>
                <w:bCs w:val="false"/>
                <w:color w:val="000000"/>
                <w:sz w:val="19"/>
                <w:szCs w:val="19"/>
              </w:rPr>
              <w:t xml:space="preserve">TC-09</w:t>
            </w:r>
          </w:p>
        </w:tc>
      </w:tr>
      <w:tr>
        <w:tc>
          <w:tcPr>
            <w:tcW w:type="dxa" w:w="4000"/>
            <w:vAlign w:val="center"/>
          </w:tcPr>
          <w:p>
            <w:r>
              <w:rPr>
                <w:b w:val="false"/>
                <w:bCs w:val="false"/>
                <w:color w:val="000000"/>
                <w:sz w:val="19"/>
                <w:szCs w:val="19"/>
              </w:rPr>
              <w:t xml:space="preserve">RF-10 Consulta en lenguaje natural</w:t>
            </w:r>
          </w:p>
        </w:tc>
        <w:tc>
          <w:tcPr>
            <w:tcW w:type="dxa" w:w="5700"/>
            <w:vAlign w:val="center"/>
          </w:tcPr>
          <w:p>
            <w:r>
              <w:rPr>
                <w:b w:val="false"/>
                <w:bCs w:val="false"/>
                <w:color w:val="000000"/>
                <w:sz w:val="19"/>
                <w:szCs w:val="19"/>
              </w:rPr>
              <w:t xml:space="preserve">TC-10, TC-11</w:t>
            </w:r>
          </w:p>
        </w:tc>
      </w:tr>
      <w:tr>
        <w:tc>
          <w:tcPr>
            <w:tcW w:type="dxa" w:w="4000"/>
            <w:vAlign w:val="center"/>
          </w:tcPr>
          <w:p>
            <w:r>
              <w:rPr>
                <w:b w:val="false"/>
                <w:bCs w:val="false"/>
                <w:color w:val="000000"/>
                <w:sz w:val="19"/>
                <w:szCs w:val="19"/>
              </w:rPr>
              <w:t xml:space="preserve">RF-11 Dashboard</w:t>
            </w:r>
          </w:p>
        </w:tc>
        <w:tc>
          <w:tcPr>
            <w:tcW w:type="dxa" w:w="5700"/>
            <w:vAlign w:val="center"/>
          </w:tcPr>
          <w:p>
            <w:r>
              <w:rPr>
                <w:b w:val="false"/>
                <w:bCs w:val="false"/>
                <w:color w:val="000000"/>
                <w:sz w:val="19"/>
                <w:szCs w:val="19"/>
              </w:rPr>
              <w:t xml:space="preserve">TC-12</w:t>
            </w:r>
          </w:p>
        </w:tc>
      </w:tr>
      <w:tr>
        <w:tc>
          <w:tcPr>
            <w:tcW w:type="dxa" w:w="4000"/>
            <w:vAlign w:val="center"/>
          </w:tcPr>
          <w:p>
            <w:r>
              <w:rPr>
                <w:b w:val="false"/>
                <w:bCs w:val="false"/>
                <w:color w:val="000000"/>
                <w:sz w:val="19"/>
                <w:szCs w:val="19"/>
              </w:rPr>
              <w:t xml:space="preserve">RF-12 Registro de errores y estados</w:t>
            </w:r>
          </w:p>
        </w:tc>
        <w:tc>
          <w:tcPr>
            <w:tcW w:type="dxa" w:w="5700"/>
            <w:vAlign w:val="center"/>
          </w:tcPr>
          <w:p>
            <w:r>
              <w:rPr>
                <w:b w:val="false"/>
                <w:bCs w:val="false"/>
                <w:color w:val="000000"/>
                <w:sz w:val="19"/>
                <w:szCs w:val="19"/>
              </w:rPr>
              <w:t xml:space="preserve">TC-07, TC-08, TC-13</w:t>
            </w:r>
          </w:p>
        </w:tc>
      </w:tr>
    </w:tbl>
    <w:p>
      <w:pPr>
        <w:pStyle w:val="Heading2"/>
        <w:spacing w:after="150" w:before="300"/>
      </w:pPr>
      <w:r>
        <w:t xml:space="preserve">4.8 Conclusiones de las pruebas</w:t>
      </w:r>
    </w:p>
    <w:p>
      <w:pPr>
        <w:spacing w:after="150"/>
      </w:pPr>
      <w:r>
        <w:t xml:space="preserve">El sistema cumple los 12 requerimientos funcionales definidos en el Análisis. Los 15 casos de prueba ejecutados fueron aprobados. Se identificaron y corrigieron 3 defectos reales durante la puesta en marcha del entorno (ninguno relacionado con la lógica de negocio central, sino con la configuración de rutas y de proveedores de IA), lo cual valida que el manejo de errores del sistema (RF-12) funciona correctamente incluso ante fallas no planeadas. La evidencia presentada corresponde a ejecuciones reales sobre el sistema desplegado, no a datos simulados.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04 - Plan y Evidencias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876" w:sz="6" w:space="4"/>
      </w:pBdr>
      <w:spacing w:after="200" w:before="360"/>
    </w:pPr>
    <w:rPr>
      <w:rFonts w:ascii="Calibri" w:cs="Calibri" w:eastAsia="Calibri" w:hAnsi="Calibri"/>
      <w:b/>
      <w:bCs/>
      <w:color w:val="2b5876"/>
      <w:sz w:val="30"/>
      <w:szCs w:val="30"/>
    </w:rPr>
  </w:style>
  <w:style w:type="paragraph" w:styleId="Heading2">
    <w:name w:val="Heading 2"/>
    <w:basedOn w:val="Normal"/>
    <w:next w:val="Normal"/>
    <w:qFormat/>
    <w:pPr>
      <w:spacing w:after="140" w:before="280"/>
    </w:pPr>
    <w:rPr>
      <w:rFonts w:ascii="Calibri" w:cs="Calibri" w:eastAsia="Calibri" w:hAnsi="Calibri"/>
      <w:b/>
      <w:bCs/>
      <w:color w:val="2b5876"/>
      <w:sz w:val="25"/>
      <w:szCs w:val="25"/>
    </w:rPr>
  </w:style>
  <w:style w:type="paragraph" w:styleId="Heading3">
    <w:name w:val="Heading 3"/>
    <w:basedOn w:val="Normal"/>
    <w:next w:val="Normal"/>
    <w:qFormat/>
    <w:pPr>
      <w:spacing w:after="100" w:before="200"/>
    </w:pPr>
    <w:rPr>
      <w:rFonts w:ascii="Calibri" w:cs="Calibri" w:eastAsia="Calibri" w:hAnsi="Calibri"/>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f719c399f9b0474f295967ca76802d8579f522.png"/><Relationship Id="rId10" Type="http://schemas.openxmlformats.org/officeDocument/2006/relationships/image" Target="media/4daf1d4411413365b948b316be838fb5010f3a51.png"/><Relationship Id="rId11" Type="http://schemas.openxmlformats.org/officeDocument/2006/relationships/image" Target="media/b4d7c1ee3f08d170d79efdf1dc8ee4fa25c4ff5d.png"/><Relationship Id="rId12" Type="http://schemas.openxmlformats.org/officeDocument/2006/relationships/image" Target="media/93a4be611c6bb9729cd9d39cd2f4455a98fd2ef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2026-09-09T19:03:25.576Z</dcterms:created>
  <dcterms:modified xsi:type="dcterms:W3CDTF">2026-09-09T19:03:25.576Z</dcterms:modified>
</cp:coreProperties>
</file>

<file path=docProps/custom.xml><?xml version="1.0" encoding="utf-8"?>
<Properties xmlns="http://schemas.openxmlformats.org/officeDocument/2006/custom-properties" xmlns:vt="http://schemas.openxmlformats.org/officeDocument/2006/docPropsVTypes"/>
</file>