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55555"/>
          <w:sz w:val="24"/>
          <w:szCs w:val="24"/>
        </w:rPr>
        <w:t xml:space="preserve">ENTREGABLE 05</w:t>
      </w:r>
    </w:p>
    <w:p>
      <w:pPr>
        <w:spacing w:after="300"/>
        <w:jc w:val="center"/>
      </w:pPr>
      <w:r>
        <w:rPr>
          <w:b/>
          <w:bCs/>
          <w:color w:val="2b5876"/>
          <w:sz w:val="40"/>
          <w:szCs w:val="40"/>
        </w:rPr>
        <w:t xml:space="preserve">IMPLEMENTACIÓN Y DESPLIEGUE</w:t>
      </w:r>
    </w:p>
    <w:p>
      <w:pPr>
        <w:spacing w:after="900"/>
        <w:jc w:val="center"/>
      </w:pPr>
      <w:r>
        <w:rPr>
          <w:color w:val="555555"/>
          <w:sz w:val="26"/>
          <w:szCs w:val="26"/>
        </w:rPr>
        <w:t xml:space="preserve">Fase de Implementación del ciclo de desarrollo de software</w:t>
      </w:r>
    </w:p>
    <w:p>
      <w:pPr>
        <w:spacing w:after="100"/>
        <w:jc w:val="center"/>
      </w:pPr>
      <w:r>
        <w:rPr>
          <w:sz w:val="22"/>
          <w:szCs w:val="22"/>
        </w:rPr>
        <w:t xml:space="preserve">Repositorio Inteligente de Documentos con Inteligencia Artificial</w:t>
      </w:r>
    </w:p>
    <w:p>
      <w:pPr>
        <w:spacing w:after="100"/>
        <w:jc w:val="center"/>
      </w:pPr>
      <w:r>
        <w:rPr>
          <w:sz w:val="22"/>
          <w:szCs w:val="22"/>
        </w:rPr>
        <w:t xml:space="preserve">Desarrollo de Aplicaciones Empresariales – VI Semestre</w:t>
      </w:r>
    </w:p>
    <w:p>
      <w:pPr>
        <w:spacing w:after="100"/>
        <w:jc w:val="center"/>
      </w:pPr>
      <w:r>
        <w:rPr>
          <w:sz w:val="22"/>
          <w:szCs w:val="22"/>
        </w:rPr>
        <w:t xml:space="preserve">Docente: Wilson Castaño Galviz</w:t>
      </w:r>
    </w:p>
    <w:p>
      <w:pPr>
        <w:spacing w:after="100"/>
        <w:jc w:val="center"/>
      </w:pPr>
      <w:r>
        <w:rPr>
          <w:sz w:val="22"/>
          <w:szCs w:val="22"/>
        </w:rPr>
        <w:t xml:space="preserve">Unidades Tecnológicas de Santander (UTS)</w:t>
      </w:r>
    </w:p>
    <w:p>
      <w:r>
        <w:br w:type="page"/>
      </w:r>
    </w:p>
    <w:p>
      <w:pPr>
        <w:pStyle w:val="Heading1"/>
        <w:spacing w:after="200" w:before="400"/>
      </w:pPr>
      <w:r>
        <w:t xml:space="preserve">5. Implementación y Despliegue</w:t>
      </w:r>
    </w:p>
    <w:p>
      <w:pPr>
        <w:pStyle w:val="Heading2"/>
        <w:spacing w:after="150" w:before="300"/>
      </w:pPr>
      <w:r>
        <w:t xml:space="preserve">5.1 Descripción del ambiente de implementación</w:t>
      </w:r>
    </w:p>
    <w:p>
      <w:pPr>
        <w:spacing w:after="150"/>
      </w:pPr>
      <w:r>
        <w:t xml:space="preserve">El sistema se implementa sobre un entorno LAMP/WAMP simplificado mediante XAMPP (Apache + PHP + MySQL), pensado para ejecutarse tanto en el equipo local de desarrollo/sustentación como en un hosting compartido compatible con PHP y MySQL. No requiere contenedores, orquestadores ni un servidor de aplicaciones dedicado, lo que facilita su reproducción en cualquier equipo con XAMPP instalado.</w:t>
      </w:r>
    </w:p>
    <w:p>
      <w:pPr>
        <w:pStyle w:val="Heading2"/>
        <w:spacing w:after="150" w:before="300"/>
      </w:pPr>
      <w:r>
        <w:t xml:space="preserve">5.2 Requisitos de hardware y software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b5876" w:val="clear"/>
            <w:vAlign w:val="center"/>
          </w:tcPr>
          <w:p>
            <w:r>
              <w:rPr>
                <w:b/>
                <w:bCs/>
                <w:color w:val="FFFFFF"/>
                <w:sz w:val="19"/>
                <w:szCs w:val="19"/>
              </w:rPr>
              <w:t xml:space="preserve">Recurso</w:t>
            </w:r>
          </w:p>
        </w:tc>
        <w:tc>
          <w:tcPr>
            <w:tcW w:type="dxa" w:w="6800"/>
            <w:shd w:fill="2b5876" w:val="clear"/>
            <w:vAlign w:val="center"/>
          </w:tcPr>
          <w:p>
            <w:r>
              <w:rPr>
                <w:b/>
                <w:bCs/>
                <w:color w:val="FFFFFF"/>
                <w:sz w:val="19"/>
                <w:szCs w:val="19"/>
              </w:rPr>
              <w:t xml:space="preserve">Requisito mínimo</w:t>
            </w:r>
          </w:p>
        </w:tc>
      </w:tr>
      <w:tr>
        <w:tc>
          <w:tcPr>
            <w:tcW w:type="dxa" w:w="3200"/>
            <w:vAlign w:val="center"/>
          </w:tcPr>
          <w:p>
            <w:r>
              <w:rPr>
                <w:b w:val="false"/>
                <w:bCs w:val="false"/>
                <w:color w:val="000000"/>
                <w:sz w:val="19"/>
                <w:szCs w:val="19"/>
              </w:rPr>
              <w:t xml:space="preserve">Sistema operativo</w:t>
            </w:r>
          </w:p>
        </w:tc>
        <w:tc>
          <w:tcPr>
            <w:tcW w:type="dxa" w:w="6800"/>
            <w:vAlign w:val="center"/>
          </w:tcPr>
          <w:p>
            <w:r>
              <w:rPr>
                <w:b w:val="false"/>
                <w:bCs w:val="false"/>
                <w:color w:val="000000"/>
                <w:sz w:val="19"/>
                <w:szCs w:val="19"/>
              </w:rPr>
              <w:t xml:space="preserve">Windows 10/11, macOS o Linux (cualquiera compatible con XAMPP)</w:t>
            </w:r>
          </w:p>
        </w:tc>
      </w:tr>
      <w:tr>
        <w:tc>
          <w:tcPr>
            <w:tcW w:type="dxa" w:w="3200"/>
            <w:vAlign w:val="center"/>
          </w:tcPr>
          <w:p>
            <w:r>
              <w:rPr>
                <w:b w:val="false"/>
                <w:bCs w:val="false"/>
                <w:color w:val="000000"/>
                <w:sz w:val="19"/>
                <w:szCs w:val="19"/>
              </w:rPr>
              <w:t xml:space="preserve">Procesador / RAM</w:t>
            </w:r>
          </w:p>
        </w:tc>
        <w:tc>
          <w:tcPr>
            <w:tcW w:type="dxa" w:w="6800"/>
            <w:vAlign w:val="center"/>
          </w:tcPr>
          <w:p>
            <w:r>
              <w:rPr>
                <w:b w:val="false"/>
                <w:bCs w:val="false"/>
                <w:color w:val="000000"/>
                <w:sz w:val="19"/>
                <w:szCs w:val="19"/>
              </w:rPr>
              <w:t xml:space="preserve">2 núcleos, 4 GB RAM (suficiente para Apache + MySQL + navegador en simultáneo)</w:t>
            </w:r>
          </w:p>
        </w:tc>
      </w:tr>
      <w:tr>
        <w:tc>
          <w:tcPr>
            <w:tcW w:type="dxa" w:w="3200"/>
            <w:vAlign w:val="center"/>
          </w:tcPr>
          <w:p>
            <w:r>
              <w:rPr>
                <w:b w:val="false"/>
                <w:bCs w:val="false"/>
                <w:color w:val="000000"/>
                <w:sz w:val="19"/>
                <w:szCs w:val="19"/>
              </w:rPr>
              <w:t xml:space="preserve">Espacio en disco</w:t>
            </w:r>
          </w:p>
        </w:tc>
        <w:tc>
          <w:tcPr>
            <w:tcW w:type="dxa" w:w="6800"/>
            <w:vAlign w:val="center"/>
          </w:tcPr>
          <w:p>
            <w:r>
              <w:rPr>
                <w:b w:val="false"/>
                <w:bCs w:val="false"/>
                <w:color w:val="000000"/>
                <w:sz w:val="19"/>
                <w:szCs w:val="19"/>
              </w:rPr>
              <w:t xml:space="preserve">500 MB libres (proyecto + dependencias + documentos de prueba)</w:t>
            </w:r>
          </w:p>
        </w:tc>
      </w:tr>
      <w:tr>
        <w:tc>
          <w:tcPr>
            <w:tcW w:type="dxa" w:w="3200"/>
            <w:vAlign w:val="center"/>
          </w:tcPr>
          <w:p>
            <w:r>
              <w:rPr>
                <w:b w:val="false"/>
                <w:bCs w:val="false"/>
                <w:color w:val="000000"/>
                <w:sz w:val="19"/>
                <w:szCs w:val="19"/>
              </w:rPr>
              <w:t xml:space="preserve">Software base</w:t>
            </w:r>
          </w:p>
        </w:tc>
        <w:tc>
          <w:tcPr>
            <w:tcW w:type="dxa" w:w="6800"/>
            <w:vAlign w:val="center"/>
          </w:tcPr>
          <w:p>
            <w:r>
              <w:rPr>
                <w:b w:val="false"/>
                <w:bCs w:val="false"/>
                <w:color w:val="000000"/>
                <w:sz w:val="19"/>
                <w:szCs w:val="19"/>
              </w:rPr>
              <w:t xml:space="preserve">XAMPP (Apache 2.4+, PHP 8.1+, MySQL 8.x), Composer</w:t>
            </w:r>
          </w:p>
        </w:tc>
      </w:tr>
      <w:tr>
        <w:tc>
          <w:tcPr>
            <w:tcW w:type="dxa" w:w="3200"/>
            <w:vAlign w:val="center"/>
          </w:tcPr>
          <w:p>
            <w:r>
              <w:rPr>
                <w:b w:val="false"/>
                <w:bCs w:val="false"/>
                <w:color w:val="000000"/>
                <w:sz w:val="19"/>
                <w:szCs w:val="19"/>
              </w:rPr>
              <w:t xml:space="preserve">Extensiones PHP requeridas</w:t>
            </w:r>
          </w:p>
        </w:tc>
        <w:tc>
          <w:tcPr>
            <w:tcW w:type="dxa" w:w="6800"/>
            <w:vAlign w:val="center"/>
          </w:tcPr>
          <w:p>
            <w:r>
              <w:rPr>
                <w:b w:val="false"/>
                <w:bCs w:val="false"/>
                <w:color w:val="000000"/>
                <w:sz w:val="19"/>
                <w:szCs w:val="19"/>
              </w:rPr>
              <w:t xml:space="preserve">pdo_mysql, gd, zip, mbstring, fileinfo (las tres primeras deben habilitarse manualmente en algunas instalaciones de XAMPP)</w:t>
            </w:r>
          </w:p>
        </w:tc>
      </w:tr>
      <w:tr>
        <w:tc>
          <w:tcPr>
            <w:tcW w:type="dxa" w:w="3200"/>
            <w:vAlign w:val="center"/>
          </w:tcPr>
          <w:p>
            <w:r>
              <w:rPr>
                <w:b w:val="false"/>
                <w:bCs w:val="false"/>
                <w:color w:val="000000"/>
                <w:sz w:val="19"/>
                <w:szCs w:val="19"/>
              </w:rPr>
              <w:t xml:space="preserve">Conectividad</w:t>
            </w:r>
          </w:p>
        </w:tc>
        <w:tc>
          <w:tcPr>
            <w:tcW w:type="dxa" w:w="6800"/>
            <w:vAlign w:val="center"/>
          </w:tcPr>
          <w:p>
            <w:r>
              <w:rPr>
                <w:b w:val="false"/>
                <w:bCs w:val="false"/>
                <w:color w:val="000000"/>
                <w:sz w:val="19"/>
                <w:szCs w:val="19"/>
              </w:rPr>
              <w:t xml:space="preserve">Acceso a internet saliente hacia la API del proveedor de IA configurado (Anthropic, OpenAI, o compatible como Groq)</w:t>
            </w:r>
          </w:p>
        </w:tc>
      </w:tr>
      <w:tr>
        <w:tc>
          <w:tcPr>
            <w:tcW w:type="dxa" w:w="3200"/>
            <w:vAlign w:val="center"/>
          </w:tcPr>
          <w:p>
            <w:r>
              <w:rPr>
                <w:b w:val="false"/>
                <w:bCs w:val="false"/>
                <w:color w:val="000000"/>
                <w:sz w:val="19"/>
                <w:szCs w:val="19"/>
              </w:rPr>
              <w:t xml:space="preserve">Navegador</w:t>
            </w:r>
          </w:p>
        </w:tc>
        <w:tc>
          <w:tcPr>
            <w:tcW w:type="dxa" w:w="6800"/>
            <w:vAlign w:val="center"/>
          </w:tcPr>
          <w:p>
            <w:r>
              <w:rPr>
                <w:b w:val="false"/>
                <w:bCs w:val="false"/>
                <w:color w:val="000000"/>
                <w:sz w:val="19"/>
                <w:szCs w:val="19"/>
              </w:rPr>
              <w:t xml:space="preserve">Cualquier navegador moderno (Chrome, Edge, Firefox)</w:t>
            </w:r>
          </w:p>
        </w:tc>
      </w:tr>
    </w:tbl>
    <w:p>
      <w:pPr>
        <w:pStyle w:val="Heading2"/>
        <w:spacing w:after="150" w:before="300"/>
      </w:pPr>
      <w:r>
        <w:t xml:space="preserve">5.3 Configuración de base de datos y almacenamiento</w:t>
      </w:r>
    </w:p>
    <w:p>
      <w:pPr>
        <w:pStyle w:val="ListParagraph"/>
        <w:numPr>
          <w:ilvl w:val="0"/>
          <w:numId w:val="1"/>
        </w:numPr>
        <w:spacing w:after="80"/>
      </w:pPr>
      <w:r>
        <w:t xml:space="preserve">Crear la base de datos repositorio_inteligente en MySQL (vía phpMyAdmin o línea de comandos) con cotejamiento utf8mb4.</w:t>
      </w:r>
    </w:p>
    <w:p>
      <w:pPr>
        <w:pStyle w:val="ListParagraph"/>
        <w:numPr>
          <w:ilvl w:val="0"/>
          <w:numId w:val="1"/>
        </w:numPr>
        <w:spacing w:after="80"/>
      </w:pPr>
      <w:r>
        <w:t xml:space="preserve">Importar database/schema.sql, que crea las 7 tablas (usuarios, carpetas, documentos, metadatos_extraidos, embeddings, procesamiento_log, consultas_log) y un usuario administrador de prueba.</w:t>
      </w:r>
    </w:p>
    <w:p>
      <w:pPr>
        <w:pStyle w:val="ListParagraph"/>
        <w:numPr>
          <w:ilvl w:val="0"/>
          <w:numId w:val="1"/>
        </w:numPr>
        <w:spacing w:after="80"/>
      </w:pPr>
      <w:r>
        <w:t xml:space="preserve">El almacenamiento de archivos originales es local, en public/uploads/, con permisos de escritura para el usuario del servidor web. Para un despliegue con mayor volumen, esta carpeta puede migrarse a un almacenamiento externo (S3 o equivalente) cambiando únicamente el servicio de guardado de archivos, sin afectar el resto de la arquitectura.</w:t>
      </w:r>
    </w:p>
    <w:p>
      <w:pPr>
        <w:pStyle w:val="Heading2"/>
        <w:spacing w:after="150" w:before="300"/>
      </w:pPr>
      <w:r>
        <w:t xml:space="preserve">5.4 Configuración de servicios de IA</w:t>
      </w:r>
    </w:p>
    <w:p>
      <w:pPr>
        <w:spacing w:after="150"/>
      </w:pPr>
      <w:r>
        <w:t xml:space="preserve">El sistema soporta cualquier proveedor de IA compatible con el formato de mensajes de Anthropic o con el formato de chat completions de OpenAI (esto último incluye servicios compatibles como Groq). La configuración se hace exclusivamente por variables de entorno, sin tocar código: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b5876" w:val="clear"/>
            <w:vAlign w:val="center"/>
          </w:tcPr>
          <w:p>
            <w:r>
              <w:rPr>
                <w:b/>
                <w:bCs/>
                <w:color w:val="FFFFFF"/>
                <w:sz w:val="19"/>
                <w:szCs w:val="19"/>
              </w:rPr>
              <w:t xml:space="preserve">Variable</w:t>
            </w:r>
          </w:p>
        </w:tc>
        <w:tc>
          <w:tcPr>
            <w:tcW w:type="dxa" w:w="7000"/>
            <w:shd w:fill="2b5876" w:val="clear"/>
            <w:vAlign w:val="center"/>
          </w:tcPr>
          <w:p>
            <w:r>
              <w:rPr>
                <w:b/>
                <w:bCs/>
                <w:color w:val="FFFFFF"/>
                <w:sz w:val="19"/>
                <w:szCs w:val="19"/>
              </w:rPr>
              <w:t xml:space="preserve">Propósito</w:t>
            </w:r>
          </w:p>
        </w:tc>
      </w:tr>
      <w:tr>
        <w:tc>
          <w:tcPr>
            <w:tcW w:type="dxa" w:w="3000"/>
            <w:vAlign w:val="center"/>
          </w:tcPr>
          <w:p>
            <w:r>
              <w:rPr>
                <w:b w:val="false"/>
                <w:bCs w:val="false"/>
                <w:color w:val="000000"/>
                <w:sz w:val="19"/>
                <w:szCs w:val="19"/>
              </w:rPr>
              <w:t xml:space="preserve">IA_PROVEEDOR</w:t>
            </w:r>
          </w:p>
        </w:tc>
        <w:tc>
          <w:tcPr>
            <w:tcW w:type="dxa" w:w="7000"/>
            <w:vAlign w:val="center"/>
          </w:tcPr>
          <w:p>
            <w:r>
              <w:rPr>
                <w:b w:val="false"/>
                <w:bCs w:val="false"/>
                <w:color w:val="000000"/>
                <w:sz w:val="19"/>
                <w:szCs w:val="19"/>
              </w:rPr>
              <w:t xml:space="preserve">"anthropic" u "openai" — determina el formato de solicitud/respuesta a usar</w:t>
            </w:r>
          </w:p>
        </w:tc>
      </w:tr>
      <w:tr>
        <w:tc>
          <w:tcPr>
            <w:tcW w:type="dxa" w:w="3000"/>
            <w:vAlign w:val="center"/>
          </w:tcPr>
          <w:p>
            <w:r>
              <w:rPr>
                <w:b w:val="false"/>
                <w:bCs w:val="false"/>
                <w:color w:val="000000"/>
                <w:sz w:val="19"/>
                <w:szCs w:val="19"/>
              </w:rPr>
              <w:t xml:space="preserve">IA_API_KEY</w:t>
            </w:r>
          </w:p>
        </w:tc>
        <w:tc>
          <w:tcPr>
            <w:tcW w:type="dxa" w:w="7000"/>
            <w:vAlign w:val="center"/>
          </w:tcPr>
          <w:p>
            <w:r>
              <w:rPr>
                <w:b w:val="false"/>
                <w:bCs w:val="false"/>
                <w:color w:val="000000"/>
                <w:sz w:val="19"/>
                <w:szCs w:val="19"/>
              </w:rPr>
              <w:t xml:space="preserve">Clave de autenticación del proveedor elegido</w:t>
            </w:r>
          </w:p>
        </w:tc>
      </w:tr>
      <w:tr>
        <w:tc>
          <w:tcPr>
            <w:tcW w:type="dxa" w:w="3000"/>
            <w:vAlign w:val="center"/>
          </w:tcPr>
          <w:p>
            <w:r>
              <w:rPr>
                <w:b w:val="false"/>
                <w:bCs w:val="false"/>
                <w:color w:val="000000"/>
                <w:sz w:val="19"/>
                <w:szCs w:val="19"/>
              </w:rPr>
              <w:t xml:space="preserve">IA_MODEL</w:t>
            </w:r>
          </w:p>
        </w:tc>
        <w:tc>
          <w:tcPr>
            <w:tcW w:type="dxa" w:w="7000"/>
            <w:vAlign w:val="center"/>
          </w:tcPr>
          <w:p>
            <w:r>
              <w:rPr>
                <w:b w:val="false"/>
                <w:bCs w:val="false"/>
                <w:color w:val="000000"/>
                <w:sz w:val="19"/>
                <w:szCs w:val="19"/>
              </w:rPr>
              <w:t xml:space="preserve">Identificador exacto del modelo (ej. claude-sonnet-4-6, openai/gpt-oss-120b)</w:t>
            </w:r>
          </w:p>
        </w:tc>
      </w:tr>
      <w:tr>
        <w:tc>
          <w:tcPr>
            <w:tcW w:type="dxa" w:w="3000"/>
            <w:vAlign w:val="center"/>
          </w:tcPr>
          <w:p>
            <w:r>
              <w:rPr>
                <w:b w:val="false"/>
                <w:bCs w:val="false"/>
                <w:color w:val="000000"/>
                <w:sz w:val="19"/>
                <w:szCs w:val="19"/>
              </w:rPr>
              <w:t xml:space="preserve">IA_ENDPOINT_ANTHROPIC / IA_ENDPOINT_OPENAI</w:t>
            </w:r>
          </w:p>
        </w:tc>
        <w:tc>
          <w:tcPr>
            <w:tcW w:type="dxa" w:w="7000"/>
            <w:vAlign w:val="center"/>
          </w:tcPr>
          <w:p>
            <w:r>
              <w:rPr>
                <w:b w:val="false"/>
                <w:bCs w:val="false"/>
                <w:color w:val="000000"/>
                <w:sz w:val="19"/>
                <w:szCs w:val="19"/>
              </w:rPr>
              <w:t xml:space="preserve">Permiten apuntar a un endpoint alternativo compatible (ej. Groq), o a un servicio simulado durante pruebas</w:t>
            </w:r>
          </w:p>
        </w:tc>
      </w:tr>
      <w:tr>
        <w:tc>
          <w:tcPr>
            <w:tcW w:type="dxa" w:w="3000"/>
            <w:vAlign w:val="center"/>
          </w:tcPr>
          <w:p>
            <w:r>
              <w:rPr>
                <w:b w:val="false"/>
                <w:bCs w:val="false"/>
                <w:color w:val="000000"/>
                <w:sz w:val="19"/>
                <w:szCs w:val="19"/>
              </w:rPr>
              <w:t xml:space="preserve">EMBEDDINGS_API_KEY</w:t>
            </w:r>
          </w:p>
        </w:tc>
        <w:tc>
          <w:tcPr>
            <w:tcW w:type="dxa" w:w="7000"/>
            <w:vAlign w:val="center"/>
          </w:tcPr>
          <w:p>
            <w:r>
              <w:rPr>
                <w:b w:val="false"/>
                <w:bCs w:val="false"/>
                <w:color w:val="000000"/>
                <w:sz w:val="19"/>
                <w:szCs w:val="19"/>
              </w:rPr>
              <w:t xml:space="preserve">Opcional. Si se deja vacía, el sistema usa un embedding local simplificado para que la búsqueda semántica funcione sin costo</w:t>
            </w:r>
          </w:p>
        </w:tc>
      </w:tr>
    </w:tbl>
    <w:p>
      <w:pPr>
        <w:pStyle w:val="Heading2"/>
        <w:spacing w:after="150" w:before="300"/>
      </w:pPr>
      <w:r>
        <w:t xml:space="preserve">5.5 Variables de entorno y configuración segura</w:t>
      </w:r>
    </w:p>
    <w:p>
      <w:pPr>
        <w:spacing w:after="150"/>
      </w:pPr>
      <w:r>
        <w:t xml:space="preserve">Todas las credenciales viven exclusivamente en el archivo .env, que nunca se versiona (está excluido en .gitignore) ni se publica en el repositorio Git, cumpliendo la condición académica del proyecto de no exponer API keys ni secretos. El archivo .env.example documenta cada variable requerida sin exponer valores reales.</w:t>
      </w:r>
    </w:p>
    <w:p>
      <w:pPr>
        <w:pStyle w:val="Heading2"/>
        <w:spacing w:after="150" w:before="300"/>
      </w:pPr>
      <w:r>
        <w:t xml:space="preserve">5.6 Proceso de instalación</w:t>
      </w:r>
    </w:p>
    <w:p>
      <w:pPr>
        <w:pStyle w:val="ListParagraph"/>
        <w:numPr>
          <w:ilvl w:val="0"/>
          <w:numId w:val="1"/>
        </w:numPr>
        <w:spacing w:after="80"/>
      </w:pPr>
      <w:r>
        <w:t xml:space="preserve">1. Instalar XAMPP y Composer.</w:t>
      </w:r>
    </w:p>
    <w:p>
      <w:pPr>
        <w:pStyle w:val="ListParagraph"/>
        <w:numPr>
          <w:ilvl w:val="0"/>
          <w:numId w:val="1"/>
        </w:numPr>
        <w:spacing w:after="80"/>
      </w:pPr>
      <w:r>
        <w:t xml:space="preserve">2. Copiar el proyecto dentro de htdocs.</w:t>
      </w:r>
    </w:p>
    <w:p>
      <w:pPr>
        <w:pStyle w:val="ListParagraph"/>
        <w:numPr>
          <w:ilvl w:val="0"/>
          <w:numId w:val="1"/>
        </w:numPr>
        <w:spacing w:after="80"/>
      </w:pPr>
      <w:r>
        <w:t xml:space="preserve">3. Ejecutar composer install (requiere las extensiones PHP gd y zip habilitadas).</w:t>
      </w:r>
    </w:p>
    <w:p>
      <w:pPr>
        <w:pStyle w:val="ListParagraph"/>
        <w:numPr>
          <w:ilvl w:val="0"/>
          <w:numId w:val="1"/>
        </w:numPr>
        <w:spacing w:after="80"/>
      </w:pPr>
      <w:r>
        <w:t xml:space="preserve">4. Copiar .env.example a .env y completar las credenciales de base de datos y del proveedor de IA.</w:t>
      </w:r>
    </w:p>
    <w:p>
      <w:pPr>
        <w:pStyle w:val="ListParagraph"/>
        <w:numPr>
          <w:ilvl w:val="0"/>
          <w:numId w:val="1"/>
        </w:numPr>
        <w:spacing w:after="80"/>
      </w:pPr>
      <w:r>
        <w:t xml:space="preserve">5. Importar database/schema.sql desde phpMyAdmin.</w:t>
      </w:r>
    </w:p>
    <w:p>
      <w:pPr>
        <w:pStyle w:val="ListParagraph"/>
        <w:numPr>
          <w:ilvl w:val="0"/>
          <w:numId w:val="1"/>
        </w:numPr>
        <w:spacing w:after="80"/>
      </w:pPr>
      <w:r>
        <w:t xml:space="preserve">6. Iniciar Apache y MySQL desde el panel de XAMPP.</w:t>
      </w:r>
    </w:p>
    <w:p>
      <w:pPr>
        <w:spacing w:after="150"/>
      </w:pPr>
      <w:r>
        <w:t xml:space="preserve">El detalle paso a paso con solución de problemas comunes está en el Manual Técnico/Administración (Entregable 07).</w:t>
      </w:r>
    </w:p>
    <w:p>
      <w:pPr>
        <w:pStyle w:val="Heading2"/>
        <w:spacing w:after="150" w:before="300"/>
      </w:pPr>
      <w:r>
        <w:t xml:space="preserve">5.7 Proceso de despliegue</w:t>
      </w:r>
    </w:p>
    <w:p>
      <w:pPr>
        <w:spacing w:after="150"/>
      </w:pPr>
      <w:r>
        <w:t xml:space="preserve">Para este proyecto académico, el despliegue de referencia es local (XAMPP), reproducible por cualquier evaluador siguiendo el proceso de instalación. El mismo código es compatible con un hosting compartido tradicional (cPanel con PHP/MySQL) sin cambios, siempre que se puedan configurar variables de entorno o subir un archivo .env, y que el hosting permita conexiones salientes HTTPS hacia la API de IA.</w:t>
      </w:r>
    </w:p>
    <w:p>
      <w:pPr>
        <w:pStyle w:val="Heading2"/>
        <w:spacing w:after="150" w:before="300"/>
      </w:pPr>
      <w:r>
        <w:t xml:space="preserve">5.8 URL o mecanismo de acceso a la aplicación</w:t>
      </w:r>
    </w:p>
    <w:p>
      <w:pPr>
        <w:spacing w:after="150"/>
      </w:pPr>
      <w:r>
        <w:t xml:space="preserve">En el entorno de sustentación, la aplicación se accede en: http://localhost/repositorio-inteligente/public/ (ajustar el nombre de carpeta si se instaló con otro nombre). No se dispone de una URL pública permanente, dado el alcance académico del proyecto; el mecanismo de acceso reproducible es el proceso de instalación local documentado.</w:t>
      </w:r>
    </w:p>
    <w:p>
      <w:pPr>
        <w:pStyle w:val="Heading2"/>
        <w:spacing w:after="150" w:before="300"/>
      </w:pPr>
      <w:r>
        <w:t xml:space="preserve">5.9 Manual de usuario y manual de administración</w:t>
      </w:r>
    </w:p>
    <w:p>
      <w:pPr>
        <w:spacing w:after="150"/>
      </w:pPr>
      <w:r>
        <w:t xml:space="preserve">Se entregan como documentos independientes: Entregable 06 (Manual de Usuario) y Entregable 07 (Manual Técnico/Administración).</w:t>
      </w:r>
    </w:p>
    <w:p>
      <w:pPr>
        <w:pStyle w:val="Heading2"/>
        <w:spacing w:after="150" w:before="300"/>
      </w:pPr>
      <w:r>
        <w:t xml:space="preserve">5.10 Estrategia básica de respaldo y recuperación</w:t>
      </w:r>
    </w:p>
    <w:p>
      <w:pPr>
        <w:pStyle w:val="ListParagraph"/>
        <w:numPr>
          <w:ilvl w:val="0"/>
          <w:numId w:val="1"/>
        </w:numPr>
        <w:spacing w:after="80"/>
      </w:pPr>
      <w:r>
        <w:t xml:space="preserve">Base de datos: exportar periódicamente la base repositorio_inteligente desde phpMyAdmin (Exportar &gt; formato SQL) y conservar el archivo fuera del servidor.</w:t>
      </w:r>
    </w:p>
    <w:p>
      <w:pPr>
        <w:pStyle w:val="ListParagraph"/>
        <w:numPr>
          <w:ilvl w:val="0"/>
          <w:numId w:val="1"/>
        </w:numPr>
        <w:spacing w:after="80"/>
      </w:pPr>
      <w:r>
        <w:t xml:space="preserve">Archivos originales: respaldar la carpeta public/uploads/ junto con el respaldo de base de datos, ya que la ruta de cada archivo se referencia desde la tabla documentos — un respaldo de uno sin el otro deja referencias huérfanas.</w:t>
      </w:r>
    </w:p>
    <w:p>
      <w:pPr>
        <w:pStyle w:val="ListParagraph"/>
        <w:numPr>
          <w:ilvl w:val="0"/>
          <w:numId w:val="1"/>
        </w:numPr>
        <w:spacing w:after="80"/>
      </w:pPr>
      <w:r>
        <w:t xml:space="preserve">Recuperación: restaurar primero el dump SQL en una base de datos vacía, luego restaurar la carpeta uploads/ en la misma ruta relativa (public/uploads/), y verificar con un login de prueba.</w:t>
      </w:r>
    </w:p>
    <w:p>
      <w:pPr>
        <w:pStyle w:val="ListParagraph"/>
        <w:numPr>
          <w:ilvl w:val="0"/>
          <w:numId w:val="1"/>
        </w:numPr>
        <w:spacing w:after="80"/>
      </w:pPr>
      <w:r>
        <w:t xml:space="preserve">Credenciales: el archivo .env no forma parte del respaldo de código (por seguridad); debe resguardarse aparte, en un gestor de contraseñas o similar.</w:t>
      </w:r>
    </w:p>
    <w:p>
      <w:pPr>
        <w:pStyle w:val="Heading2"/>
        <w:spacing w:after="150" w:before="300"/>
      </w:pPr>
      <w:r>
        <w:t xml:space="preserve">5.11 Plan básico de mantenimiento</w:t>
      </w:r>
    </w:p>
    <w:p>
      <w:pPr>
        <w:pStyle w:val="ListParagraph"/>
        <w:numPr>
          <w:ilvl w:val="0"/>
          <w:numId w:val="1"/>
        </w:numPr>
        <w:spacing w:after="80"/>
      </w:pPr>
      <w:r>
        <w:t xml:space="preserve">Revisar periódicamente el registro de errores (procesamiento_log) desde el dashboard para detectar fallos recurrentes de la API de IA (ej. cambios de nombre de modelo por parte del proveedor, como ocurrió durante el desarrollo de este proyecto).</w:t>
      </w:r>
    </w:p>
    <w:p>
      <w:pPr>
        <w:pStyle w:val="ListParagraph"/>
        <w:numPr>
          <w:ilvl w:val="0"/>
          <w:numId w:val="1"/>
        </w:numPr>
        <w:spacing w:after="80"/>
      </w:pPr>
      <w:r>
        <w:t xml:space="preserve">Actualizar dependencias de Composer (smalot/pdfparser, phpoffice/phpword, vlucas/phpdotenv) periódicamente para incorporar parches de seguridad.</w:t>
      </w:r>
    </w:p>
    <w:p>
      <w:pPr>
        <w:pStyle w:val="ListParagraph"/>
        <w:numPr>
          <w:ilvl w:val="0"/>
          <w:numId w:val="1"/>
        </w:numPr>
        <w:spacing w:after="80"/>
      </w:pPr>
      <w:r>
        <w:t xml:space="preserve">Monitorear el espacio en disco de public/uploads/, ya que crece con cada documento cargado.</w:t>
      </w:r>
    </w:p>
    <w:p>
      <w:pPr>
        <w:pStyle w:val="ListParagraph"/>
        <w:numPr>
          <w:ilvl w:val="0"/>
          <w:numId w:val="1"/>
        </w:numPr>
        <w:spacing w:after="80"/>
      </w:pPr>
      <w:r>
        <w:t xml:space="preserve">Rotar la API key del proveedor de IA si se sospecha exposición (por ejemplo, si quedó escrita por error en un chat, commit, o documento compartido).</w:t>
      </w:r>
    </w:p>
    <w:p>
      <w:pPr>
        <w:pStyle w:val="Heading2"/>
        <w:spacing w:after="150" w:before="300"/>
      </w:pPr>
      <w:r>
        <w:t xml:space="preserve">5.12 Evidencias del sistema funcionando</w:t>
      </w:r>
    </w:p>
    <w:p>
      <w:pPr>
        <w:spacing w:after="150"/>
      </w:pPr>
      <w:r>
        <w:t xml:space="preserve">Las evidencias visuales del sistema en ejecución (login, explorador de repositorio, procesamiento de IA, dashboard y chat de consulta) se documentan en el Entregable 04 (Plan y Evidencias de Pruebas), sección 4.4, para evitar duplicar contenido entre entregables.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05 - Implementación y Despliegue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876" w:sz="6" w:space="4"/>
      </w:pBdr>
      <w:spacing w:after="200" w:before="360"/>
    </w:pPr>
    <w:rPr>
      <w:rFonts w:ascii="Calibri" w:cs="Calibri" w:eastAsia="Calibri" w:hAnsi="Calibri"/>
      <w:b/>
      <w:bCs/>
      <w:color w:val="2b5876"/>
      <w:sz w:val="30"/>
      <w:szCs w:val="30"/>
    </w:rPr>
  </w:style>
  <w:style w:type="paragraph" w:styleId="Heading2">
    <w:name w:val="Heading 2"/>
    <w:basedOn w:val="Normal"/>
    <w:next w:val="Normal"/>
    <w:qFormat/>
    <w:pPr>
      <w:spacing w:after="140" w:before="280"/>
    </w:pPr>
    <w:rPr>
      <w:rFonts w:ascii="Calibri" w:cs="Calibri" w:eastAsia="Calibri" w:hAnsi="Calibri"/>
      <w:b/>
      <w:bCs/>
      <w:color w:val="2b5876"/>
      <w:sz w:val="25"/>
      <w:szCs w:val="25"/>
    </w:rPr>
  </w:style>
  <w:style w:type="paragraph" w:styleId="Heading3">
    <w:name w:val="Heading 3"/>
    <w:basedOn w:val="Normal"/>
    <w:next w:val="Normal"/>
    <w:qFormat/>
    <w:pPr>
      <w:spacing w:after="100" w:before="200"/>
    </w:pPr>
    <w:rPr>
      <w:rFonts w:ascii="Calibri" w:cs="Calibri" w:eastAsia="Calibri" w:hAnsi="Calibri"/>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2026-09-09T19:05:07.226Z</dcterms:created>
  <dcterms:modified xsi:type="dcterms:W3CDTF">2026-09-09T19:05:07.226Z</dcterms:modified>
</cp:coreProperties>
</file>

<file path=docProps/custom.xml><?xml version="1.0" encoding="utf-8"?>
<Properties xmlns="http://schemas.openxmlformats.org/officeDocument/2006/custom-properties" xmlns:vt="http://schemas.openxmlformats.org/officeDocument/2006/docPropsVTypes"/>
</file>