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5276"/>
          <w:sz w:val="48"/>
          <w:szCs w:val="48"/>
        </w:rPr>
        <w:t xml:space="preserve">PLATAFORMA DE GESTIÓN DE COMBUSTIBLES</w:t>
      </w:r>
    </w:p>
    <w:p>
      <w:pPr>
        <w:spacing w:before="0" w:after="100"/>
        <w:jc w:val="center"/>
      </w:pPr>
      <w:r>
        <w:rPr>
          <w:rFonts w:ascii="Arial" w:cs="Arial" w:eastAsia="Arial" w:hAnsi="Arial"/>
          <w:color w:val="D35400"/>
          <w:sz w:val="28"/>
          <w:szCs w:val="28"/>
        </w:rPr>
        <w:t xml:space="preserve">Documento de Arquitectura del Sistema — Entrega 3</w:t>
      </w:r>
    </w:p>
    <w:p>
      <w:pPr>
        <w:spacing w:before="0" w:after="60"/>
        <w:jc w:val="center"/>
      </w:pPr>
      <w:r>
        <w:rPr>
          <w:rFonts w:ascii="Arial" w:cs="Arial" w:eastAsia="Arial" w:hAnsi="Arial"/>
          <w:color w:val="555555"/>
          <w:sz w:val="24"/>
          <w:szCs w:val="24"/>
        </w:rPr>
        <w:t xml:space="preserve">Motivadores de Negocio · Escenarios de Calidad</w:t>
      </w:r>
    </w:p>
    <w:p>
      <w:pPr>
        <w:spacing w:before="80" w:after="40"/>
        <w:jc w:val="center"/>
      </w:pPr>
      <w:r>
        <w:rPr>
          <w:rFonts w:ascii="Arial" w:cs="Arial" w:eastAsia="Arial" w:hAnsi="Arial"/>
          <w:sz w:val="22"/>
          <w:szCs w:val="22"/>
        </w:rPr>
        <w:t xml:space="preserve">Juanita Campos Cardenas  |  David Santiago Chacón Herrera</w:t>
      </w:r>
    </w:p>
    <w:p>
      <w:pPr>
        <w:spacing w:before="20" w:after="600"/>
        <w:jc w:val="center"/>
      </w:pPr>
      <w:r>
        <w:rPr>
          <w:rFonts w:ascii="Arial" w:cs="Arial" w:eastAsia="Arial" w:hAnsi="Arial"/>
          <w:color w:val="777777"/>
          <w:sz w:val="20"/>
          <w:szCs w:val="20"/>
        </w:rPr>
        <w:t xml:space="preserve">Curso: Arquitectura de Software  |  Universidad Piloto de Colombia  |  2025</w:t>
      </w:r>
    </w:p>
    <w:p>
      <w:pPr>
        <w:spacing w:before="400" w:after="160"/>
      </w:pPr>
      <w:r>
        <w:rPr>
          <w:rFonts w:ascii="Arial" w:cs="Arial" w:eastAsia="Arial" w:hAnsi="Arial"/>
          <w:b/>
          <w:bCs/>
          <w:color w:val="1A5276"/>
          <w:sz w:val="32"/>
          <w:szCs w:val="32"/>
        </w:rPr>
        <w:t xml:space="preserve">SECCIÓN 3.1 — MOTIVADORES DE NEGOCIO</w:t>
      </w:r>
    </w:p>
    <w:p>
      <w:pPr>
        <w:spacing w:before="60" w:after="60"/>
      </w:pPr>
      <w:r>
        <w:rPr>
          <w:rFonts w:ascii="Arial" w:cs="Arial" w:eastAsia="Arial" w:hAnsi="Arial"/>
          <w:sz w:val="20"/>
          <w:szCs w:val="20"/>
        </w:rPr>
        <w:t xml:space="preserve">Los motivadores de negocio reflejan los objetivos estratégicos que la organización busca alcanzar mediante la Plataforma de Gestión de Combustibles, alineados con el Decreto 1428 de 2025 y las capacidades tecnológicas del sistema (Java/Spring Boot, Android Studio, Docker/Kubernetes, Data Lake). Se documentan cuatro motivadores: dos definidos por Juanita Campos Cardenas y dos por David Santiago Chacón Herrera.</w:t>
      </w:r>
    </w:p>
    <w:p>
      <w:pPr>
        <w:spacing w:before="300" w:after="120"/>
      </w:pPr>
      <w:r>
        <w:rPr>
          <w:rFonts w:ascii="Arial" w:cs="Arial" w:eastAsia="Arial" w:hAnsi="Arial"/>
          <w:b/>
          <w:bCs/>
          <w:color w:val="D35400"/>
          <w:sz w:val="26"/>
          <w:szCs w:val="26"/>
        </w:rPr>
        <w:t xml:space="preserve">BM-01 — Incrementar el cumplimiento normativo en la aplicación de precios diferenciales de ACPM en estaciones de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MOTIVADOR DE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ID Motivador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BM-01</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Nombre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Incrementar el cumplimiento normativo en la aplicación de precios diferenciales de ACPM en estaciones de servicio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Tipo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Indispensable (Implementación obligatoria)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Prioridad</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Esencial</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Actores involucrados</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Administrador del Sistema, Autoridad Reguladora (MinMinas), Estaciones de Servicio</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DESCRIPCIÓN DEL MOTIVADOR DE NEGOCIO</w:t>
            </w:r>
          </w:p>
        </w:tc>
      </w:tr>
      <w:tr>
        <w:tc>
          <w:tcPr>
            <w:tcW w:type="dxa" w:w="9360"/>
            <w:gridSpan w:val="2"/>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Garantizar que el 100% de las transacciones de venta de ACPM se procesen con el precio correcto según la categoría del vehículo (particular vs. transporte público/carga), eliminando el incumplimiento del Decreto 1428 de 2025. Mediante la implementación de un motor de reglas configurable en Java/Spring Boot que valide automáticamente la categoría del vehículo y aplique el precio diferencial correspondiente antes de confirmar cada transacción en la plataforma.</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MEDIDA DEL IMPACTO</w:t>
            </w:r>
          </w:p>
        </w:tc>
      </w:tr>
      <w:tr>
        <w:tc>
          <w:tcPr>
            <w:tcW w:type="dxa" w:w="9360"/>
            <w:gridSpan w:val="2"/>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tcPr>
          <w:p>
            <w:r>
              <w:rPr>
                <w:rFonts w:ascii="Arial" w:cs="Arial" w:eastAsia="Arial" w:hAnsi="Arial"/>
                <w:sz w:val="20"/>
                <w:szCs w:val="20"/>
              </w:rPr>
              <w:t xml:space="preserve">Porcentaje de transacciones procesadas con precio correcto según el Decreto 1428/2025, medido mensualmente por el módulo de auditoría de la plataforma.</w:t>
            </w:r>
          </w:p>
        </w:tc>
      </w:tr>
      <w:tr>
        <w:tc>
          <w:tcPr>
            <w:tcW w:type="dxa" w:w="14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Rango</w:t>
            </w:r>
          </w:p>
        </w:tc>
        <w:tc>
          <w:tcPr>
            <w:tcW w:type="dxa" w:w="21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Mínima</w:t>
            </w:r>
          </w:p>
        </w:tc>
        <w:tc>
          <w:tcPr>
            <w:tcW w:type="dxa" w:w="328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Máxima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Ninguno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60% de transacciones conformes</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Bajo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60%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75% de transacciones conformes</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Moderado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75%</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90% de transacciones conformes</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99% de transacciones conformes</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Muy 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99%</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100% de transacciones conformes — nivel exigido por normativa</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ASOCIACIÓN DEL MOTIVADOR CON EL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Definido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Juanita Campos Cardenas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Ejecutado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Equipo de Desarrollo — Módulo Motor de Reglas / Administrador del Sistema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Ubicación en el portafolio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Subdirección de Cumplimiento Regulatorio — Plataforma de Gestión de Combustibles</w:t>
            </w:r>
          </w:p>
        </w:tc>
      </w:tr>
    </w:tbl>
    <w:p>
      <w:pPr>
        <w:spacing w:before="400"/>
      </w:pPr>
    </w:p>
    <w:p>
      <w:pPr>
        <w:spacing w:before="300" w:after="120"/>
      </w:pPr>
      <w:r>
        <w:rPr>
          <w:rFonts w:ascii="Arial" w:cs="Arial" w:eastAsia="Arial" w:hAnsi="Arial"/>
          <w:b/>
          <w:bCs/>
          <w:color w:val="D35400"/>
          <w:sz w:val="26"/>
          <w:szCs w:val="26"/>
        </w:rPr>
        <w:t xml:space="preserve">BM-02 — Reducir las pérdidas económicas por inconsistencias de inventario de combustibles en estaciones de servicio afiliadas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MOTIVADOR DE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ID Motivador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BM-02</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Nombre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Reducir las pérdidas económicas por inconsistencias de inventario de combustibles en estaciones de servicio afiliadas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Tipo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Indispensable (Implementación obligatoria)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Prioridad</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Esencial</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Actores involucrados</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Estaciones de Servicio, Distribuidores Mayoristas, Administrador del Sistema</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DESCRIPCIÓN DEL MOTIVADOR DE NEGOCIO</w:t>
            </w:r>
          </w:p>
        </w:tc>
      </w:tr>
      <w:tr>
        <w:tc>
          <w:tcPr>
            <w:tcW w:type="dxa" w:w="9360"/>
            <w:gridSpan w:val="2"/>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Disminuir en un 90% las discrepancias entre el inventario teórico y el inventario físico de combustible registradas en las estaciones de servicio afiliadas, reduciendo pérdidas por fugas, mediciones erróneas o fraude. Mediante el desarrollo de un módulo de control de inventarios integrado con la base de datos SQLite en el dispositivo móvil (Android Studio) y sincronización periódica con el backend en Java/Spring Boot, que compare registros de entradas y salidas con los reportes manuales de los operadores, generando alertas automáticas ante diferencias superiores al 2%.</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MEDIDA DEL IMPACTO</w:t>
            </w:r>
          </w:p>
        </w:tc>
      </w:tr>
      <w:tr>
        <w:tc>
          <w:tcPr>
            <w:tcW w:type="dxa" w:w="9360"/>
            <w:gridSpan w:val="2"/>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tcPr>
          <w:p>
            <w:r>
              <w:rPr>
                <w:rFonts w:ascii="Arial" w:cs="Arial" w:eastAsia="Arial" w:hAnsi="Arial"/>
                <w:sz w:val="20"/>
                <w:szCs w:val="20"/>
              </w:rPr>
              <w:t xml:space="preserve">Porcentaje de reducción en el número mensual de alertas de discrepancia de inventario respecto a la línea base registrada antes de la implementación del sistema.</w:t>
            </w:r>
          </w:p>
        </w:tc>
      </w:tr>
      <w:tr>
        <w:tc>
          <w:tcPr>
            <w:tcW w:type="dxa" w:w="14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Rango</w:t>
            </w:r>
          </w:p>
        </w:tc>
        <w:tc>
          <w:tcPr>
            <w:tcW w:type="dxa" w:w="21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Mínima</w:t>
            </w:r>
          </w:p>
        </w:tc>
        <w:tc>
          <w:tcPr>
            <w:tcW w:type="dxa" w:w="328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Máxima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Ninguno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10% de reducción</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Bajo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40% de reducción</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Moderado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70% de reducción</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90% de reducción</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Muy 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100% de reducción — objetivo del sistema</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ASOCIACIÓN DEL MOTIVADOR CON EL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Definido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Juanita Campos Cardenas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Ejecutado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Equipo de Desarrollo — Módulo de Inventarios / Estaciones de Servicio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Ubicación en el portafolio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Subdirección de Operaciones y Logística — Plataforma de Gestión de Combustibles</w:t>
            </w:r>
          </w:p>
        </w:tc>
      </w:tr>
    </w:tbl>
    <w:p>
      <w:pPr>
        <w:spacing w:before="400"/>
      </w:pPr>
    </w:p>
    <w:p>
      <w:pPr>
        <w:spacing w:before="300" w:after="120"/>
      </w:pPr>
      <w:r>
        <w:rPr>
          <w:rFonts w:ascii="Arial" w:cs="Arial" w:eastAsia="Arial" w:hAnsi="Arial"/>
          <w:b/>
          <w:bCs/>
          <w:color w:val="D35400"/>
          <w:sz w:val="26"/>
          <w:szCs w:val="26"/>
        </w:rPr>
        <w:t xml:space="preserve">BM-03 — Automatizar la generación de reportes regulatorios para el Ministerio de Minas y Energía en tiempos normativamente exigidos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MOTIVADOR DE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ID Motivador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BM-03</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Nombre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Automatizar la generación de reportes regulatorios para el Ministerio de Minas y Energía en tiempos normativamente exigidos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Tipo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Indispensable (Implementación obligatoria)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Prioridad</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Esencial</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Actores involucrados</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Autoridad Reguladora (MinMinas), Administrador del Sistema, Estaciones de Servicio, Distribuidores Mayoristas</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DESCRIPCIÓN DEL MOTIVADOR DE NEGOCIO</w:t>
            </w:r>
          </w:p>
        </w:tc>
      </w:tr>
      <w:tr>
        <w:tc>
          <w:tcPr>
            <w:tcW w:type="dxa" w:w="9360"/>
            <w:gridSpan w:val="2"/>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Reducir en un 80% el tiempo de preparación de reportes regulatorios requeridos por el Ministerio de Minas y Energía, eliminando procesos manuales propensos a errores e incumplimientos de plazo. Mediante el desarrollo de un servicio de generación automática de reportes en Java/Spring Boot que consolide datos del Data Lake, los estructure en los formatos PDF y Excel exigidos por la Resolución 40200/2025, y los ponga disponibles para descarga dentro de las primeras 24 horas del mes siguiente al periodo reportado.</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MEDIDA DEL IMPACTO</w:t>
            </w:r>
          </w:p>
        </w:tc>
      </w:tr>
      <w:tr>
        <w:tc>
          <w:tcPr>
            <w:tcW w:type="dxa" w:w="9360"/>
            <w:gridSpan w:val="2"/>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tcPr>
          <w:p>
            <w:r>
              <w:rPr>
                <w:rFonts w:ascii="Arial" w:cs="Arial" w:eastAsia="Arial" w:hAnsi="Arial"/>
                <w:sz w:val="20"/>
                <w:szCs w:val="20"/>
              </w:rPr>
              <w:t xml:space="preserve">Tiempo promedio (en horas) requerido para tener el reporte regulatorio mensual disponible para descarga, desde el cierre del período.</w:t>
            </w:r>
          </w:p>
        </w:tc>
      </w:tr>
      <w:tr>
        <w:tc>
          <w:tcPr>
            <w:tcW w:type="dxa" w:w="14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Rango</w:t>
            </w:r>
          </w:p>
        </w:tc>
        <w:tc>
          <w:tcPr>
            <w:tcW w:type="dxa" w:w="21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Mínima</w:t>
            </w:r>
          </w:p>
        </w:tc>
        <w:tc>
          <w:tcPr>
            <w:tcW w:type="dxa" w:w="328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Máxima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Ninguno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&gt; 120 h</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Sin mejora respecto al proceso manual</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Bajo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72 h</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120 h — mejora parcial</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Moderado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48 h</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72 h — mejora moderada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24 h</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48 h — cumplimiento normativo aceptable</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Muy 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24 h</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Cumplimiento pleno de la Resolución 40200/2025</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ASOCIACIÓN DEL MOTIVADOR CON EL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Definido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David Santiago Chacón Herrera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Ejecutado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Equipo de Desarrollo — Módulo de Reportes / Autoridad Reguladora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Ubicación en el portafolio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Subdirección de Cumplimiento Regulatorio — Plataforma de Gestión de Combustibles</w:t>
            </w:r>
          </w:p>
        </w:tc>
      </w:tr>
    </w:tbl>
    <w:p>
      <w:pPr>
        <w:spacing w:before="400"/>
      </w:pPr>
    </w:p>
    <w:p>
      <w:pPr>
        <w:spacing w:before="300" w:after="120"/>
      </w:pPr>
      <w:r>
        <w:rPr>
          <w:rFonts w:ascii="Arial" w:cs="Arial" w:eastAsia="Arial" w:hAnsi="Arial"/>
          <w:b/>
          <w:bCs/>
          <w:color w:val="D35400"/>
          <w:sz w:val="26"/>
          <w:szCs w:val="26"/>
        </w:rPr>
        <w:t xml:space="preserve">BM-04 — Mejorar la trazabilidad operacional en la cadena de distribución de combustibles a nivel nacional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MOTIVADOR DE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ID Motivador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BM-04</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Nombre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Mejorar la trazabilidad operacional en la cadena de distribución de combustibles a nivel nacional</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Tipo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Indispensable (Implementación obligatoria)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Prioridad</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Alta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Actores involucrados</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Distribuidores Mayoristas, Administrador del Sistema, Autoridad Reguladora (MinMinas)</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DESCRIPCIÓN DEL MOTIVADOR DE NEGOCIO</w:t>
            </w:r>
          </w:p>
        </w:tc>
      </w:tr>
      <w:tr>
        <w:tc>
          <w:tcPr>
            <w:tcW w:type="dxa" w:w="9360"/>
            <w:gridSpan w:val="2"/>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Registrar de forma íntegra y auditable el 100% de las operaciones de entrega de combustible (origen, vehículo cisterna, volumen, destino, hora de despacho), garantizando visibilidad en tiempo real de la cadena de distribución para todos los actores autorizados. Mediante la implementación de un módulo de registro de entregas en la aplicación Android Studio que capture los datos de cada despacho, los transmita vía API REST al backend Java/Spring Boot, los almacene en la base de datos central con integridad garantizada, y los exponga a través de dashboards de trazabilidad para la Autoridad Reguladora y los Distribuidores.</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MEDIDA DEL IMPACTO</w:t>
            </w:r>
          </w:p>
        </w:tc>
      </w:tr>
      <w:tr>
        <w:tc>
          <w:tcPr>
            <w:tcW w:type="dxa" w:w="9360"/>
            <w:gridSpan w:val="2"/>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tcPr>
          <w:p>
            <w:r>
              <w:rPr>
                <w:rFonts w:ascii="Arial" w:cs="Arial" w:eastAsia="Arial" w:hAnsi="Arial"/>
                <w:sz w:val="20"/>
                <w:szCs w:val="20"/>
              </w:rPr>
              <w:t xml:space="preserve">Porcentaje de operaciones de distribución registradas con todos los campos obligatorios (Decreto 318/2003) sobre el total de despachos realizados en el período.</w:t>
            </w:r>
          </w:p>
        </w:tc>
      </w:tr>
      <w:tr>
        <w:tc>
          <w:tcPr>
            <w:tcW w:type="dxa" w:w="14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Rango</w:t>
            </w:r>
          </w:p>
        </w:tc>
        <w:tc>
          <w:tcPr>
            <w:tcW w:type="dxa" w:w="21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Mínima</w:t>
            </w:r>
          </w:p>
        </w:tc>
        <w:tc>
          <w:tcPr>
            <w:tcW w:type="dxa" w:w="328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Cota Máxima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Ninguno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50% — trazabilidad inexistente</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Bajo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50%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70% — trazabilidad parcial</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Moderado</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70%</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85% — trazabilidad básica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85%</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&lt; 99% — trazabilidad avanzada</w:t>
            </w:r>
          </w:p>
        </w:tc>
      </w:tr>
      <w:tr>
        <w:tc>
          <w:tcPr>
            <w:tcW w:type="dxa" w:w="14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Muy Fuerte</w:t>
            </w:r>
          </w:p>
        </w:tc>
        <w:tc>
          <w:tcPr>
            <w:tcW w:type="dxa" w:w="21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99%</w:t>
            </w:r>
          </w:p>
        </w:tc>
        <w:tc>
          <w:tcPr>
            <w:tcW w:type="dxa" w:w="58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100% — trazabilidad completa exigida por Decreto 318/2003</w:t>
            </w:r>
          </w:p>
        </w:tc>
      </w:tr>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ASOCIACIÓN DEL MOTIVADOR CON EL NEGOCIO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Definido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David Santiago Chacón Herrera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Ejecutado por</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Equipo de Desarrollo — Módulo de Distribución / Distribuidores Mayoristas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Ubicación en el portafolio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Subdirección de Operaciones y Logística — Plataforma de Gestión de Combustibles</w:t>
            </w:r>
          </w:p>
        </w:tc>
      </w:tr>
    </w:tbl>
    <w:p>
      <w:r>
        <w:br w:type="page"/>
      </w:r>
    </w:p>
    <w:p>
      <w:pPr>
        <w:spacing w:before="400" w:after="160"/>
      </w:pPr>
      <w:r>
        <w:rPr>
          <w:rFonts w:ascii="Arial" w:cs="Arial" w:eastAsia="Arial" w:hAnsi="Arial"/>
          <w:b/>
          <w:bCs/>
          <w:color w:val="1A5276"/>
          <w:sz w:val="32"/>
          <w:szCs w:val="32"/>
        </w:rPr>
        <w:t xml:space="preserve">SECCIÓN 3.2 — ESCENARIOS DE CALIDAD</w:t>
      </w:r>
    </w:p>
    <w:p>
      <w:pPr>
        <w:spacing w:before="60" w:after="60"/>
      </w:pPr>
      <w:r>
        <w:rPr>
          <w:rFonts w:ascii="Arial" w:cs="Arial" w:eastAsia="Arial" w:hAnsi="Arial"/>
          <w:sz w:val="20"/>
          <w:szCs w:val="20"/>
        </w:rPr>
        <w:t xml:space="preserve">Los escenarios de calidad describen situaciones concretas que permiten evaluar cómo responde la arquitectura de la plataforma ante estímulos específicos. Cada escenario incluye fuente, estímulo, artefacto afectado, ambiente de operación, respuesta esperada y medida de la respuesta, siguiendo la plantilla del curso.</w:t>
      </w:r>
    </w:p>
    <w:p>
      <w:pPr>
        <w:spacing w:before="300" w:after="120"/>
      </w:pPr>
      <w:r>
        <w:rPr>
          <w:rFonts w:ascii="Arial" w:cs="Arial" w:eastAsia="Arial" w:hAnsi="Arial"/>
          <w:b/>
          <w:bCs/>
          <w:color w:val="D35400"/>
          <w:sz w:val="26"/>
          <w:szCs w:val="26"/>
        </w:rPr>
        <w:t xml:space="preserve">EC-01 — Atributo: Disponibilidad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ESCENARIO DE CALIDAD</w:t>
            </w:r>
          </w:p>
        </w:tc>
      </w:tr>
      <w:tr>
        <w:tc>
          <w:tcPr>
            <w:tcW w:type="dxa" w:w="28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Escenario de Calidad # EC-01</w:t>
            </w:r>
          </w:p>
        </w:tc>
        <w:tc>
          <w:tcPr>
            <w:tcW w:type="dxa" w:w="656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Stakeholder: Autoridad Reguladora (MinMinas) / Administrador del Sistema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Atributo de Calidad</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Disponibilidad</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Justificación</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 plataforma gestiona transacciones de combustible de carácter crítico para la economía nacional. Cualquier interrupción del servicio durante horarios de alta demanda impide el cumplimiento del Decreto 1428/2025 y puede ocasionar sanciones regulatorias. El uptime objetivo es ≥ 99.5% mensual.</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Fuente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Fallo del contenedor Docker del microservicio de Motor de Reglas en el entorno de producción (Kubernetes)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Estímulo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Un nodo del clúster Kubernetes que hospeda el microservicio de validación de precios diferenciales falla inesperadamente durante las horas pico de operación (6:00 am – 10:00 pm).</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Artefacto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Microservicio de Motor de Reglas (Java/Spring Boot) desplegado en clúster Kubernetes con Docker</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Ambiente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Operación normal — horario de alta demanda — sistema en producción</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Respuesta</w:t>
            </w:r>
          </w:p>
        </w:tc>
        <w:tc>
          <w:tcPr>
            <w:tcW w:type="dxa" w:w="6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Kubernetes detecta el fallo del pod, lo reinicia automáticamente en un nodo disponible y redirige el tráfico mediante el balanceador de carga interno. El Circuit Breaker activa el modo de respuesta degradada (precios en caché) para las solicitudes en curso, evitando errores visibles al usuario. Las estaciones de servicio reciben confirmación de disponibilidad del servicio sin interrupción perceptible.</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Medida de la Respuesta</w:t>
            </w:r>
          </w:p>
        </w:tc>
        <w:tc>
          <w:tcPr>
            <w:tcW w:type="dxa" w:w="6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El microservicio debe estar completamente restaurado y respondiendo correctamente en un tiempo máximo de 30 segundos desde la detección del fallo. El porcentaje de transacciones perdidas durante el evento no debe superar el 0.01% del total del mes. Uptime mensual ≥ 99.5%.</w:t>
            </w:r>
          </w:p>
        </w:tc>
      </w:tr>
    </w:tbl>
    <w:p>
      <w:pPr>
        <w:spacing w:before="400"/>
      </w:pPr>
    </w:p>
    <w:p>
      <w:pPr>
        <w:spacing w:before="300" w:after="120"/>
      </w:pPr>
      <w:r>
        <w:rPr>
          <w:rFonts w:ascii="Arial" w:cs="Arial" w:eastAsia="Arial" w:hAnsi="Arial"/>
          <w:b/>
          <w:bCs/>
          <w:color w:val="D35400"/>
          <w:sz w:val="26"/>
          <w:szCs w:val="26"/>
        </w:rPr>
        <w:t xml:space="preserve">EC-02 — Atributo: Modificabilidad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ESCENARIO DE CALIDAD</w:t>
            </w:r>
          </w:p>
        </w:tc>
      </w:tr>
      <w:tr>
        <w:tc>
          <w:tcPr>
            <w:tcW w:type="dxa" w:w="280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Escenario de Calidad # EC-02</w:t>
            </w:r>
          </w:p>
        </w:tc>
        <w:tc>
          <w:tcPr>
            <w:tcW w:type="dxa" w:w="6560"/>
            <w:gridSpan w:val="1"/>
            <w:tcBorders>
              <w:top w:val="single" w:color="999999" w:sz="4"/>
              <w:left w:val="single" w:color="999999" w:sz="4"/>
              <w:bottom w:val="single" w:color="999999" w:sz="4"/>
              <w:right w:val="single" w:color="999999" w:sz="4"/>
            </w:tcBorders>
            <w:shd w:fill="BDC3C7"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Stakeholder: Administrador del Sistema / Equipo de Desarrollo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Atributo de Calidad</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Modificabilidad</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Justificación</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La normativa del sector combustibles en Colombia es dinámica; decretos y resoluciones pueden modificar las reglas de precios diferenciales con plazos de implementación cortos. El sistema debe poder incorporar nuevas reglas de negocio sin redespliegues completos ni interrupción del servicio, conforme a la política POL-01 (24 horas hábiles máximo).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Fuente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Publicación de un nuevo decreto por el Ministerio de Minas y Energía que modifica los criterios de categorización de vehículos beneficiarios del precio subsidiado</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Estímulo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El Ministerio de Minas y Energía publica un decreto que amplía la lista de tipos de vehículos con acceso al ACPM subsidiado e introduce una nueva zona geográfica de precio diferencial. El Administrador del Sistema debe incorporar estas reglas en la plataforma dentro de las 24 horas hábiles siguientes.</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Artefacto</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Motor de Reglas configurable (Java/Spring Boot) y módulo de gestión de zonas geográficas — base de datos SQLite/backend</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Ambiente</w:t>
            </w:r>
          </w:p>
        </w:tc>
        <w:tc>
          <w:tcPr>
            <w:tcW w:type="dxa" w:w="65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Sistema en producción — operación normal — sin ventana de mantenimiento programada</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Respuesta</w:t>
            </w:r>
          </w:p>
        </w:tc>
        <w:tc>
          <w:tcPr>
            <w:tcW w:type="dxa" w:w="6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El Administrador del Sistema accede al panel de configuración del Motor de Reglas, registra los nuevos tipos de vehículos y la nueva zona geográfica mediante la interfaz de administración (Android Studio), sin necesidad de modificar código fuente. El backend en Java/Spring Boot recarga la configuración en caliente. Las estaciones de servicio reciben precios actualizados en la siguiente consulta, sin error ni interrupción.</w:t>
            </w:r>
          </w:p>
        </w:tc>
      </w:tr>
      <w:tr>
        <w:tc>
          <w:tcPr>
            <w:tcW w:type="dxa" w:w="2800"/>
            <w:gridSpan w:val="1"/>
            <w:tcBorders>
              <w:top w:val="single" w:color="999999" w:sz="4"/>
              <w:left w:val="single" w:color="999999" w:sz="4"/>
              <w:bottom w:val="single" w:color="999999" w:sz="4"/>
              <w:right w:val="single" w:color="999999" w:sz="4"/>
            </w:tcBorders>
            <w:shd w:fill="F2F3F4" w:val="clear"/>
            <w:tcMar>
              <w:top w:type="dxa" w:w="80"/>
              <w:left w:type="dxa" w:w="140"/>
              <w:bottom w:type="dxa" w:w="80"/>
              <w:right w:type="dxa" w:w="140"/>
            </w:tcMar>
            <w:vAlign w:val="center"/>
          </w:tcPr>
          <w:p>
            <w:pPr>
              <w:jc w:val="left"/>
            </w:pPr>
            <w:r>
              <w:rPr>
                <w:rFonts w:ascii="Arial" w:cs="Arial" w:eastAsia="Arial" w:hAnsi="Arial"/>
                <w:b/>
                <w:bCs/>
                <w:color w:val="2E2E2E"/>
                <w:sz w:val="20"/>
                <w:szCs w:val="20"/>
              </w:rPr>
              <w:t xml:space="preserve">Medida de la Respuesta</w:t>
            </w:r>
          </w:p>
        </w:tc>
        <w:tc>
          <w:tcPr>
            <w:tcW w:type="dxa" w:w="6560"/>
            <w:tcBorders>
              <w:top w:val="single" w:color="999999" w:sz="4"/>
              <w:left w:val="single" w:color="999999" w:sz="4"/>
              <w:bottom w:val="single" w:color="999999" w:sz="4"/>
              <w:right w:val="single" w:color="999999" w:sz="4"/>
            </w:tcBorders>
            <w:shd w:fill="FFFFFF" w:val="clear"/>
            <w:tcMar>
              <w:top w:type="dxa" w:w="100"/>
              <w:left w:type="dxa" w:w="140"/>
              <w:bottom w:type="dxa" w:w="100"/>
              <w:right w:type="dxa" w:w="140"/>
            </w:tcMar>
          </w:tcPr>
          <w:p>
            <w:r>
              <w:rPr>
                <w:rFonts w:ascii="Arial" w:cs="Arial" w:eastAsia="Arial" w:hAnsi="Arial"/>
                <w:sz w:val="20"/>
                <w:szCs w:val="20"/>
              </w:rPr>
              <w:t xml:space="preserve">El tiempo transcurrido entre la carga de la nueva configuración por el Administrador y su aplicación efectiva en las transacciones no debe superar 15 minutos. El cambio debe estar operativo dentro de las 24 horas hábiles siguientes a la publicación del decreto (POL-01). Cero redespliegues del servicio requeridos para aplicar el cambio.</w:t>
            </w:r>
          </w:p>
        </w:tc>
      </w:tr>
    </w:tbl>
    <w:p>
      <w:r>
        <w:br w:type="page"/>
      </w:r>
    </w:p>
    <w:p>
      <w:pPr>
        <w:spacing w:before="400" w:after="160"/>
      </w:pPr>
      <w:r>
        <w:rPr>
          <w:rFonts w:ascii="Arial" w:cs="Arial" w:eastAsia="Arial" w:hAnsi="Arial"/>
          <w:b/>
          <w:bCs/>
          <w:color w:val="1A5276"/>
          <w:sz w:val="32"/>
          <w:szCs w:val="32"/>
        </w:rPr>
        <w:t xml:space="preserve">SECCIÓN 3.3 — ÁRBOL DE UTILIDAD (Utility Tree)</w:t>
      </w:r>
    </w:p>
    <w:p>
      <w:pPr>
        <w:spacing w:before="60" w:after="60"/>
      </w:pPr>
      <w:r>
        <w:rPr>
          <w:rFonts w:ascii="Arial" w:cs="Arial" w:eastAsia="Arial" w:hAnsi="Arial"/>
          <w:sz w:val="20"/>
          <w:szCs w:val="20"/>
        </w:rPr>
        <w:t xml:space="preserve">El Árbol de Utilidad se entrega como artefacto visual independiente (diagrama adjunto). A continuación se presenta la tabla de priorización de los escenarios de calidad identificados para la plataforma, con su valoración (Importancia, Dificultad) según la metodología ATAM.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1400"/>
        <w:gridCol w:w="1400"/>
        <w:gridCol w:w="2160"/>
      </w:tblGrid>
      <w:tr>
        <w:tc>
          <w:tcPr>
            <w:tcW w:type="dxa" w:w="800"/>
            <w:gridSpan w:val="1"/>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Atributo de Calidad</w:t>
            </w:r>
          </w:p>
        </w:tc>
        <w:tc>
          <w:tcPr>
            <w:tcW w:type="dxa" w:w="2200"/>
            <w:gridSpan w:val="1"/>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Sub-atributo / Escenario</w:t>
            </w:r>
          </w:p>
        </w:tc>
        <w:tc>
          <w:tcPr>
            <w:tcW w:type="dxa" w:w="1400"/>
            <w:gridSpan w:val="1"/>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Escenario</w:t>
            </w:r>
          </w:p>
        </w:tc>
        <w:tc>
          <w:tcPr>
            <w:tcW w:type="dxa" w:w="1400"/>
            <w:gridSpan w:val="1"/>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Importancia</w:t>
            </w:r>
          </w:p>
        </w:tc>
        <w:tc>
          <w:tcPr>
            <w:tcW w:type="dxa" w:w="1400"/>
            <w:gridSpan w:val="1"/>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Dificultad</w:t>
            </w:r>
          </w:p>
        </w:tc>
        <w:tc>
          <w:tcPr>
            <w:tcW w:type="dxa" w:w="2160"/>
            <w:gridSpan w:val="1"/>
            <w:tcBorders>
              <w:top w:val="single" w:color="999999" w:sz="4"/>
              <w:left w:val="single" w:color="999999" w:sz="4"/>
              <w:bottom w:val="single" w:color="999999" w:sz="4"/>
              <w:right w:val="single" w:color="999999" w:sz="4"/>
            </w:tcBorders>
            <w:shd w:fill="1A5276" w:val="clear"/>
            <w:tcMar>
              <w:top w:type="dxa" w:w="80"/>
              <w:left w:type="dxa" w:w="140"/>
              <w:bottom w:type="dxa" w:w="80"/>
              <w:right w:type="dxa" w:w="140"/>
            </w:tcMar>
            <w:vAlign w:val="center"/>
          </w:tcPr>
          <w:p>
            <w:pPr>
              <w:jc w:val="left"/>
            </w:pPr>
            <w:r>
              <w:rPr>
                <w:rFonts w:ascii="Arial" w:cs="Arial" w:eastAsia="Arial" w:hAnsi="Arial"/>
                <w:b/>
                <w:bCs/>
                <w:color w:val="FFFFFF"/>
                <w:sz w:val="22"/>
                <w:szCs w:val="22"/>
              </w:rPr>
              <w:t xml:space="preserve">Prioridad (I,D)</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Disponibilidad</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Recuperación ante fallo de microservicio en horario pico</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EC-01</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(H,H)</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Modificabilidad</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Actualización de reglas de precios sin redespliegue</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EC-02</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(H,M)</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Seguridad</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Cifrado de transmisión de datos sensibles de inventario</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EC-03*</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Baja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(H,L)</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Desempeño</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Consulta de precio diferencial en tiempo real (&lt;2s)</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EC-04*</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(M,M)</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Modificabilidad</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Incorporación de nueva zona geográfica de precio</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EC-05*</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Baja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(H,L)</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Seguridad</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Autenticación y control de acceso por rol</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EC-06*</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Baja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(H,L)</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Disponibilidad</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Sincronización diferida en zonas sin conectividad</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EC-07*</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(M,H)</w:t>
            </w:r>
          </w:p>
        </w:tc>
      </w:tr>
      <w:tr>
        <w:tc>
          <w:tcPr>
            <w:tcW w:type="dxa" w:w="800"/>
            <w:gridSpan w:val="1"/>
            <w:tcBorders>
              <w:top w:val="single" w:color="999999" w:sz="4"/>
              <w:left w:val="single" w:color="999999" w:sz="4"/>
              <w:bottom w:val="single" w:color="999999" w:sz="4"/>
              <w:right w:val="single" w:color="999999" w:sz="4"/>
            </w:tcBorders>
            <w:shd w:fill="D6E4F0" w:val="clear"/>
            <w:tcMar>
              <w:top w:type="dxa" w:w="80"/>
              <w:left w:type="dxa" w:w="140"/>
              <w:bottom w:type="dxa" w:w="80"/>
              <w:right w:type="dxa" w:w="140"/>
            </w:tcMar>
            <w:vAlign w:val="center"/>
          </w:tcPr>
          <w:p>
            <w:pPr>
              <w:jc w:val="left"/>
            </w:pPr>
            <w:r>
              <w:rPr>
                <w:rFonts w:ascii="Arial" w:cs="Arial" w:eastAsia="Arial" w:hAnsi="Arial"/>
                <w:b/>
                <w:bCs/>
                <w:color w:val="000000"/>
                <w:sz w:val="18"/>
                <w:szCs w:val="18"/>
              </w:rPr>
              <w:t xml:space="preserve">Desempeño</w:t>
            </w:r>
          </w:p>
        </w:tc>
        <w:tc>
          <w:tcPr>
            <w:tcW w:type="dxa" w:w="22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Generación automática de reporte regulatorio en &lt;24h</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EC-08*</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Alta</w:t>
            </w:r>
          </w:p>
        </w:tc>
        <w:tc>
          <w:tcPr>
            <w:tcW w:type="dxa" w:w="140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Media</w:t>
            </w:r>
          </w:p>
        </w:tc>
        <w:tc>
          <w:tcPr>
            <w:tcW w:type="dxa" w:w="2160"/>
            <w:gridSpan w:val="1"/>
            <w:tcBorders>
              <w:top w:val="single" w:color="999999" w:sz="4"/>
              <w:left w:val="single" w:color="999999" w:sz="4"/>
              <w:bottom w:val="single" w:color="999999" w:sz="4"/>
              <w:right w:val="single" w:color="999999"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8"/>
                <w:szCs w:val="18"/>
              </w:rPr>
              <w:t xml:space="preserve">(H,M)</w:t>
            </w:r>
          </w:p>
        </w:tc>
      </w:tr>
    </w:tbl>
    <w:p>
      <w:pPr>
        <w:spacing w:before="120"/>
      </w:pPr>
      <w:r>
        <w:rPr>
          <w:rFonts w:ascii="Arial" w:cs="Arial" w:eastAsia="Arial" w:hAnsi="Arial"/>
          <w:color w:val="666666"/>
          <w:sz w:val="18"/>
          <w:szCs w:val="18"/>
        </w:rPr>
        <w:t xml:space="preserve">* Escenarios EC-03 a EC-08 propuestos para el árbol de utilidad completo (siguientes entregas). EC-01 y EC-02 son los escenarios documentados en esta entrega.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2026-03-09T01:33:16.341Z</dcterms:created>
  <dcterms:modified xsi:type="dcterms:W3CDTF">2026-03-09T01:33:16.342Z</dcterms:modified>
</cp:coreProperties>
</file>

<file path=docProps/custom.xml><?xml version="1.0" encoding="utf-8"?>
<Properties xmlns="http://schemas.openxmlformats.org/officeDocument/2006/custom-properties" xmlns:vt="http://schemas.openxmlformats.org/officeDocument/2006/docPropsVTypes"/>
</file>