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52"/>
          <w:szCs w:val="52"/>
        </w:rPr>
        <w:t xml:space="preserve">DOCUMENTO DE ARQUITECTURA DEL SISTEMA</w:t>
      </w:r>
    </w:p>
    <w:p>
      <w:pPr>
        <w:spacing w:before="0" w:after="200"/>
        <w:jc w:val="center"/>
      </w:pPr>
      <w:r>
        <w:rPr>
          <w:rFonts w:ascii="Arial" w:cs="Arial" w:eastAsia="Arial" w:hAnsi="Arial"/>
          <w:b/>
          <w:bCs/>
          <w:color w:val="2E74B5"/>
          <w:sz w:val="44"/>
          <w:szCs w:val="44"/>
        </w:rPr>
        <w:t xml:space="preserve">(SAD)</w:t>
      </w:r>
    </w:p>
    <w:p>
      <w:pPr>
        <w:pBdr>
          <w:bottom w:val="single" w:color="2E74B5" w:sz="12" w:space="1"/>
        </w:pBdr>
        <w:spacing w:before="0" w:after="600"/>
        <w:jc w:val="center"/>
      </w:pPr>
      <w:r>
        <w:rPr>
          <w:rFonts w:ascii="Arial" w:cs="Arial" w:eastAsia="Arial" w:hAnsi="Arial"/>
          <w:b/>
          <w:bCs/>
          <w:color w:val="C55A11"/>
          <w:sz w:val="36"/>
          <w:szCs w:val="36"/>
        </w:rPr>
        <w:t xml:space="preserve">Plataforma de Gestión de Combustibles</w:t>
      </w:r>
    </w:p>
    <w:p>
      <w:pPr>
        <w:spacing w:before="0" w:after="240"/>
      </w:pPr>
      <w:r>
        <w:t xml:space="preserve"/>
      </w:r>
    </w:p>
    <w:p>
      <w:pPr>
        <w:jc w:val="center"/>
      </w:pPr>
      <w:r>
        <w:rPr>
          <w:rFonts w:ascii="Arial" w:cs="Arial" w:eastAsia="Arial" w:hAnsi="Arial"/>
          <w:b/>
          <w:bCs/>
          <w:color w:val="595959"/>
          <w:sz w:val="24"/>
          <w:szCs w:val="24"/>
        </w:rPr>
        <w:t xml:space="preserve">Nombre del Equipo de Trabajo:</w:t>
      </w:r>
    </w:p>
    <w:p>
      <w:pPr>
        <w:spacing w:before="0" w:after="200"/>
        <w:jc w:val="center"/>
      </w:pPr>
      <w:r>
        <w:rPr>
          <w:rFonts w:ascii="Arial" w:cs="Arial" w:eastAsia="Arial" w:hAnsi="Arial"/>
          <w:sz w:val="24"/>
          <w:szCs w:val="24"/>
        </w:rPr>
        <w:t xml:space="preserve">Equipo FuelPlatform</w:t>
      </w:r>
    </w:p>
    <w:p>
      <w:pPr>
        <w:jc w:val="center"/>
      </w:pPr>
      <w:r>
        <w:rPr>
          <w:rFonts w:ascii="Arial" w:cs="Arial" w:eastAsia="Arial" w:hAnsi="Arial"/>
          <w:color w:val="595959"/>
          <w:sz w:val="22"/>
          <w:szCs w:val="22"/>
        </w:rPr>
        <w:t xml:space="preserve">Integrante 1: nombre.apellido@upc.edu.co</w:t>
      </w:r>
    </w:p>
    <w:p>
      <w:pPr>
        <w:jc w:val="center"/>
      </w:pPr>
      <w:r>
        <w:rPr>
          <w:rFonts w:ascii="Arial" w:cs="Arial" w:eastAsia="Arial" w:hAnsi="Arial"/>
          <w:color w:val="595959"/>
          <w:sz w:val="22"/>
          <w:szCs w:val="22"/>
        </w:rPr>
        <w:t xml:space="preserve">Integrante 2: nombre.apellido@upc.edu.co</w:t>
      </w:r>
    </w:p>
    <w:p>
      <w:pPr>
        <w:jc w:val="center"/>
      </w:pPr>
      <w:r>
        <w:rPr>
          <w:rFonts w:ascii="Arial" w:cs="Arial" w:eastAsia="Arial" w:hAnsi="Arial"/>
          <w:color w:val="595959"/>
          <w:sz w:val="22"/>
          <w:szCs w:val="22"/>
        </w:rPr>
        <w:t xml:space="preserve">Integrante 3: nombre.apellido@upc.edu.co</w:t>
      </w:r>
    </w:p>
    <w:p>
      <w:pPr>
        <w:spacing w:before="0" w:after="120"/>
      </w:pPr>
      <w:r>
        <w:t xml:space="preserve"/>
      </w:r>
    </w:p>
    <w:p>
      <w:pPr>
        <w:jc w:val="center"/>
      </w:pPr>
      <w:r>
        <w:rPr>
          <w:rFonts w:ascii="Arial" w:cs="Arial" w:eastAsia="Arial" w:hAnsi="Arial"/>
          <w:color w:val="595959"/>
          <w:sz w:val="22"/>
          <w:szCs w:val="22"/>
        </w:rPr>
        <w:t xml:space="preserve">Versión: 1.0  |  Fecha: Febrero 2025</w:t>
      </w:r>
    </w:p>
    <w:p>
      <w:pPr>
        <w:jc w:val="center"/>
      </w:pPr>
      <w:r>
        <w:rPr>
          <w:rFonts w:ascii="Arial" w:cs="Arial" w:eastAsia="Arial" w:hAnsi="Arial"/>
          <w:color w:val="595959"/>
          <w:sz w:val="22"/>
          <w:szCs w:val="22"/>
        </w:rPr>
        <w:t xml:space="preserve">Curso: Arquitectura de Software</w:t>
      </w:r>
    </w:p>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Sección 1. Descripción del Documento</w:t>
      </w:r>
    </w:p>
    <w:p>
      <w:pPr>
        <w:pStyle w:val="Heading2"/>
        <w:spacing w:before="240" w:after="120"/>
      </w:pPr>
      <w:r>
        <w:rPr>
          <w:rFonts w:ascii="Arial" w:cs="Arial" w:eastAsia="Arial" w:hAnsi="Arial"/>
          <w:b/>
          <w:bCs/>
          <w:color w:val="2E74B5"/>
          <w:sz w:val="26"/>
          <w:szCs w:val="26"/>
        </w:rPr>
        <w:t xml:space="preserve">1.1 Propósito y Audiencia</w:t>
      </w:r>
    </w:p>
    <w:p>
      <w:pPr>
        <w:spacing w:before="0" w:after="120"/>
        <w:jc w:val="both"/>
      </w:pPr>
      <w:r>
        <w:rPr>
          <w:rFonts w:ascii="Arial" w:cs="Arial" w:eastAsia="Arial" w:hAnsi="Arial"/>
          <w:sz w:val="22"/>
          <w:szCs w:val="22"/>
        </w:rPr>
        <w:t xml:space="preserve">El presente Documento de Arquitectura del Sistema (SAD) describe la arquitectura de la Plataforma de Gestión de Combustibles, un ecosistema digital diseñado para gestionar la cadena de suministro de combustibles en Colombia en cumplimiento del Decreto 1428 de 2025. El documento tiene como propósito central establecer las decisiones arquitecturales significativas, los principios que guían el desarrollo del sistema, sus componentes principales, sus responsabilidades y la forma en que estos se interrelacionan.</w:t>
      </w:r>
    </w:p>
    <w:p>
      <w:pPr>
        <w:spacing w:before="0" w:after="120"/>
        <w:jc w:val="both"/>
      </w:pPr>
      <w:r>
        <w:rPr>
          <w:rFonts w:ascii="Arial" w:cs="Arial" w:eastAsia="Arial" w:hAnsi="Arial"/>
          <w:sz w:val="22"/>
          <w:szCs w:val="22"/>
        </w:rPr>
        <w:t xml:space="preserve">Este documento está dirigido a los siguientes grupos de audiencia:</w:t>
      </w:r>
    </w:p>
    <w:p>
      <w:pPr>
        <w:pStyle w:val="ListParagraph"/>
        <w:numPr>
          <w:ilvl w:val="0"/>
          <w:numId w:val="2"/>
        </w:numPr>
        <w:spacing w:before="0" w:after="80"/>
      </w:pPr>
      <w:r>
        <w:rPr>
          <w:rFonts w:ascii="Arial" w:cs="Arial" w:eastAsia="Arial" w:hAnsi="Arial"/>
          <w:sz w:val="22"/>
          <w:szCs w:val="22"/>
        </w:rPr>
        <w:t xml:space="preserve">Arquitectos de software y líderes técnicos: para guiar el diseño e implementación del sistema.</w:t>
      </w:r>
    </w:p>
    <w:p>
      <w:pPr>
        <w:pStyle w:val="ListParagraph"/>
        <w:numPr>
          <w:ilvl w:val="0"/>
          <w:numId w:val="2"/>
        </w:numPr>
        <w:spacing w:before="0" w:after="80"/>
      </w:pPr>
      <w:r>
        <w:rPr>
          <w:rFonts w:ascii="Arial" w:cs="Arial" w:eastAsia="Arial" w:hAnsi="Arial"/>
          <w:sz w:val="22"/>
          <w:szCs w:val="22"/>
        </w:rPr>
        <w:t xml:space="preserve">Desarrolladores frontend y backend: para comprender los componentes, interfaces y contratos del sistema.</w:t>
      </w:r>
    </w:p>
    <w:p>
      <w:pPr>
        <w:pStyle w:val="ListParagraph"/>
        <w:numPr>
          <w:ilvl w:val="0"/>
          <w:numId w:val="2"/>
        </w:numPr>
        <w:spacing w:before="0" w:after="80"/>
      </w:pPr>
      <w:r>
        <w:rPr>
          <w:rFonts w:ascii="Arial" w:cs="Arial" w:eastAsia="Arial" w:hAnsi="Arial"/>
          <w:sz w:val="22"/>
          <w:szCs w:val="22"/>
        </w:rPr>
        <w:t xml:space="preserve">Autoridad Reguladora (Ministerio de Minas y Energía): para verificar el cumplimiento normativo del sistema.</w:t>
      </w:r>
    </w:p>
    <w:p>
      <w:pPr>
        <w:pStyle w:val="ListParagraph"/>
        <w:numPr>
          <w:ilvl w:val="0"/>
          <w:numId w:val="2"/>
        </w:numPr>
        <w:spacing w:before="0" w:after="80"/>
      </w:pPr>
      <w:r>
        <w:rPr>
          <w:rFonts w:ascii="Arial" w:cs="Arial" w:eastAsia="Arial" w:hAnsi="Arial"/>
          <w:sz w:val="22"/>
          <w:szCs w:val="22"/>
        </w:rPr>
        <w:t xml:space="preserve">Gerentes de proyecto y stakeholders de negocio: para validar que la arquitectura responde a los motivadores estratégicos.</w:t>
      </w:r>
    </w:p>
    <w:p>
      <w:pPr>
        <w:pStyle w:val="ListParagraph"/>
        <w:numPr>
          <w:ilvl w:val="0"/>
          <w:numId w:val="2"/>
        </w:numPr>
        <w:spacing w:before="0" w:after="80"/>
      </w:pPr>
      <w:r>
        <w:rPr>
          <w:rFonts w:ascii="Arial" w:cs="Arial" w:eastAsia="Arial" w:hAnsi="Arial"/>
          <w:sz w:val="22"/>
          <w:szCs w:val="22"/>
        </w:rPr>
        <w:t xml:space="preserve">Auditores y equipos de seguridad: para evaluar los mecanismos de trazabilidad y control de acceso.</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1.2 Organización del Documento</w:t>
      </w:r>
    </w:p>
    <w:p>
      <w:pPr>
        <w:spacing w:before="0" w:after="120"/>
        <w:jc w:val="both"/>
      </w:pPr>
      <w:r>
        <w:rPr>
          <w:rFonts w:ascii="Arial" w:cs="Arial" w:eastAsia="Arial" w:hAnsi="Arial"/>
          <w:sz w:val="22"/>
          <w:szCs w:val="22"/>
        </w:rPr>
        <w:t xml:space="preserve">El documento está organizado en ocho secciones principales:</w:t>
      </w:r>
    </w:p>
    <w:p>
      <w:pPr>
        <w:pStyle w:val="ListParagraph"/>
        <w:numPr>
          <w:ilvl w:val="0"/>
          <w:numId w:val="3"/>
        </w:numPr>
        <w:spacing w:before="0" w:after="80"/>
      </w:pPr>
      <w:r>
        <w:rPr>
          <w:rFonts w:ascii="Arial" w:cs="Arial" w:eastAsia="Arial" w:hAnsi="Arial"/>
          <w:sz w:val="22"/>
          <w:szCs w:val="22"/>
        </w:rPr>
        <w:t xml:space="preserve">Sección 1 – Descripción del Documento: propósito, convenciones y documentos de referencia.</w:t>
      </w:r>
    </w:p>
    <w:p>
      <w:pPr>
        <w:pStyle w:val="ListParagraph"/>
        <w:numPr>
          <w:ilvl w:val="0"/>
          <w:numId w:val="3"/>
        </w:numPr>
        <w:spacing w:before="0" w:after="80"/>
      </w:pPr>
      <w:r>
        <w:rPr>
          <w:rFonts w:ascii="Arial" w:cs="Arial" w:eastAsia="Arial" w:hAnsi="Arial"/>
          <w:sz w:val="22"/>
          <w:szCs w:val="22"/>
        </w:rPr>
        <w:t xml:space="preserve">Sección 2 – Generalidades del Proyecto: contexto del problema, descripción del sistema, objetivos, stakeholders y Modelo Motivacional de Negocio.</w:t>
      </w:r>
    </w:p>
    <w:p>
      <w:pPr>
        <w:pStyle w:val="ListParagraph"/>
        <w:numPr>
          <w:ilvl w:val="0"/>
          <w:numId w:val="3"/>
        </w:numPr>
        <w:spacing w:before="0" w:after="80"/>
      </w:pPr>
      <w:r>
        <w:rPr>
          <w:rFonts w:ascii="Arial" w:cs="Arial" w:eastAsia="Arial" w:hAnsi="Arial"/>
          <w:sz w:val="22"/>
          <w:szCs w:val="22"/>
        </w:rPr>
        <w:t xml:space="preserve">Sección 3 – Restricciones Arquitecturales: motivadores de negocio, restricciones tecnológicas y atributos de calidad con sus escenarios.</w:t>
      </w:r>
    </w:p>
    <w:p>
      <w:pPr>
        <w:pStyle w:val="ListParagraph"/>
        <w:numPr>
          <w:ilvl w:val="0"/>
          <w:numId w:val="3"/>
        </w:numPr>
        <w:spacing w:before="0" w:after="80"/>
      </w:pPr>
      <w:r>
        <w:rPr>
          <w:rFonts w:ascii="Arial" w:cs="Arial" w:eastAsia="Arial" w:hAnsi="Arial"/>
          <w:sz w:val="22"/>
          <w:szCs w:val="22"/>
        </w:rPr>
        <w:t xml:space="preserve">Sección 4 – Contexto: escenarios operacionales que describen la interacción de los actores con el sistema.</w:t>
      </w:r>
    </w:p>
    <w:p>
      <w:pPr>
        <w:pStyle w:val="ListParagraph"/>
        <w:numPr>
          <w:ilvl w:val="0"/>
          <w:numId w:val="3"/>
        </w:numPr>
        <w:spacing w:before="0" w:after="80"/>
      </w:pPr>
      <w:r>
        <w:rPr>
          <w:rFonts w:ascii="Arial" w:cs="Arial" w:eastAsia="Arial" w:hAnsi="Arial"/>
          <w:sz w:val="22"/>
          <w:szCs w:val="22"/>
        </w:rPr>
        <w:t xml:space="preserve">Sección 5 – Puntos de Vista y Modelos Arquitecturales: vistas funcional, de despliegue, de información, de concurrencia y de desarrollo.</w:t>
      </w:r>
    </w:p>
    <w:p>
      <w:pPr>
        <w:pStyle w:val="ListParagraph"/>
        <w:numPr>
          <w:ilvl w:val="0"/>
          <w:numId w:val="3"/>
        </w:numPr>
        <w:spacing w:before="0" w:after="80"/>
      </w:pPr>
      <w:r>
        <w:rPr>
          <w:rFonts w:ascii="Arial" w:cs="Arial" w:eastAsia="Arial" w:hAnsi="Arial"/>
          <w:sz w:val="22"/>
          <w:szCs w:val="22"/>
        </w:rPr>
        <w:t xml:space="preserve">Sección 6 – Experimentación con Atributos de Calidad: resultados de pruebas de desempeño, disponibilidad y modificabilidad.</w:t>
      </w:r>
    </w:p>
    <w:p>
      <w:pPr>
        <w:pStyle w:val="ListParagraph"/>
        <w:numPr>
          <w:ilvl w:val="0"/>
          <w:numId w:val="3"/>
        </w:numPr>
        <w:spacing w:before="0" w:after="80"/>
      </w:pPr>
      <w:r>
        <w:rPr>
          <w:rFonts w:ascii="Arial" w:cs="Arial" w:eastAsia="Arial" w:hAnsi="Arial"/>
          <w:sz w:val="22"/>
          <w:szCs w:val="22"/>
        </w:rPr>
        <w:t xml:space="preserve">Sección 7 – Evaluación de la Arquitectura: análisis de decisiones y evaluación de riesgos.</w:t>
      </w:r>
    </w:p>
    <w:p>
      <w:pPr>
        <w:pStyle w:val="ListParagraph"/>
        <w:numPr>
          <w:ilvl w:val="0"/>
          <w:numId w:val="3"/>
        </w:numPr>
        <w:spacing w:before="0" w:after="80"/>
      </w:pPr>
      <w:r>
        <w:rPr>
          <w:rFonts w:ascii="Arial" w:cs="Arial" w:eastAsia="Arial" w:hAnsi="Arial"/>
          <w:sz w:val="22"/>
          <w:szCs w:val="22"/>
        </w:rPr>
        <w:t xml:space="preserve">Sección 8 – Historial del Documento: registro de cambios y aprobaciones.</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1.3 Convenciones</w:t>
      </w:r>
    </w:p>
    <w:p>
      <w:pPr>
        <w:spacing w:before="0" w:after="120"/>
        <w:jc w:val="both"/>
      </w:pPr>
      <w:r>
        <w:rPr>
          <w:rFonts w:ascii="Arial" w:cs="Arial" w:eastAsia="Arial" w:hAnsi="Arial"/>
          <w:sz w:val="22"/>
          <w:szCs w:val="22"/>
        </w:rPr>
        <w:t xml:space="preserve">En este documento se utilizan las siguientes convenciones de notación y modelado:</w:t>
      </w:r>
    </w:p>
    <w:p>
      <w:pPr>
        <w:pStyle w:val="ListParagraph"/>
        <w:numPr>
          <w:ilvl w:val="0"/>
          <w:numId w:val="2"/>
        </w:numPr>
        <w:spacing w:before="0" w:after="80"/>
      </w:pPr>
      <w:r>
        <w:rPr>
          <w:rFonts w:ascii="Arial" w:cs="Arial" w:eastAsia="Arial" w:hAnsi="Arial"/>
          <w:sz w:val="22"/>
          <w:szCs w:val="22"/>
        </w:rPr>
        <w:t xml:space="preserve">UML 2.5: para diagramas de componentes, despliegue, secuencia y clases.</w:t>
      </w:r>
    </w:p>
    <w:p>
      <w:pPr>
        <w:pStyle w:val="ListParagraph"/>
        <w:numPr>
          <w:ilvl w:val="0"/>
          <w:numId w:val="2"/>
        </w:numPr>
        <w:spacing w:before="0" w:after="80"/>
      </w:pPr>
      <w:r>
        <w:rPr>
          <w:rFonts w:ascii="Arial" w:cs="Arial" w:eastAsia="Arial" w:hAnsi="Arial"/>
          <w:sz w:val="22"/>
          <w:szCs w:val="22"/>
        </w:rPr>
        <w:t xml:space="preserve">Notación C4 Model: para representación de contexto, contenedores y componentes del sistema.</w:t>
      </w:r>
    </w:p>
    <w:p>
      <w:pPr>
        <w:pStyle w:val="ListParagraph"/>
        <w:numPr>
          <w:ilvl w:val="0"/>
          <w:numId w:val="2"/>
        </w:numPr>
        <w:spacing w:before="0" w:after="80"/>
      </w:pPr>
      <w:r>
        <w:rPr>
          <w:rFonts w:ascii="Arial" w:cs="Arial" w:eastAsia="Arial" w:hAnsi="Arial"/>
          <w:sz w:val="22"/>
          <w:szCs w:val="22"/>
        </w:rPr>
        <w:t xml:space="preserve">Tablas estructuradas: para motivadores de negocio, escenarios de calidad y escenarios operacionales, siguiendo la estructura definida en el curso.</w:t>
      </w:r>
    </w:p>
    <w:p>
      <w:pPr>
        <w:pStyle w:val="ListParagraph"/>
        <w:numPr>
          <w:ilvl w:val="0"/>
          <w:numId w:val="2"/>
        </w:numPr>
        <w:spacing w:before="0" w:after="80"/>
      </w:pPr>
      <w:r>
        <w:rPr>
          <w:rFonts w:ascii="Arial" w:cs="Arial" w:eastAsia="Arial" w:hAnsi="Arial"/>
          <w:sz w:val="22"/>
          <w:szCs w:val="22"/>
        </w:rPr>
        <w:t xml:space="preserve">Colores en diagramas: azul oscuro para componentes del sistema, azul claro para actores externos, gris para elementos de infraestructura.</w:t>
      </w:r>
    </w:p>
    <w:p>
      <w:pPr>
        <w:pStyle w:val="ListParagraph"/>
        <w:numPr>
          <w:ilvl w:val="0"/>
          <w:numId w:val="2"/>
        </w:numPr>
        <w:spacing w:before="0" w:after="80"/>
      </w:pPr>
      <w:r>
        <w:rPr>
          <w:rFonts w:ascii="Arial" w:cs="Arial" w:eastAsia="Arial" w:hAnsi="Arial"/>
          <w:sz w:val="22"/>
          <w:szCs w:val="22"/>
        </w:rPr>
        <w:t xml:space="preserve">Prioridades en tablas de escenarios: Alta (A), Media (M), Baja (B).</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1.4 Terminología y Definiciones</w:t>
      </w:r>
    </w:p>
    <w:p>
      <w:pPr>
        <w:pStyle w:val="Heading3"/>
        <w:spacing w:before="200" w:after="100"/>
      </w:pPr>
      <w:r>
        <w:rPr>
          <w:rFonts w:ascii="Arial" w:cs="Arial" w:eastAsia="Arial" w:hAnsi="Arial"/>
          <w:b/>
          <w:bCs/>
          <w:color w:val="C55A11"/>
          <w:sz w:val="24"/>
          <w:szCs w:val="24"/>
        </w:rPr>
        <w:t xml:space="preserve">1.4.1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Acrónimo</w:t>
            </w:r>
          </w:p>
        </w:tc>
        <w:tc>
          <w:tcPr>
            <w:tcW w:type="dxa" w:w="7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Significado</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SAD</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Software Architecture Document – Documento de Arquitectura del Sistema</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FEPC</w:t>
            </w:r>
          </w:p>
        </w:tc>
        <w:tc>
          <w:tcPr>
            <w:tcW w:type="dxa" w:w="7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Fondo de Estabilización de Precios de los Combustibles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ACPM</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Aceite Combustible para Motor (diésel)</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IoT</w:t>
            </w:r>
          </w:p>
        </w:tc>
        <w:tc>
          <w:tcPr>
            <w:tcW w:type="dxa" w:w="7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Internet of Things – Internet de las Cosas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API</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Application Programming Interface – Interfaz de Programación de Aplicaciones</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GPS</w:t>
            </w:r>
          </w:p>
        </w:tc>
        <w:tc>
          <w:tcPr>
            <w:tcW w:type="dxa" w:w="7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Global Positioning System – Sistema de Posicionamiento Global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MinMinas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Ministerio de Minas y Energía de Colombia</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SICOM</w:t>
            </w:r>
          </w:p>
        </w:tc>
        <w:tc>
          <w:tcPr>
            <w:tcW w:type="dxa" w:w="7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Sistema de Información del Sector de Combustibles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JWT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JSON Web Token – estándar de autenticación stateless</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ORM</w:t>
            </w:r>
          </w:p>
        </w:tc>
        <w:tc>
          <w:tcPr>
            <w:tcW w:type="dxa" w:w="7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Object-Relational Mapping – Mapeo Objeto-Relacional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CDN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Content Delivery Network – Red de Distribución de Contenido</w:t>
            </w:r>
          </w:p>
        </w:tc>
      </w:tr>
    </w:tbl>
    <w:p>
      <w:pPr>
        <w:spacing w:before="0" w:after="120"/>
      </w:pPr>
      <w:r>
        <w:t xml:space="preserve"/>
      </w:r>
    </w:p>
    <w:p>
      <w:pPr>
        <w:pStyle w:val="Heading3"/>
        <w:spacing w:before="200" w:after="100"/>
      </w:pPr>
      <w:r>
        <w:rPr>
          <w:rFonts w:ascii="Arial" w:cs="Arial" w:eastAsia="Arial" w:hAnsi="Arial"/>
          <w:b/>
          <w:bCs/>
          <w:color w:val="C55A11"/>
          <w:sz w:val="24"/>
          <w:szCs w:val="24"/>
        </w:rPr>
        <w:t xml:space="preserve">1.4.2 Definiciones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Término</w:t>
            </w:r>
          </w:p>
        </w:tc>
        <w:tc>
          <w:tcPr>
            <w:tcW w:type="dxa" w:w="6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Definición</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Estación de Servicio</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Establecimiento autorizado para la venta al público de combustibles líquidos derivados del petróleo.</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Distribuidor Mayorista</w:t>
            </w:r>
          </w:p>
        </w:tc>
        <w:tc>
          <w:tcPr>
            <w:tcW w:type="dxa" w:w="6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Empresa responsable de la distribución de combustibles desde plantas de abasto hasta estaciones de servicio.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Precio de Paridad Internacional</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Precio calculado con base en el costo de importación del combustible, sin incluir subsidio del FEPC.</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Motor de Reglas</w:t>
            </w:r>
          </w:p>
        </w:tc>
        <w:tc>
          <w:tcPr>
            <w:tcW w:type="dxa" w:w="6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Componente de software que interpreta y aplica reglas de negocio configurables para validar operaciones.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Data Lake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Repositorio centralizado que almacena grandes volúmenes de datos en su formato original para análisis.</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Microservicio</w:t>
            </w:r>
          </w:p>
        </w:tc>
        <w:tc>
          <w:tcPr>
            <w:tcW w:type="dxa" w:w="6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Componente de software independiente que implementa una capacidad de negocio específica y se comunica via APIs.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Trazabilidad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Capacidad del sistema de registrar y auditar todas las acciones realizadas por los actores en la plataforma.</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Zona Geográfica</w:t>
            </w:r>
          </w:p>
        </w:tc>
        <w:tc>
          <w:tcPr>
            <w:tcW w:type="dxa" w:w="6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Delimitación territorial para la aplicación diferencial de precios de combustible según la normativa vigente.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Inventario de Combustible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Registro actualizado del volumen de combustible disponible en los tanques de una estación de servicio.</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Decreto 1428 de 2025</w:t>
            </w:r>
          </w:p>
        </w:tc>
        <w:tc>
          <w:tcPr>
            <w:tcW w:type="dxa" w:w="6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Norma que establece el mecanismo diferencial de precios del ACPM para distintos tipos de usuarios y sectores.</w:t>
            </w:r>
          </w:p>
        </w:tc>
      </w:tr>
    </w:tbl>
    <w:p>
      <w:pPr>
        <w:spacing w:before="0" w:after="120"/>
      </w:pPr>
      <w:r>
        <w:t xml:space="preserve"/>
      </w:r>
    </w:p>
    <w:p>
      <w:pPr>
        <w:pStyle w:val="Heading2"/>
        <w:spacing w:before="240" w:after="120"/>
      </w:pPr>
      <w:r>
        <w:rPr>
          <w:rFonts w:ascii="Arial" w:cs="Arial" w:eastAsia="Arial" w:hAnsi="Arial"/>
          <w:b/>
          <w:bCs/>
          <w:color w:val="2E74B5"/>
          <w:sz w:val="26"/>
          <w:szCs w:val="26"/>
        </w:rPr>
        <w:t xml:space="preserve">1.5 Documentos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700"/>
        <w:gridCol w:w="800"/>
        <w:gridCol w:w="44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Documento</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Versión</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Fecha</w:t>
            </w:r>
          </w:p>
        </w:tc>
        <w:tc>
          <w:tcPr>
            <w:tcW w:type="dxa" w:w="44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Decreto 1428 de 2025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2025</w:t>
            </w:r>
          </w:p>
        </w:tc>
        <w:tc>
          <w:tcPr>
            <w:tcW w:type="dxa" w:w="4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Marco legal regulatorio para precios diferenciales del ACPM.</w:t>
            </w:r>
          </w:p>
        </w:tc>
      </w:tr>
      <w:tr>
        <w:tc>
          <w:tcPr>
            <w:tcW w:type="dxa" w:w="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2</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Resolución MinMinas – Formatos de Reporte</w:t>
            </w:r>
          </w:p>
        </w:tc>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Vigente</w:t>
            </w:r>
          </w:p>
        </w:tc>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2025</w:t>
            </w:r>
          </w:p>
        </w:tc>
        <w:tc>
          <w:tcPr>
            <w:tcW w:type="dxa" w:w="44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Especificación de formatos de reporte para el sector combustibles.</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IEEE/ISO/IEC 42010:2011</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2011</w:t>
            </w:r>
          </w:p>
        </w:tc>
        <w:tc>
          <w:tcPr>
            <w:tcW w:type="dxa" w:w="4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Standard para descripciones de arquitecturas de sistemas y software.</w:t>
            </w:r>
          </w:p>
        </w:tc>
      </w:tr>
      <w:tr>
        <w:tc>
          <w:tcPr>
            <w:tcW w:type="dxa" w:w="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4</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Especificación de Requisitos del Sistema</w:t>
            </w:r>
          </w:p>
        </w:tc>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1.0</w:t>
            </w:r>
          </w:p>
        </w:tc>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2025</w:t>
            </w:r>
          </w:p>
        </w:tc>
        <w:tc>
          <w:tcPr>
            <w:tcW w:type="dxa" w:w="44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Documento de requerimientos funcionales y no funcionales del sistema.</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Plan de Proyecto FuelPlatform</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2025</w:t>
            </w:r>
          </w:p>
        </w:tc>
        <w:tc>
          <w:tcPr>
            <w:tcW w:type="dxa" w:w="4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Plan de trabajo y cronograma del proyecto.</w:t>
            </w:r>
          </w:p>
        </w:tc>
      </w:tr>
    </w:tbl>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Sección 2. Generalidades del Proyecto</w:t>
      </w:r>
    </w:p>
    <w:p>
      <w:pPr>
        <w:pStyle w:val="Heading2"/>
        <w:spacing w:before="240" w:after="120"/>
      </w:pPr>
      <w:r>
        <w:rPr>
          <w:rFonts w:ascii="Arial" w:cs="Arial" w:eastAsia="Arial" w:hAnsi="Arial"/>
          <w:b/>
          <w:bCs/>
          <w:color w:val="2E74B5"/>
          <w:sz w:val="26"/>
          <w:szCs w:val="26"/>
        </w:rPr>
        <w:t xml:space="preserve">2.1 Problema a Resolver</w:t>
      </w:r>
    </w:p>
    <w:p>
      <w:pPr>
        <w:spacing w:before="0" w:after="120"/>
        <w:jc w:val="both"/>
      </w:pPr>
      <w:r>
        <w:rPr>
          <w:rFonts w:ascii="Arial" w:cs="Arial" w:eastAsia="Arial" w:hAnsi="Arial"/>
          <w:sz w:val="22"/>
          <w:szCs w:val="22"/>
        </w:rPr>
        <w:t xml:space="preserve">Colombia enfrenta un desequilibrio estructural en el Fondo de Estabilización de Precios de los Combustibles (FEPC), generado históricamente por la diferencia entre el precio interno y el precio de paridad internacional del ACPM. El Decreto 1428 de 2025 establece un mecanismo diferencial que elimina el subsidio para vehículos particulares, oficiales y diplomáticos, mientras mantiene precios protegidos para el transporte público y de carga. Sin embargo, la implementación efectiva de este decreto enfrenta múltiples desafíos operativos:</w:t>
      </w:r>
    </w:p>
    <w:p>
      <w:pPr>
        <w:pStyle w:val="ListParagraph"/>
        <w:numPr>
          <w:ilvl w:val="0"/>
          <w:numId w:val="2"/>
        </w:numPr>
        <w:spacing w:before="0" w:after="80"/>
      </w:pPr>
      <w:r>
        <w:rPr>
          <w:rFonts w:ascii="Arial" w:cs="Arial" w:eastAsia="Arial" w:hAnsi="Arial"/>
          <w:sz w:val="22"/>
          <w:szCs w:val="22"/>
        </w:rPr>
        <w:t xml:space="preserve">Ausencia de un sistema centralizado y en tiempo real que permita configurar y aplicar precios diferenciales por tipo de usuario y zona geográfica.</w:t>
      </w:r>
    </w:p>
    <w:p>
      <w:pPr>
        <w:pStyle w:val="ListParagraph"/>
        <w:numPr>
          <w:ilvl w:val="0"/>
          <w:numId w:val="2"/>
        </w:numPr>
        <w:spacing w:before="0" w:after="80"/>
      </w:pPr>
      <w:r>
        <w:rPr>
          <w:rFonts w:ascii="Arial" w:cs="Arial" w:eastAsia="Arial" w:hAnsi="Arial"/>
          <w:sz w:val="22"/>
          <w:szCs w:val="22"/>
        </w:rPr>
        <w:t xml:space="preserve">Imposibilidad de auditar y rastrear el cumplimiento de la normativa por parte de distribuidores y estaciones de servicio sin un sistema digital robusto.</w:t>
      </w:r>
    </w:p>
    <w:p>
      <w:pPr>
        <w:pStyle w:val="ListParagraph"/>
        <w:numPr>
          <w:ilvl w:val="0"/>
          <w:numId w:val="2"/>
        </w:numPr>
        <w:spacing w:before="0" w:after="80"/>
      </w:pPr>
      <w:r>
        <w:rPr>
          <w:rFonts w:ascii="Arial" w:cs="Arial" w:eastAsia="Arial" w:hAnsi="Arial"/>
          <w:sz w:val="22"/>
          <w:szCs w:val="22"/>
        </w:rPr>
        <w:t xml:space="preserve">Pérdidas económicas por inconsistencias en inventario, fugas de combustible y manipulación fraudulenta de registros.</w:t>
      </w:r>
    </w:p>
    <w:p>
      <w:pPr>
        <w:pStyle w:val="ListParagraph"/>
        <w:numPr>
          <w:ilvl w:val="0"/>
          <w:numId w:val="2"/>
        </w:numPr>
        <w:spacing w:before="0" w:after="80"/>
      </w:pPr>
      <w:r>
        <w:rPr>
          <w:rFonts w:ascii="Arial" w:cs="Arial" w:eastAsia="Arial" w:hAnsi="Arial"/>
          <w:sz w:val="22"/>
          <w:szCs w:val="22"/>
        </w:rPr>
        <w:t xml:space="preserve">Procesos manuales y desconectados para la generación de reportes regulatorios al Ministerio de Minas y Energía, con riesgos de errores e incumplimientos.</w:t>
      </w:r>
    </w:p>
    <w:p>
      <w:pPr>
        <w:pStyle w:val="ListParagraph"/>
        <w:numPr>
          <w:ilvl w:val="0"/>
          <w:numId w:val="2"/>
        </w:numPr>
        <w:spacing w:before="0" w:after="80"/>
      </w:pPr>
      <w:r>
        <w:rPr>
          <w:rFonts w:ascii="Arial" w:cs="Arial" w:eastAsia="Arial" w:hAnsi="Arial"/>
          <w:sz w:val="22"/>
          <w:szCs w:val="22"/>
        </w:rPr>
        <w:t xml:space="preserve">Falta de visibilidad en tiempo real sobre la logística de distribución y el estado de inventarios en estaciones de servicio a nivel nacional.</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2.2 Descripción General del Sistema a Desarrollar</w:t>
      </w:r>
    </w:p>
    <w:p>
      <w:pPr>
        <w:spacing w:before="0" w:after="120"/>
        <w:jc w:val="both"/>
      </w:pPr>
      <w:r>
        <w:rPr>
          <w:rFonts w:ascii="Arial" w:cs="Arial" w:eastAsia="Arial" w:hAnsi="Arial"/>
          <w:sz w:val="22"/>
          <w:szCs w:val="22"/>
        </w:rPr>
        <w:t xml:space="preserve">La Plataforma de Gestión de Combustibles es un ecosistema digital integral que conecta, en una única plataforma unificada, a todos los actores de la cadena de suministro de combustibles en Colombia. El sistema permite gestionar de manera automatizada y en tiempo real el control de inventarios, la logística de entradas y salidas, la configuración dinámica de precios diferenciales por zona geográfica y tipo de usuario, y la generación automatizada de reportes para la Autoridad Reguladora.</w:t>
      </w:r>
    </w:p>
    <w:p>
      <w:pPr>
        <w:spacing w:before="0" w:after="120"/>
        <w:jc w:val="both"/>
      </w:pPr>
      <w:r>
        <w:rPr>
          <w:rFonts w:ascii="Arial" w:cs="Arial" w:eastAsia="Arial" w:hAnsi="Arial"/>
          <w:sz w:val="22"/>
          <w:szCs w:val="22"/>
        </w:rPr>
        <w:t xml:space="preserve">Desde el punto de vista técnico, el sistema está construido sobre una arquitectura de microservicios utilizando Java con Spring Boot para el backend, Angular/React para el frontend, y una infraestructura de contenedores basada en Docker y Kubernetes que garantiza la escalabilidad horizontal. La plataforma integra sensores IoT instalados en los tanques de las estaciones de servicio y en los vehículos de distribución, APIs de GPS para rastreo de flotas, y un Data Lake para análisis predictivos de consumo y precios.</w:t>
      </w:r>
    </w:p>
    <w:p>
      <w:pPr>
        <w:spacing w:before="0" w:after="120"/>
        <w:jc w:val="both"/>
      </w:pPr>
      <w:r>
        <w:rPr>
          <w:rFonts w:ascii="Arial" w:cs="Arial" w:eastAsia="Arial" w:hAnsi="Arial"/>
          <w:sz w:val="22"/>
          <w:szCs w:val="22"/>
        </w:rPr>
        <w:t xml:space="preserve">El sistema incorpora un motor de reglas configurable que interpreta automáticamente resoluciones y decretos, garantizando que cada transacción sea procesada conforme a la normativa vigente sin intervención manual. Todos los actores disponen de interfaces web responsivas adaptadas a sus roles y responsabilidades específicas.</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2.3 Objetivos</w:t>
      </w:r>
    </w:p>
    <w:p>
      <w:pPr>
        <w:spacing w:before="0" w:after="120"/>
        <w:jc w:val="both"/>
      </w:pPr>
      <w:r>
        <w:rPr>
          <w:rFonts w:ascii="Arial" w:cs="Arial" w:eastAsia="Arial" w:hAnsi="Arial"/>
          <w:b/>
          <w:bCs/>
          <w:sz w:val="22"/>
          <w:szCs w:val="22"/>
        </w:rPr>
        <w:t xml:space="preserve">Objetivo General:</w:t>
      </w:r>
    </w:p>
    <w:p>
      <w:pPr>
        <w:spacing w:before="0" w:after="120"/>
        <w:jc w:val="both"/>
      </w:pPr>
      <w:r>
        <w:rPr>
          <w:rFonts w:ascii="Arial" w:cs="Arial" w:eastAsia="Arial" w:hAnsi="Arial"/>
          <w:sz w:val="22"/>
          <w:szCs w:val="22"/>
        </w:rPr>
        <w:t xml:space="preserve">Desarrollar una plataforma tecnológica que digitalice, automatice y haga trazable la gestión integral de la cadena de suministro de combustibles en Colombia, garantizando el cumplimiento del Decreto 1428 de 2025 y optimizando la operación de todos los actores involucrados.</w:t>
      </w:r>
    </w:p>
    <w:p>
      <w:pPr>
        <w:spacing w:before="0" w:after="120"/>
      </w:pPr>
      <w:r>
        <w:t xml:space="preserve"/>
      </w:r>
    </w:p>
    <w:p>
      <w:pPr>
        <w:spacing w:before="0" w:after="120"/>
        <w:jc w:val="both"/>
      </w:pPr>
      <w:r>
        <w:rPr>
          <w:rFonts w:ascii="Arial" w:cs="Arial" w:eastAsia="Arial" w:hAnsi="Arial"/>
          <w:b/>
          <w:bCs/>
          <w:sz w:val="22"/>
          <w:szCs w:val="22"/>
        </w:rPr>
        <w:t xml:space="preserve">Objetivos Específicos:</w:t>
      </w:r>
    </w:p>
    <w:p>
      <w:pPr>
        <w:pStyle w:val="ListParagraph"/>
        <w:numPr>
          <w:ilvl w:val="0"/>
          <w:numId w:val="2"/>
        </w:numPr>
        <w:spacing w:before="0" w:after="80"/>
      </w:pPr>
      <w:r>
        <w:rPr>
          <w:rFonts w:ascii="Arial" w:cs="Arial" w:eastAsia="Arial" w:hAnsi="Arial"/>
          <w:sz w:val="22"/>
          <w:szCs w:val="22"/>
        </w:rPr>
        <w:t xml:space="preserve">Implementar un motor de configuración dinámica de precios diferenciales por zona geográfica y tipo de usuario, en conformidad con el Decreto 1428 de 2025.</w:t>
      </w:r>
    </w:p>
    <w:p>
      <w:pPr>
        <w:pStyle w:val="ListParagraph"/>
        <w:numPr>
          <w:ilvl w:val="0"/>
          <w:numId w:val="2"/>
        </w:numPr>
        <w:spacing w:before="0" w:after="80"/>
      </w:pPr>
      <w:r>
        <w:rPr>
          <w:rFonts w:ascii="Arial" w:cs="Arial" w:eastAsia="Arial" w:hAnsi="Arial"/>
          <w:sz w:val="22"/>
          <w:szCs w:val="22"/>
        </w:rPr>
        <w:t xml:space="preserve">Desarrollar un módulo de control y trazabilidad de inventarios en tiempo real mediante integración con sensores IoT instalados en tanques y vehículos de distribución.</w:t>
      </w:r>
    </w:p>
    <w:p>
      <w:pPr>
        <w:pStyle w:val="ListParagraph"/>
        <w:numPr>
          <w:ilvl w:val="0"/>
          <w:numId w:val="2"/>
        </w:numPr>
        <w:spacing w:before="0" w:after="80"/>
      </w:pPr>
      <w:r>
        <w:rPr>
          <w:rFonts w:ascii="Arial" w:cs="Arial" w:eastAsia="Arial" w:hAnsi="Arial"/>
          <w:sz w:val="22"/>
          <w:szCs w:val="22"/>
        </w:rPr>
        <w:t xml:space="preserve">Automatizar la generación de reportes regulatorios en los formatos exigidos por el Ministerio de Minas y Energía, reduciendo el tiempo de preparación en al menos un 80%.</w:t>
      </w:r>
    </w:p>
    <w:p>
      <w:pPr>
        <w:pStyle w:val="ListParagraph"/>
        <w:numPr>
          <w:ilvl w:val="0"/>
          <w:numId w:val="2"/>
        </w:numPr>
        <w:spacing w:before="0" w:after="80"/>
      </w:pPr>
      <w:r>
        <w:rPr>
          <w:rFonts w:ascii="Arial" w:cs="Arial" w:eastAsia="Arial" w:hAnsi="Arial"/>
          <w:sz w:val="22"/>
          <w:szCs w:val="22"/>
        </w:rPr>
        <w:t xml:space="preserve">Proveer dashboards analíticos para la Autoridad Reguladora que permitan detectar anomalías y patrones de incumplimiento normativo.</w:t>
      </w:r>
    </w:p>
    <w:p>
      <w:pPr>
        <w:pStyle w:val="ListParagraph"/>
        <w:numPr>
          <w:ilvl w:val="0"/>
          <w:numId w:val="2"/>
        </w:numPr>
        <w:spacing w:before="0" w:after="80"/>
      </w:pPr>
      <w:r>
        <w:rPr>
          <w:rFonts w:ascii="Arial" w:cs="Arial" w:eastAsia="Arial" w:hAnsi="Arial"/>
          <w:sz w:val="22"/>
          <w:szCs w:val="22"/>
        </w:rPr>
        <w:t xml:space="preserve">Garantizar la disponibilidad del sistema 24/7 con una tasa de uptime superior al 99.5%, considerando la criticidad del suministro de combustibles para la economía nacional.</w:t>
      </w:r>
    </w:p>
    <w:p>
      <w:pPr>
        <w:pStyle w:val="ListParagraph"/>
        <w:numPr>
          <w:ilvl w:val="0"/>
          <w:numId w:val="2"/>
        </w:numPr>
        <w:spacing w:before="0" w:after="80"/>
      </w:pPr>
      <w:r>
        <w:rPr>
          <w:rFonts w:ascii="Arial" w:cs="Arial" w:eastAsia="Arial" w:hAnsi="Arial"/>
          <w:sz w:val="22"/>
          <w:szCs w:val="22"/>
        </w:rPr>
        <w:t xml:space="preserve">Asegurar la escalabilidad horizontal del sistema para soportar el crecimiento en el número de estaciones de servicio y distribuidores registrados.</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2.4 Stakeholders</w:t>
      </w:r>
    </w:p>
    <w:p>
      <w:pPr>
        <w:spacing w:before="0" w:after="120"/>
        <w:jc w:val="both"/>
      </w:pPr>
      <w:r>
        <w:rPr>
          <w:rFonts w:ascii="Arial" w:cs="Arial" w:eastAsia="Arial" w:hAnsi="Arial"/>
          <w:sz w:val="22"/>
          <w:szCs w:val="22"/>
        </w:rPr>
        <w:t xml:space="preserve">A continuación se presentan los stakeholders del proyecto, sus roles y sus principales expectativas respecto al sistema: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Stakeholder</w:t>
            </w:r>
          </w:p>
        </w:tc>
        <w:tc>
          <w:tcPr>
            <w:tcW w:type="dxa" w:w="6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Estaciones de Servicio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Establecimientos responsables de la venta final de combustible al público. Operan a través de sus administradores y personal de pista.</w:t>
            </w:r>
          </w:p>
        </w:tc>
      </w:tr>
      <w:tr>
        <w:tc>
          <w:tcPr>
            <w:tcW w:type="dxa" w:w="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2</w:t>
            </w:r>
          </w:p>
        </w:tc>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Distribuidores Mayoristas</w:t>
            </w:r>
          </w:p>
        </w:tc>
        <w:tc>
          <w:tcPr>
            <w:tcW w:type="dxa" w:w="6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Empresas que transportan y entregan combustible desde las plantas de abasto hacia las estaciones de servicio.</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Autoridad Reguladora (MinMinas)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Entidad gubernamental responsable de supervisar el cumplimiento del Decreto 1428 y la normativa del sector de combustibles.</w:t>
            </w:r>
          </w:p>
        </w:tc>
      </w:tr>
      <w:tr>
        <w:tc>
          <w:tcPr>
            <w:tcW w:type="dxa" w:w="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4</w:t>
            </w:r>
          </w:p>
        </w:tc>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Administrador del Sistema</w:t>
            </w:r>
          </w:p>
        </w:tc>
        <w:tc>
          <w:tcPr>
            <w:tcW w:type="dxa" w:w="6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Rol técnico responsable de configurar las reglas de validación, gestionar usuarios, permisos y parámetros del sistema.</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Transportistas / Sector Transporte Público y de Carga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Actores beneficiarios del precio preferencial del ACPM, cuya categorización debe ser validada por la plataforma.</w:t>
            </w:r>
          </w:p>
        </w:tc>
      </w:tr>
      <w:tr>
        <w:tc>
          <w:tcPr>
            <w:tcW w:type="dxa" w:w="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6</w:t>
            </w:r>
          </w:p>
        </w:tc>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Ciudadanos / Consumidores</w:t>
            </w:r>
          </w:p>
        </w:tc>
        <w:tc>
          <w:tcPr>
            <w:tcW w:type="dxa" w:w="6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Usuarios finales del combustible. Aunque no interactúan directamente con la plataforma, son impactados por los precios resultantes de su operación.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Desarrolladores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Equipo técnico responsable del diseño, implementación y mantenimiento de la plataforma.</w:t>
            </w:r>
          </w:p>
        </w:tc>
      </w:tr>
      <w:tr>
        <w:tc>
          <w:tcPr>
            <w:tcW w:type="dxa" w:w="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8</w:t>
            </w:r>
          </w:p>
        </w:tc>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Gerentes de Proyecto</w:t>
            </w:r>
          </w:p>
        </w:tc>
        <w:tc>
          <w:tcPr>
            <w:tcW w:type="dxa" w:w="6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Responsables de la planificación, control y entrega del proyecto tecnológico.</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Stakeholder</w:t>
            </w:r>
          </w:p>
        </w:tc>
        <w:tc>
          <w:tcPr>
            <w:tcW w:type="dxa" w:w="6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Expectativas Principales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Estaciones de Servicio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Visualizar en tiempo real los precios vigentes por zona. Registrar inventarios de manera ágil. Consultar el historial de transacciones para auditorías.</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Distribuidores Mayoristas</w:t>
            </w:r>
          </w:p>
        </w:tc>
        <w:tc>
          <w:tcPr>
            <w:tcW w:type="dxa" w:w="6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Registrar y validar entregas de combustible con volumen y destino. Rastrear flotas en tiempo real. Obtener confirmaciones automáticas de recepciones.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Autoridad Reguladora</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Acceder a informes automáticos de cumplimiento. Detectar anomalías en precios e inventarios. Descargar reportes en los formatos oficiales exigidos.</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Administrador del Sistema</w:t>
            </w:r>
          </w:p>
        </w:tc>
        <w:tc>
          <w:tcPr>
            <w:tcW w:type="dxa" w:w="6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Configurar y actualizar reglas de validación normativa. Gestionar roles y permisos. Monitorear la salud y disponibilidad del sistema.</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Transportistas / Transp. Público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Acceder al precio diferenciado conforme a su categoría certificada. Generar comprobantes de compra de combustible subsidiado.</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Ciudadanos / Consumidores</w:t>
            </w:r>
          </w:p>
        </w:tc>
        <w:tc>
          <w:tcPr>
            <w:tcW w:type="dxa" w:w="6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Transparencia en la fijación de precios. Disponibilidad continua del combustible en las estaciones de servicio.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Desarrolladores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Arquitectura clara, modular y bien documentada. Entornos de desarrollo, pruebas y producción diferenciados.</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Gerentes de Proyecto</w:t>
            </w:r>
          </w:p>
        </w:tc>
        <w:tc>
          <w:tcPr>
            <w:tcW w:type="dxa" w:w="6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Cumplimiento de hitos, presupuesto y alcance. Alineación de la solución con la normativa legal vigente.</w:t>
            </w:r>
          </w:p>
        </w:tc>
      </w:tr>
    </w:tbl>
    <w:p>
      <w:pPr>
        <w:spacing w:before="0" w:after="120"/>
      </w:pPr>
      <w:r>
        <w:t xml:space="preserve"/>
      </w:r>
    </w:p>
    <w:p>
      <w:pPr>
        <w:pStyle w:val="Heading2"/>
        <w:spacing w:before="240" w:after="120"/>
      </w:pPr>
      <w:r>
        <w:rPr>
          <w:rFonts w:ascii="Arial" w:cs="Arial" w:eastAsia="Arial" w:hAnsi="Arial"/>
          <w:b/>
          <w:bCs/>
          <w:color w:val="2E74B5"/>
          <w:sz w:val="26"/>
          <w:szCs w:val="26"/>
        </w:rPr>
        <w:t xml:space="preserve">2.5 Modelo Motivacional de Negocio (Business Motivation Model)</w:t>
      </w:r>
    </w:p>
    <w:p>
      <w:pPr>
        <w:spacing w:before="0" w:after="120"/>
        <w:jc w:val="both"/>
      </w:pPr>
      <w:r>
        <w:rPr>
          <w:rFonts w:ascii="Arial" w:cs="Arial" w:eastAsia="Arial" w:hAnsi="Arial"/>
          <w:sz w:val="22"/>
          <w:szCs w:val="22"/>
        </w:rPr>
        <w:t xml:space="preserve">El Modelo Motivacional de Negocio (BMM) permite identificar y articular las intenciones estratégicas de la organización que impulsó el desarrollo de la plataforma. A continuación se presentan los elementos que componen dicho modelo, diferenciando los Fines (lo que la organización quiere lograr) de los Medios (cómo planea lograrlo).</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Fines Estratégicos</w:t>
      </w:r>
    </w:p>
    <w:p>
      <w:pPr>
        <w:spacing w:before="0" w:after="120"/>
        <w:jc w:val="both"/>
      </w:pPr>
      <w:r>
        <w:rPr>
          <w:rFonts w:ascii="Arial" w:cs="Arial" w:eastAsia="Arial" w:hAnsi="Arial"/>
          <w:b/>
          <w:bCs/>
          <w:sz w:val="22"/>
          <w:szCs w:val="22"/>
        </w:rPr>
        <w:t xml:space="preserve">Vision:</w:t>
      </w:r>
    </w:p>
    <w:p>
      <w:pPr>
        <w:spacing w:before="0" w:after="120"/>
        <w:jc w:val="both"/>
      </w:pPr>
      <w:r>
        <w:rPr>
          <w:rFonts w:ascii="Arial" w:cs="Arial" w:eastAsia="Arial" w:hAnsi="Arial"/>
          <w:sz w:val="22"/>
          <w:szCs w:val="22"/>
        </w:rPr>
        <w:t xml:space="preserve">Ser el ecosistema digital de referencia en Colombia para la gestion transparente, eficiente y legalmente conforme de la cadena de suministro de combustibles, contribuyendo a la sostenibilidad fiscal del pais y a la equidad en el acceso a este recurso estrategico.</w:t>
      </w:r>
    </w:p>
    <w:p>
      <w:pPr>
        <w:spacing w:before="0" w:after="120"/>
      </w:pPr>
      <w:r>
        <w:t xml:space="preserve"/>
      </w:r>
    </w:p>
    <w:p>
      <w:pPr>
        <w:spacing w:before="0" w:after="120"/>
        <w:jc w:val="both"/>
      </w:pPr>
      <w:r>
        <w:rPr>
          <w:rFonts w:ascii="Arial" w:cs="Arial" w:eastAsia="Arial" w:hAnsi="Arial"/>
          <w:b/>
          <w:bCs/>
          <w:sz w:val="22"/>
          <w:szCs w:val="22"/>
        </w:rPr>
        <w:t xml:space="preserve">Objetivos Estrategicos:</w:t>
      </w:r>
    </w:p>
    <w:p>
      <w:pPr>
        <w:pStyle w:val="ListParagraph"/>
        <w:numPr>
          <w:ilvl w:val="0"/>
          <w:numId w:val="2"/>
        </w:numPr>
        <w:spacing w:before="0" w:after="80"/>
      </w:pPr>
      <w:r>
        <w:rPr>
          <w:rFonts w:ascii="Arial" w:cs="Arial" w:eastAsia="Arial" w:hAnsi="Arial"/>
          <w:sz w:val="22"/>
          <w:szCs w:val="22"/>
        </w:rPr>
        <w:t xml:space="preserve">OE-01: Garantizar el cumplimiento automatico del Decreto 1428 de 2025 en el 100% de las transacciones procesadas por la plataforma.</w:t>
      </w:r>
    </w:p>
    <w:p>
      <w:pPr>
        <w:pStyle w:val="ListParagraph"/>
        <w:numPr>
          <w:ilvl w:val="0"/>
          <w:numId w:val="2"/>
        </w:numPr>
        <w:spacing w:before="0" w:after="80"/>
      </w:pPr>
      <w:r>
        <w:rPr>
          <w:rFonts w:ascii="Arial" w:cs="Arial" w:eastAsia="Arial" w:hAnsi="Arial"/>
          <w:sz w:val="22"/>
          <w:szCs w:val="22"/>
        </w:rPr>
        <w:t xml:space="preserve">OE-02: Reducir en un 90% las inconsistencias en el registro de inventarios de combustibles en las estaciones de servicio afiliadas.</w:t>
      </w:r>
    </w:p>
    <w:p>
      <w:pPr>
        <w:pStyle w:val="ListParagraph"/>
        <w:numPr>
          <w:ilvl w:val="0"/>
          <w:numId w:val="2"/>
        </w:numPr>
        <w:spacing w:before="0" w:after="80"/>
      </w:pPr>
      <w:r>
        <w:rPr>
          <w:rFonts w:ascii="Arial" w:cs="Arial" w:eastAsia="Arial" w:hAnsi="Arial"/>
          <w:sz w:val="22"/>
          <w:szCs w:val="22"/>
        </w:rPr>
        <w:t xml:space="preserve">OE-03: Eliminar los reportes manuales a la Autoridad Reguladora, sustituyendolos por generacion automatica en los formatos oficiales.</w:t>
      </w:r>
    </w:p>
    <w:p>
      <w:pPr>
        <w:pStyle w:val="ListParagraph"/>
        <w:numPr>
          <w:ilvl w:val="0"/>
          <w:numId w:val="2"/>
        </w:numPr>
        <w:spacing w:before="0" w:after="80"/>
      </w:pPr>
      <w:r>
        <w:rPr>
          <w:rFonts w:ascii="Arial" w:cs="Arial" w:eastAsia="Arial" w:hAnsi="Arial"/>
          <w:sz w:val="22"/>
          <w:szCs w:val="22"/>
        </w:rPr>
        <w:t xml:space="preserve">OE-04: Proveer visibilidad en tiempo real de la logistica de distribucion a todos los actores de la cadena de suministro.</w:t>
      </w:r>
    </w:p>
    <w:p>
      <w:pPr>
        <w:pStyle w:val="ListParagraph"/>
        <w:numPr>
          <w:ilvl w:val="0"/>
          <w:numId w:val="2"/>
        </w:numPr>
        <w:spacing w:before="0" w:after="80"/>
      </w:pPr>
      <w:r>
        <w:rPr>
          <w:rFonts w:ascii="Arial" w:cs="Arial" w:eastAsia="Arial" w:hAnsi="Arial"/>
          <w:sz w:val="22"/>
          <w:szCs w:val="22"/>
        </w:rPr>
        <w:t xml:space="preserve">OE-05: Detectar y alertar sobre anomalias de precios e inventarios en menos de 5 minutos desde su ocurrencia.</w:t>
      </w:r>
    </w:p>
    <w:p>
      <w:pPr>
        <w:spacing w:before="0" w:after="120"/>
      </w:pPr>
      <w:r>
        <w:t xml:space="preserve"/>
      </w:r>
    </w:p>
    <w:p>
      <w:pPr>
        <w:spacing w:before="0" w:after="120"/>
        <w:jc w:val="both"/>
      </w:pPr>
      <w:r>
        <w:rPr>
          <w:rFonts w:ascii="Arial" w:cs="Arial" w:eastAsia="Arial" w:hAnsi="Arial"/>
          <w:b/>
          <w:bCs/>
          <w:sz w:val="22"/>
          <w:szCs w:val="22"/>
        </w:rPr>
        <w:t xml:space="preserve">Metas (Resultados Medibles):</w:t>
      </w:r>
    </w:p>
    <w:p>
      <w:pPr>
        <w:pStyle w:val="ListParagraph"/>
        <w:numPr>
          <w:ilvl w:val="0"/>
          <w:numId w:val="2"/>
        </w:numPr>
        <w:spacing w:before="0" w:after="80"/>
      </w:pPr>
      <w:r>
        <w:rPr>
          <w:rFonts w:ascii="Arial" w:cs="Arial" w:eastAsia="Arial" w:hAnsi="Arial"/>
          <w:sz w:val="22"/>
          <w:szCs w:val="22"/>
        </w:rPr>
        <w:t xml:space="preserve">META-01: 100% de estaciones de servicio en zona de cobertura incorporadas a la plataforma en 18 meses.</w:t>
      </w:r>
    </w:p>
    <w:p>
      <w:pPr>
        <w:pStyle w:val="ListParagraph"/>
        <w:numPr>
          <w:ilvl w:val="0"/>
          <w:numId w:val="2"/>
        </w:numPr>
        <w:spacing w:before="0" w:after="80"/>
      </w:pPr>
      <w:r>
        <w:rPr>
          <w:rFonts w:ascii="Arial" w:cs="Arial" w:eastAsia="Arial" w:hAnsi="Arial"/>
          <w:sz w:val="22"/>
          <w:szCs w:val="22"/>
        </w:rPr>
        <w:t xml:space="preserve">META-02: Tasa de uptime del sistema superior al 99.5% mensual, dado el caracter critico del suministro.</w:t>
      </w:r>
    </w:p>
    <w:p>
      <w:pPr>
        <w:pStyle w:val="ListParagraph"/>
        <w:numPr>
          <w:ilvl w:val="0"/>
          <w:numId w:val="2"/>
        </w:numPr>
        <w:spacing w:before="0" w:after="80"/>
      </w:pPr>
      <w:r>
        <w:rPr>
          <w:rFonts w:ascii="Arial" w:cs="Arial" w:eastAsia="Arial" w:hAnsi="Arial"/>
          <w:sz w:val="22"/>
          <w:szCs w:val="22"/>
        </w:rPr>
        <w:t xml:space="preserve">META-03: Reduccion del 80% en el tiempo de preparacion de reportes regulatorios.</w:t>
      </w:r>
    </w:p>
    <w:p>
      <w:pPr>
        <w:pStyle w:val="ListParagraph"/>
        <w:numPr>
          <w:ilvl w:val="0"/>
          <w:numId w:val="2"/>
        </w:numPr>
        <w:spacing w:before="0" w:after="80"/>
      </w:pPr>
      <w:r>
        <w:rPr>
          <w:rFonts w:ascii="Arial" w:cs="Arial" w:eastAsia="Arial" w:hAnsi="Arial"/>
          <w:sz w:val="22"/>
          <w:szCs w:val="22"/>
        </w:rPr>
        <w:t xml:space="preserve">META-04: Deteccion automatica del 95% de transacciones anomalas mediante el motor de reglas.</w:t>
      </w:r>
    </w:p>
    <w:p>
      <w:pPr>
        <w:pStyle w:val="ListParagraph"/>
        <w:numPr>
          <w:ilvl w:val="0"/>
          <w:numId w:val="2"/>
        </w:numPr>
        <w:spacing w:before="0" w:after="80"/>
      </w:pPr>
      <w:r>
        <w:rPr>
          <w:rFonts w:ascii="Arial" w:cs="Arial" w:eastAsia="Arial" w:hAnsi="Arial"/>
          <w:sz w:val="22"/>
          <w:szCs w:val="22"/>
        </w:rPr>
        <w:t xml:space="preserve">META-05: Integracion de al menos el 70% de los distribuidores mayoristas en los primeros 12 meses.</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Medios Estrategicos</w:t>
      </w:r>
    </w:p>
    <w:p>
      <w:pPr>
        <w:spacing w:before="0" w:after="120"/>
        <w:jc w:val="both"/>
      </w:pPr>
      <w:r>
        <w:rPr>
          <w:rFonts w:ascii="Arial" w:cs="Arial" w:eastAsia="Arial" w:hAnsi="Arial"/>
          <w:b/>
          <w:bCs/>
          <w:sz w:val="22"/>
          <w:szCs w:val="22"/>
        </w:rPr>
        <w:t xml:space="preserve">Mision:</w:t>
      </w:r>
    </w:p>
    <w:p>
      <w:pPr>
        <w:spacing w:before="0" w:after="120"/>
        <w:jc w:val="both"/>
      </w:pPr>
      <w:r>
        <w:rPr>
          <w:rFonts w:ascii="Arial" w:cs="Arial" w:eastAsia="Arial" w:hAnsi="Arial"/>
          <w:sz w:val="22"/>
          <w:szCs w:val="22"/>
        </w:rPr>
        <w:t xml:space="preserve">Proveer una plataforma tecnologica robusta, segura y escalable que conecte a todos los actores de la cadena de suministro de combustibles de Colombia, automatizando el control de inventarios, la configuracion dinamica de precios diferenciales y la generacion de reportes regulatorios, en cumplimiento del marco legal vigente.</w:t>
      </w:r>
    </w:p>
    <w:p>
      <w:pPr>
        <w:spacing w:before="0" w:after="120"/>
      </w:pPr>
      <w:r>
        <w:t xml:space="preserve"/>
      </w:r>
    </w:p>
    <w:p>
      <w:pPr>
        <w:spacing w:before="0" w:after="120"/>
        <w:jc w:val="both"/>
      </w:pPr>
      <w:r>
        <w:rPr>
          <w:rFonts w:ascii="Arial" w:cs="Arial" w:eastAsia="Arial" w:hAnsi="Arial"/>
          <w:b/>
          <w:bCs/>
          <w:sz w:val="22"/>
          <w:szCs w:val="22"/>
        </w:rPr>
        <w:t xml:space="preserve">Estrategias:</w:t>
      </w:r>
    </w:p>
    <w:p>
      <w:pPr>
        <w:pStyle w:val="ListParagraph"/>
        <w:numPr>
          <w:ilvl w:val="0"/>
          <w:numId w:val="2"/>
        </w:numPr>
        <w:spacing w:before="0" w:after="80"/>
      </w:pPr>
      <w:r>
        <w:rPr>
          <w:rFonts w:ascii="Arial" w:cs="Arial" w:eastAsia="Arial" w:hAnsi="Arial"/>
          <w:sz w:val="22"/>
          <w:szCs w:val="22"/>
        </w:rPr>
        <w:t xml:space="preserve">EST-01: Implementar una arquitectura de microservicios con Java/Spring Boot que permita escalar independientemente cada capacidad del sistema.</w:t>
      </w:r>
    </w:p>
    <w:p>
      <w:pPr>
        <w:pStyle w:val="ListParagraph"/>
        <w:numPr>
          <w:ilvl w:val="0"/>
          <w:numId w:val="2"/>
        </w:numPr>
        <w:spacing w:before="0" w:after="80"/>
      </w:pPr>
      <w:r>
        <w:rPr>
          <w:rFonts w:ascii="Arial" w:cs="Arial" w:eastAsia="Arial" w:hAnsi="Arial"/>
          <w:sz w:val="22"/>
          <w:szCs w:val="22"/>
        </w:rPr>
        <w:t xml:space="preserve">EST-02: Integrar sensores IoT en tanques y vehiculos de distribucion para obtener datos de inventario y posicion en tiempo real.</w:t>
      </w:r>
    </w:p>
    <w:p>
      <w:pPr>
        <w:pStyle w:val="ListParagraph"/>
        <w:numPr>
          <w:ilvl w:val="0"/>
          <w:numId w:val="2"/>
        </w:numPr>
        <w:spacing w:before="0" w:after="80"/>
      </w:pPr>
      <w:r>
        <w:rPr>
          <w:rFonts w:ascii="Arial" w:cs="Arial" w:eastAsia="Arial" w:hAnsi="Arial"/>
          <w:sz w:val="22"/>
          <w:szCs w:val="22"/>
        </w:rPr>
        <w:t xml:space="preserve">EST-03: Desarrollar un motor de reglas configurable que interprete automaticamente decretos y resoluciones, garantizando cumplimiento normativo sin intervencion manual.</w:t>
      </w:r>
    </w:p>
    <w:p>
      <w:pPr>
        <w:pStyle w:val="ListParagraph"/>
        <w:numPr>
          <w:ilvl w:val="0"/>
          <w:numId w:val="2"/>
        </w:numPr>
        <w:spacing w:before="0" w:after="80"/>
      </w:pPr>
      <w:r>
        <w:rPr>
          <w:rFonts w:ascii="Arial" w:cs="Arial" w:eastAsia="Arial" w:hAnsi="Arial"/>
          <w:sz w:val="22"/>
          <w:szCs w:val="22"/>
        </w:rPr>
        <w:t xml:space="preserve">EST-04: Construir un Data Lake para almacenar el historico de transacciones y habilitar analisis predictivo de consumo y precios.</w:t>
      </w:r>
    </w:p>
    <w:p>
      <w:pPr>
        <w:pStyle w:val="ListParagraph"/>
        <w:numPr>
          <w:ilvl w:val="0"/>
          <w:numId w:val="2"/>
        </w:numPr>
        <w:spacing w:before="0" w:after="80"/>
      </w:pPr>
      <w:r>
        <w:rPr>
          <w:rFonts w:ascii="Arial" w:cs="Arial" w:eastAsia="Arial" w:hAnsi="Arial"/>
          <w:sz w:val="22"/>
          <w:szCs w:val="22"/>
        </w:rPr>
        <w:t xml:space="preserve">EST-05: Desplegar la plataforma en infraestructura Docker/Kubernetes para garantizar alta disponibilidad y escalabilidad horizontal.</w:t>
      </w:r>
    </w:p>
    <w:p>
      <w:pPr>
        <w:spacing w:before="0" w:after="120"/>
      </w:pPr>
      <w:r>
        <w:t xml:space="preserve"/>
      </w:r>
    </w:p>
    <w:p>
      <w:pPr>
        <w:spacing w:before="0" w:after="120"/>
        <w:jc w:val="both"/>
      </w:pPr>
      <w:r>
        <w:rPr>
          <w:rFonts w:ascii="Arial" w:cs="Arial" w:eastAsia="Arial" w:hAnsi="Arial"/>
          <w:b/>
          <w:bCs/>
          <w:sz w:val="22"/>
          <w:szCs w:val="22"/>
        </w:rPr>
        <w:t xml:space="preserve">Tacticas:</w:t>
      </w:r>
    </w:p>
    <w:p>
      <w:pPr>
        <w:pStyle w:val="ListParagraph"/>
        <w:numPr>
          <w:ilvl w:val="0"/>
          <w:numId w:val="2"/>
        </w:numPr>
        <w:spacing w:before="0" w:after="80"/>
      </w:pPr>
      <w:r>
        <w:rPr>
          <w:rFonts w:ascii="Arial" w:cs="Arial" w:eastAsia="Arial" w:hAnsi="Arial"/>
          <w:sz w:val="22"/>
          <w:szCs w:val="22"/>
        </w:rPr>
        <w:t xml:space="preserve">TAC-01: Usar APIs REST estandarizadas con autenticacion JWT para la comunicacion entre microservicios y aplicaciones cliente.</w:t>
      </w:r>
    </w:p>
    <w:p>
      <w:pPr>
        <w:pStyle w:val="ListParagraph"/>
        <w:numPr>
          <w:ilvl w:val="0"/>
          <w:numId w:val="2"/>
        </w:numPr>
        <w:spacing w:before="0" w:after="80"/>
      </w:pPr>
      <w:r>
        <w:rPr>
          <w:rFonts w:ascii="Arial" w:cs="Arial" w:eastAsia="Arial" w:hAnsi="Arial"/>
          <w:sz w:val="22"/>
          <w:szCs w:val="22"/>
        </w:rPr>
        <w:t xml:space="preserve">TAC-02: Implementar el patron CQRS (Command Query Responsibility Segregation) para optimizar el rendimiento en lecturas de precios e inventarios.</w:t>
      </w:r>
    </w:p>
    <w:p>
      <w:pPr>
        <w:pStyle w:val="ListParagraph"/>
        <w:numPr>
          <w:ilvl w:val="0"/>
          <w:numId w:val="2"/>
        </w:numPr>
        <w:spacing w:before="0" w:after="80"/>
      </w:pPr>
      <w:r>
        <w:rPr>
          <w:rFonts w:ascii="Arial" w:cs="Arial" w:eastAsia="Arial" w:hAnsi="Arial"/>
          <w:sz w:val="22"/>
          <w:szCs w:val="22"/>
        </w:rPr>
        <w:t xml:space="preserve">TAC-03: Adoptar DevOps con CI/CD mediante pipelines automatizados para reducir el tiempo de despliegue de nuevas versiones normativas.</w:t>
      </w:r>
    </w:p>
    <w:p>
      <w:pPr>
        <w:pStyle w:val="ListParagraph"/>
        <w:numPr>
          <w:ilvl w:val="0"/>
          <w:numId w:val="2"/>
        </w:numPr>
        <w:spacing w:before="0" w:after="80"/>
      </w:pPr>
      <w:r>
        <w:rPr>
          <w:rFonts w:ascii="Arial" w:cs="Arial" w:eastAsia="Arial" w:hAnsi="Arial"/>
          <w:sz w:val="22"/>
          <w:szCs w:val="22"/>
        </w:rPr>
        <w:t xml:space="preserve">TAC-04: Aplicar el patron de Circuit Breaker para garantizar la resiliencia del sistema ante fallos de servicios externos (IoT, GPS).</w:t>
      </w:r>
    </w:p>
    <w:p>
      <w:pPr>
        <w:pStyle w:val="ListParagraph"/>
        <w:numPr>
          <w:ilvl w:val="0"/>
          <w:numId w:val="2"/>
        </w:numPr>
        <w:spacing w:before="0" w:after="80"/>
      </w:pPr>
      <w:r>
        <w:rPr>
          <w:rFonts w:ascii="Arial" w:cs="Arial" w:eastAsia="Arial" w:hAnsi="Arial"/>
          <w:sz w:val="22"/>
          <w:szCs w:val="22"/>
        </w:rPr>
        <w:t xml:space="preserve">TAC-05: Implementar cifrado AES-256 para datos sensibles de inventario y precios, y TLS 1.3 para todas las comunicaciones en transito.</w:t>
      </w:r>
    </w:p>
    <w:p>
      <w:pPr>
        <w:spacing w:before="0" w:after="120"/>
      </w:pPr>
      <w:r>
        <w:t xml:space="preserve"/>
      </w:r>
    </w:p>
    <w:p>
      <w:pPr>
        <w:spacing w:before="0" w:after="120"/>
        <w:jc w:val="both"/>
      </w:pPr>
      <w:r>
        <w:rPr>
          <w:rFonts w:ascii="Arial" w:cs="Arial" w:eastAsia="Arial" w:hAnsi="Arial"/>
          <w:b/>
          <w:bCs/>
          <w:sz w:val="22"/>
          <w:szCs w:val="22"/>
        </w:rPr>
        <w:t xml:space="preserve">Restricciones identificadas (orientadas a atributos de calidad):</w:t>
      </w:r>
    </w:p>
    <w:p>
      <w:pPr>
        <w:pStyle w:val="ListParagraph"/>
        <w:numPr>
          <w:ilvl w:val="0"/>
          <w:numId w:val="2"/>
        </w:numPr>
        <w:spacing w:before="0" w:after="80"/>
      </w:pPr>
      <w:r>
        <w:rPr>
          <w:rFonts w:ascii="Arial" w:cs="Arial" w:eastAsia="Arial" w:hAnsi="Arial"/>
          <w:sz w:val="22"/>
          <w:szCs w:val="22"/>
        </w:rPr>
        <w:t xml:space="preserve">RESTR-01 (Seguridad): Los datos de inventario y precios son informacion sensible regulada; toda transmision debe estar cifrada y toda accion debe quedar auditada.</w:t>
      </w:r>
    </w:p>
    <w:p>
      <w:pPr>
        <w:pStyle w:val="ListParagraph"/>
        <w:numPr>
          <w:ilvl w:val="0"/>
          <w:numId w:val="2"/>
        </w:numPr>
        <w:spacing w:before="0" w:after="80"/>
      </w:pPr>
      <w:r>
        <w:rPr>
          <w:rFonts w:ascii="Arial" w:cs="Arial" w:eastAsia="Arial" w:hAnsi="Arial"/>
          <w:sz w:val="22"/>
          <w:szCs w:val="22"/>
        </w:rPr>
        <w:t xml:space="preserve">RESTR-02 (Disponibilidad): El suministro de combustibles es un servicio critico; el sistema no puede tener ventanas de mantenimiento en horarios de alta demanda.</w:t>
      </w:r>
    </w:p>
    <w:p>
      <w:pPr>
        <w:pStyle w:val="ListParagraph"/>
        <w:numPr>
          <w:ilvl w:val="0"/>
          <w:numId w:val="2"/>
        </w:numPr>
        <w:spacing w:before="0" w:after="80"/>
      </w:pPr>
      <w:r>
        <w:rPr>
          <w:rFonts w:ascii="Arial" w:cs="Arial" w:eastAsia="Arial" w:hAnsi="Arial"/>
          <w:sz w:val="22"/>
          <w:szCs w:val="22"/>
        </w:rPr>
        <w:t xml:space="preserve">RESTR-03 (Modificabilidad): La normativa del sector es dinamica; el sistema debe poder actualizar reglas de precios y formatos de reporte sin redespliegues completos.</w:t>
      </w:r>
    </w:p>
    <w:p>
      <w:pPr>
        <w:pStyle w:val="ListParagraph"/>
        <w:numPr>
          <w:ilvl w:val="0"/>
          <w:numId w:val="2"/>
        </w:numPr>
        <w:spacing w:before="0" w:after="80"/>
      </w:pPr>
      <w:r>
        <w:rPr>
          <w:rFonts w:ascii="Arial" w:cs="Arial" w:eastAsia="Arial" w:hAnsi="Arial"/>
          <w:sz w:val="22"/>
          <w:szCs w:val="22"/>
        </w:rPr>
        <w:t xml:space="preserve">RESTR-04 (Integrabilidad): El sistema debe integrarse con el SICOM del Ministerio de Minas y con APIs de proveedores de GPS e IoT sin dependencia exclusiva de un proveedor.</w:t>
      </w:r>
    </w:p>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Sección 3. Restricciones Arquitecturales</w:t>
      </w:r>
    </w:p>
    <w:p>
      <w:pPr>
        <w:pStyle w:val="Heading2"/>
        <w:spacing w:before="240" w:after="120"/>
      </w:pPr>
      <w:r>
        <w:rPr>
          <w:rFonts w:ascii="Arial" w:cs="Arial" w:eastAsia="Arial" w:hAnsi="Arial"/>
          <w:b/>
          <w:bCs/>
          <w:color w:val="2E74B5"/>
          <w:sz w:val="26"/>
          <w:szCs w:val="26"/>
        </w:rPr>
        <w:t xml:space="preserve">3.1 Motivadores de Negocio</w:t>
      </w:r>
    </w:p>
    <w:p>
      <w:pPr>
        <w:spacing w:before="0" w:after="120"/>
        <w:jc w:val="both"/>
      </w:pPr>
      <w:r>
        <w:rPr>
          <w:rFonts w:ascii="Arial" w:cs="Arial" w:eastAsia="Arial" w:hAnsi="Arial"/>
          <w:sz w:val="22"/>
          <w:szCs w:val="22"/>
        </w:rPr>
        <w:t xml:space="preserve">Los siguientes motivadores de negocio fueron identificados mediante el analisis del contexto organizacional y legal del proyecto. Cada uno define un resultado deseado, su medida de impacto y el area organizacional responsable de su ejecucion.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Nombre del Motivador de Negocio</w:t>
            </w:r>
          </w:p>
        </w:tc>
        <w:tc>
          <w:tcPr>
            <w:tcW w:type="dxa" w:w="686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 del Motivador de Negocio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Garantizar cumplimiento normativo del Decreto 1428 de 2025</w:t>
            </w:r>
          </w:p>
        </w:tc>
        <w:tc>
          <w:tcPr>
            <w:tcW w:type="dxa" w:w="68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Lograr que el 100% de las transacciones de venta de ACPM procesadas por la plataforma sean validadas automaticamente contra las reglas del Decreto 1428, mediante la implementacion de un motor de reglas normativo.</w:t>
            </w:r>
          </w:p>
        </w:tc>
      </w:tr>
      <w:tr>
        <w:tc>
          <w:tcPr>
            <w:tcW w:type="dxa" w:w="9360"/>
            <w:gridSpan w:val="3"/>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Medida del Impacto</w:t>
            </w:r>
          </w:p>
        </w:tc>
      </w:tr>
      <w:tr>
        <w:tc>
          <w:tcPr>
            <w:tcW w:type="dxa" w:w="93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Porcentaje de transacciones validadas automaticamente contra la normativa vigente</w:t>
            </w:r>
          </w:p>
        </w:tc>
      </w:tr>
      <w:tr>
        <w:tc>
          <w:tcPr>
            <w:tcW w:type="dxa" w:w="250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Rangos</w:t>
            </w:r>
          </w:p>
        </w:tc>
        <w:tc>
          <w:tcPr>
            <w:tcW w:type="dxa" w:w="343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Cota Minima</w:t>
            </w:r>
          </w:p>
        </w:tc>
        <w:tc>
          <w:tcPr>
            <w:tcW w:type="dxa" w:w="343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Cota Maxima</w:t>
            </w:r>
          </w:p>
        </w:tc>
      </w:tr>
      <w:tr>
        <w:tc>
          <w:tcPr>
            <w:tcW w:type="dxa" w:w="25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Ninguno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59%</w:t>
            </w:r>
          </w:p>
        </w:tc>
      </w:tr>
      <w:tr>
        <w:tc>
          <w:tcPr>
            <w:tcW w:type="dxa" w:w="2500"/>
            <w:tcBorders>
              <w:top w:val="single" w:color="AAAAAA" w:sz="4"/>
              <w:left w:val="single" w:color="AAAAAA" w:sz="4"/>
              <w:bottom w:val="single" w:color="AAAAAA" w:sz="4"/>
              <w:right w:val="single" w:color="AAAAAA" w:sz="4"/>
            </w:tcBorders>
            <w:shd w:fill="CC0000"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Bajo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60%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74%</w:t>
            </w:r>
          </w:p>
        </w:tc>
      </w:tr>
      <w:tr>
        <w:tc>
          <w:tcPr>
            <w:tcW w:type="dxa" w:w="2500"/>
            <w:tcBorders>
              <w:top w:val="single" w:color="AAAAAA" w:sz="4"/>
              <w:left w:val="single" w:color="AAAAAA" w:sz="4"/>
              <w:bottom w:val="single" w:color="AAAAAA" w:sz="4"/>
              <w:right w:val="single" w:color="AAAAAA" w:sz="4"/>
            </w:tcBorders>
            <w:shd w:fill="C55A11"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Moderado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75%</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89%</w:t>
            </w:r>
          </w:p>
        </w:tc>
      </w:tr>
      <w:tr>
        <w:tc>
          <w:tcPr>
            <w:tcW w:type="dxa" w:w="2500"/>
            <w:tcBorders>
              <w:top w:val="single" w:color="AAAAAA" w:sz="4"/>
              <w:left w:val="single" w:color="AAAAAA" w:sz="4"/>
              <w:bottom w:val="single" w:color="AAAAAA" w:sz="4"/>
              <w:right w:val="single" w:color="AAAAAA" w:sz="4"/>
            </w:tcBorders>
            <w:shd w:fill="70AD47"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Fuerte</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90%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99%</w:t>
            </w:r>
          </w:p>
        </w:tc>
      </w:tr>
      <w:tr>
        <w:tc>
          <w:tcPr>
            <w:tcW w:type="dxa" w:w="2500"/>
            <w:tcBorders>
              <w:top w:val="single" w:color="AAAAAA" w:sz="4"/>
              <w:left w:val="single" w:color="AAAAAA" w:sz="4"/>
              <w:bottom w:val="single" w:color="AAAAAA" w:sz="4"/>
              <w:right w:val="single" w:color="AAAAAA" w:sz="4"/>
            </w:tcBorders>
            <w:shd w:fill="375623"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Muy Fuerte</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100%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100%</w:t>
            </w:r>
          </w:p>
        </w:tc>
      </w:tr>
      <w:tr>
        <w:tc>
          <w:tcPr>
            <w:tcW w:type="dxa" w:w="2500"/>
            <w:vMerge w:val="restart"/>
            <w:tcBorders>
              <w:top w:val="single" w:color="AAAAAA" w:sz="4"/>
              <w:left w:val="single" w:color="AAAAAA" w:sz="4"/>
              <w:bottom w:val="single" w:color="AAAAAA" w:sz="4"/>
              <w:right w:val="single" w:color="AAAAAA" w:sz="4"/>
            </w:tcBorders>
            <w:shd w:fill="D6E4F0" w:val="clear"/>
            <w:tcMar>
              <w:top w:type="dxa" w:w="70"/>
              <w:left w:type="dxa" w:w="100"/>
              <w:bottom w:type="dxa" w:w="70"/>
              <w:right w:type="dxa" w:w="100"/>
            </w:tcMar>
            <w:vAlign w:val="center"/>
          </w:tcPr>
          <w:p>
            <w:pPr>
              <w:jc w:val="center"/>
            </w:pPr>
            <w:r>
              <w:rPr>
                <w:rFonts w:ascii="Arial" w:cs="Arial" w:eastAsia="Arial" w:hAnsi="Arial"/>
                <w:b/>
                <w:bCs/>
                <w:sz w:val="22"/>
                <w:szCs w:val="22"/>
              </w:rPr>
              <w:t xml:space="preserve">Asociacion del Motivador con el Negocio</w:t>
            </w: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Definido por: </w:t>
            </w:r>
            <w:r>
              <w:rPr>
                <w:rFonts w:ascii="Arial" w:cs="Arial" w:eastAsia="Arial" w:hAnsi="Arial"/>
                <w:sz w:val="22"/>
                <w:szCs w:val="22"/>
              </w:rPr>
              <w:t xml:space="preserve">Ministerio de Minas y Energia (MinMinas) / Lider Regulatorio del Proyecto</w:t>
            </w:r>
          </w:p>
        </w:tc>
      </w:tr>
      <w:tr>
        <w:tc>
          <w:tcPr>
            <w:vMerge w:val="continue"/>
            <w:tcBorders>
              <w:top w:val="single" w:color="AAAAAA" w:sz="4"/>
              <w:left w:val="single" w:color="AAAAAA" w:sz="4"/>
              <w:bottom w:val="single" w:color="AAAAAA" w:sz="4"/>
              <w:right w:val="single" w:color="AAAAAA" w:sz="4"/>
            </w:tcBorders>
          </w:tcP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Ejecutado por: </w:t>
            </w:r>
            <w:r>
              <w:rPr>
                <w:rFonts w:ascii="Arial" w:cs="Arial" w:eastAsia="Arial" w:hAnsi="Arial"/>
                <w:sz w:val="22"/>
                <w:szCs w:val="22"/>
              </w:rPr>
              <w:t xml:space="preserve">Administrador del Sistema / Equipo de Desarrollo FuelPlatform</w:t>
            </w:r>
          </w:p>
        </w:tc>
      </w:tr>
      <w:tr>
        <w:tc>
          <w:tcPr>
            <w:vMerge w:val="continue"/>
            <w:tcBorders>
              <w:top w:val="single" w:color="AAAAAA" w:sz="4"/>
              <w:left w:val="single" w:color="AAAAAA" w:sz="4"/>
              <w:bottom w:val="single" w:color="AAAAAA" w:sz="4"/>
              <w:right w:val="single" w:color="AAAAAA" w:sz="4"/>
            </w:tcBorders>
          </w:tcP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Ubicacion en el portafolio: </w:t>
            </w:r>
            <w:r>
              <w:rPr>
                <w:rFonts w:ascii="Arial" w:cs="Arial" w:eastAsia="Arial" w:hAnsi="Arial"/>
                <w:sz w:val="22"/>
                <w:szCs w:val="22"/>
              </w:rPr>
              <w:t xml:space="preserve">Cumplimiento Normativo y Auditoria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Nombre del Motivador de Negocio</w:t>
            </w:r>
          </w:p>
        </w:tc>
        <w:tc>
          <w:tcPr>
            <w:tcW w:type="dxa" w:w="686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 del Motivador de Negocio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Reducir inconsistencias en registro de inventarios</w:t>
            </w:r>
          </w:p>
        </w:tc>
        <w:tc>
          <w:tcPr>
            <w:tcW w:type="dxa" w:w="68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Disminuir en un 90% el numero de inconsistencias detectadas en el registro de inventarios de combustible en estaciones de servicio, mediante la integracion con sensores IoT y validaciones automaticas de conciliacion.</w:t>
            </w:r>
          </w:p>
        </w:tc>
      </w:tr>
      <w:tr>
        <w:tc>
          <w:tcPr>
            <w:tcW w:type="dxa" w:w="9360"/>
            <w:gridSpan w:val="3"/>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Medida del Impacto</w:t>
            </w:r>
          </w:p>
        </w:tc>
      </w:tr>
      <w:tr>
        <w:tc>
          <w:tcPr>
            <w:tcW w:type="dxa" w:w="93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Porcentaje de reduccion de inconsistencias en inventario respecto al registro manual anterior</w:t>
            </w:r>
          </w:p>
        </w:tc>
      </w:tr>
      <w:tr>
        <w:tc>
          <w:tcPr>
            <w:tcW w:type="dxa" w:w="250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Rangos</w:t>
            </w:r>
          </w:p>
        </w:tc>
        <w:tc>
          <w:tcPr>
            <w:tcW w:type="dxa" w:w="343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Cota Minima</w:t>
            </w:r>
          </w:p>
        </w:tc>
        <w:tc>
          <w:tcPr>
            <w:tcW w:type="dxa" w:w="343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Cota Maxima</w:t>
            </w:r>
          </w:p>
        </w:tc>
      </w:tr>
      <w:tr>
        <w:tc>
          <w:tcPr>
            <w:tcW w:type="dxa" w:w="25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Ninguno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19%</w:t>
            </w:r>
          </w:p>
        </w:tc>
      </w:tr>
      <w:tr>
        <w:tc>
          <w:tcPr>
            <w:tcW w:type="dxa" w:w="2500"/>
            <w:tcBorders>
              <w:top w:val="single" w:color="AAAAAA" w:sz="4"/>
              <w:left w:val="single" w:color="AAAAAA" w:sz="4"/>
              <w:bottom w:val="single" w:color="AAAAAA" w:sz="4"/>
              <w:right w:val="single" w:color="AAAAAA" w:sz="4"/>
            </w:tcBorders>
            <w:shd w:fill="CC0000"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Bajo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20%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49%</w:t>
            </w:r>
          </w:p>
        </w:tc>
      </w:tr>
      <w:tr>
        <w:tc>
          <w:tcPr>
            <w:tcW w:type="dxa" w:w="2500"/>
            <w:tcBorders>
              <w:top w:val="single" w:color="AAAAAA" w:sz="4"/>
              <w:left w:val="single" w:color="AAAAAA" w:sz="4"/>
              <w:bottom w:val="single" w:color="AAAAAA" w:sz="4"/>
              <w:right w:val="single" w:color="AAAAAA" w:sz="4"/>
            </w:tcBorders>
            <w:shd w:fill="C55A11"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Moderado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50%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74%</w:t>
            </w:r>
          </w:p>
        </w:tc>
      </w:tr>
      <w:tr>
        <w:tc>
          <w:tcPr>
            <w:tcW w:type="dxa" w:w="2500"/>
            <w:tcBorders>
              <w:top w:val="single" w:color="AAAAAA" w:sz="4"/>
              <w:left w:val="single" w:color="AAAAAA" w:sz="4"/>
              <w:bottom w:val="single" w:color="AAAAAA" w:sz="4"/>
              <w:right w:val="single" w:color="AAAAAA" w:sz="4"/>
            </w:tcBorders>
            <w:shd w:fill="70AD47"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Fuerte</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75%</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89%</w:t>
            </w:r>
          </w:p>
        </w:tc>
      </w:tr>
      <w:tr>
        <w:tc>
          <w:tcPr>
            <w:tcW w:type="dxa" w:w="2500"/>
            <w:tcBorders>
              <w:top w:val="single" w:color="AAAAAA" w:sz="4"/>
              <w:left w:val="single" w:color="AAAAAA" w:sz="4"/>
              <w:bottom w:val="single" w:color="AAAAAA" w:sz="4"/>
              <w:right w:val="single" w:color="AAAAAA" w:sz="4"/>
            </w:tcBorders>
            <w:shd w:fill="375623"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Muy Fuerte</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90%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100%</w:t>
            </w:r>
          </w:p>
        </w:tc>
      </w:tr>
      <w:tr>
        <w:tc>
          <w:tcPr>
            <w:tcW w:type="dxa" w:w="2500"/>
            <w:vMerge w:val="restart"/>
            <w:tcBorders>
              <w:top w:val="single" w:color="AAAAAA" w:sz="4"/>
              <w:left w:val="single" w:color="AAAAAA" w:sz="4"/>
              <w:bottom w:val="single" w:color="AAAAAA" w:sz="4"/>
              <w:right w:val="single" w:color="AAAAAA" w:sz="4"/>
            </w:tcBorders>
            <w:shd w:fill="D6E4F0" w:val="clear"/>
            <w:tcMar>
              <w:top w:type="dxa" w:w="70"/>
              <w:left w:type="dxa" w:w="100"/>
              <w:bottom w:type="dxa" w:w="70"/>
              <w:right w:type="dxa" w:w="100"/>
            </w:tcMar>
            <w:vAlign w:val="center"/>
          </w:tcPr>
          <w:p>
            <w:pPr>
              <w:jc w:val="center"/>
            </w:pPr>
            <w:r>
              <w:rPr>
                <w:rFonts w:ascii="Arial" w:cs="Arial" w:eastAsia="Arial" w:hAnsi="Arial"/>
                <w:b/>
                <w:bCs/>
                <w:sz w:val="22"/>
                <w:szCs w:val="22"/>
              </w:rPr>
              <w:t xml:space="preserve">Asociacion del Motivador con el Negocio</w:t>
            </w: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Definido por: </w:t>
            </w:r>
            <w:r>
              <w:rPr>
                <w:rFonts w:ascii="Arial" w:cs="Arial" w:eastAsia="Arial" w:hAnsi="Arial"/>
                <w:sz w:val="22"/>
                <w:szCs w:val="22"/>
              </w:rPr>
              <w:t xml:space="preserve">Gerencia de Operaciones de Estaciones de Servicio</w:t>
            </w:r>
          </w:p>
        </w:tc>
      </w:tr>
      <w:tr>
        <w:tc>
          <w:tcPr>
            <w:vMerge w:val="continue"/>
            <w:tcBorders>
              <w:top w:val="single" w:color="AAAAAA" w:sz="4"/>
              <w:left w:val="single" w:color="AAAAAA" w:sz="4"/>
              <w:bottom w:val="single" w:color="AAAAAA" w:sz="4"/>
              <w:right w:val="single" w:color="AAAAAA" w:sz="4"/>
            </w:tcBorders>
          </w:tcP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Ejecutado por: </w:t>
            </w:r>
            <w:r>
              <w:rPr>
                <w:rFonts w:ascii="Arial" w:cs="Arial" w:eastAsia="Arial" w:hAnsi="Arial"/>
                <w:sz w:val="22"/>
                <w:szCs w:val="22"/>
              </w:rPr>
              <w:t xml:space="preserve">Equipo de Desarrollo FuelPlatform / Estaciones de Servicio Afiliadas</w:t>
            </w:r>
          </w:p>
        </w:tc>
      </w:tr>
      <w:tr>
        <w:tc>
          <w:tcPr>
            <w:vMerge w:val="continue"/>
            <w:tcBorders>
              <w:top w:val="single" w:color="AAAAAA" w:sz="4"/>
              <w:left w:val="single" w:color="AAAAAA" w:sz="4"/>
              <w:bottom w:val="single" w:color="AAAAAA" w:sz="4"/>
              <w:right w:val="single" w:color="AAAAAA" w:sz="4"/>
            </w:tcBorders>
          </w:tcP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Ubicacion en el portafolio: </w:t>
            </w:r>
            <w:r>
              <w:rPr>
                <w:rFonts w:ascii="Arial" w:cs="Arial" w:eastAsia="Arial" w:hAnsi="Arial"/>
                <w:sz w:val="22"/>
                <w:szCs w:val="22"/>
              </w:rPr>
              <w:t xml:space="preserve">Control de Inventarios y Operaciones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Nombre del Motivador de Negocio</w:t>
            </w:r>
          </w:p>
        </w:tc>
        <w:tc>
          <w:tcPr>
            <w:tcW w:type="dxa" w:w="686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 del Motivador de Negocio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Automatizar generacion de reportes regulatorios</w:t>
            </w:r>
          </w:p>
        </w:tc>
        <w:tc>
          <w:tcPr>
            <w:tcW w:type="dxa" w:w="68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Reducir en un 80% el tiempo de preparacion y envio de reportes al Ministerio de Minas y Energia, mediante la generacion automatica de informes en los formatos oficiales exigidos por la normativa.</w:t>
            </w:r>
          </w:p>
        </w:tc>
      </w:tr>
      <w:tr>
        <w:tc>
          <w:tcPr>
            <w:tcW w:type="dxa" w:w="9360"/>
            <w:gridSpan w:val="3"/>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Medida del Impacto</w:t>
            </w:r>
          </w:p>
        </w:tc>
      </w:tr>
      <w:tr>
        <w:tc>
          <w:tcPr>
            <w:tcW w:type="dxa" w:w="93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Porcentaje de reduccion en tiempo de preparacion de reportes regulatorios (referencia base: proceso manual actual)</w:t>
            </w:r>
          </w:p>
        </w:tc>
      </w:tr>
      <w:tr>
        <w:tc>
          <w:tcPr>
            <w:tcW w:type="dxa" w:w="250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Rangos</w:t>
            </w:r>
          </w:p>
        </w:tc>
        <w:tc>
          <w:tcPr>
            <w:tcW w:type="dxa" w:w="343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Cota Minima</w:t>
            </w:r>
          </w:p>
        </w:tc>
        <w:tc>
          <w:tcPr>
            <w:tcW w:type="dxa" w:w="343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Cota Maxima</w:t>
            </w:r>
          </w:p>
        </w:tc>
      </w:tr>
      <w:tr>
        <w:tc>
          <w:tcPr>
            <w:tcW w:type="dxa" w:w="25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Ninguno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19%</w:t>
            </w:r>
          </w:p>
        </w:tc>
      </w:tr>
      <w:tr>
        <w:tc>
          <w:tcPr>
            <w:tcW w:type="dxa" w:w="2500"/>
            <w:tcBorders>
              <w:top w:val="single" w:color="AAAAAA" w:sz="4"/>
              <w:left w:val="single" w:color="AAAAAA" w:sz="4"/>
              <w:bottom w:val="single" w:color="AAAAAA" w:sz="4"/>
              <w:right w:val="single" w:color="AAAAAA" w:sz="4"/>
            </w:tcBorders>
            <w:shd w:fill="CC0000"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Bajo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20%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39%</w:t>
            </w:r>
          </w:p>
        </w:tc>
      </w:tr>
      <w:tr>
        <w:tc>
          <w:tcPr>
            <w:tcW w:type="dxa" w:w="2500"/>
            <w:tcBorders>
              <w:top w:val="single" w:color="AAAAAA" w:sz="4"/>
              <w:left w:val="single" w:color="AAAAAA" w:sz="4"/>
              <w:bottom w:val="single" w:color="AAAAAA" w:sz="4"/>
              <w:right w:val="single" w:color="AAAAAA" w:sz="4"/>
            </w:tcBorders>
            <w:shd w:fill="C55A11"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Moderado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40%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59%</w:t>
            </w:r>
          </w:p>
        </w:tc>
      </w:tr>
      <w:tr>
        <w:tc>
          <w:tcPr>
            <w:tcW w:type="dxa" w:w="2500"/>
            <w:tcBorders>
              <w:top w:val="single" w:color="AAAAAA" w:sz="4"/>
              <w:left w:val="single" w:color="AAAAAA" w:sz="4"/>
              <w:bottom w:val="single" w:color="AAAAAA" w:sz="4"/>
              <w:right w:val="single" w:color="AAAAAA" w:sz="4"/>
            </w:tcBorders>
            <w:shd w:fill="70AD47"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Fuerte</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60%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79%</w:t>
            </w:r>
          </w:p>
        </w:tc>
      </w:tr>
      <w:tr>
        <w:tc>
          <w:tcPr>
            <w:tcW w:type="dxa" w:w="2500"/>
            <w:tcBorders>
              <w:top w:val="single" w:color="AAAAAA" w:sz="4"/>
              <w:left w:val="single" w:color="AAAAAA" w:sz="4"/>
              <w:bottom w:val="single" w:color="AAAAAA" w:sz="4"/>
              <w:right w:val="single" w:color="AAAAAA" w:sz="4"/>
            </w:tcBorders>
            <w:shd w:fill="375623"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Muy Fuerte</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80%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100%</w:t>
            </w:r>
          </w:p>
        </w:tc>
      </w:tr>
      <w:tr>
        <w:tc>
          <w:tcPr>
            <w:tcW w:type="dxa" w:w="2500"/>
            <w:vMerge w:val="restart"/>
            <w:tcBorders>
              <w:top w:val="single" w:color="AAAAAA" w:sz="4"/>
              <w:left w:val="single" w:color="AAAAAA" w:sz="4"/>
              <w:bottom w:val="single" w:color="AAAAAA" w:sz="4"/>
              <w:right w:val="single" w:color="AAAAAA" w:sz="4"/>
            </w:tcBorders>
            <w:shd w:fill="D6E4F0" w:val="clear"/>
            <w:tcMar>
              <w:top w:type="dxa" w:w="70"/>
              <w:left w:type="dxa" w:w="100"/>
              <w:bottom w:type="dxa" w:w="70"/>
              <w:right w:type="dxa" w:w="100"/>
            </w:tcMar>
            <w:vAlign w:val="center"/>
          </w:tcPr>
          <w:p>
            <w:pPr>
              <w:jc w:val="center"/>
            </w:pPr>
            <w:r>
              <w:rPr>
                <w:rFonts w:ascii="Arial" w:cs="Arial" w:eastAsia="Arial" w:hAnsi="Arial"/>
                <w:b/>
                <w:bCs/>
                <w:sz w:val="22"/>
                <w:szCs w:val="22"/>
              </w:rPr>
              <w:t xml:space="preserve">Asociacion del Motivador con el Negocio</w:t>
            </w: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Definido por: </w:t>
            </w:r>
            <w:r>
              <w:rPr>
                <w:rFonts w:ascii="Arial" w:cs="Arial" w:eastAsia="Arial" w:hAnsi="Arial"/>
                <w:sz w:val="22"/>
                <w:szCs w:val="22"/>
              </w:rPr>
              <w:t xml:space="preserve">Autoridad Reguladora (MinMinas) / Coordinador de Cumplimiento</w:t>
            </w:r>
          </w:p>
        </w:tc>
      </w:tr>
      <w:tr>
        <w:tc>
          <w:tcPr>
            <w:vMerge w:val="continue"/>
            <w:tcBorders>
              <w:top w:val="single" w:color="AAAAAA" w:sz="4"/>
              <w:left w:val="single" w:color="AAAAAA" w:sz="4"/>
              <w:bottom w:val="single" w:color="AAAAAA" w:sz="4"/>
              <w:right w:val="single" w:color="AAAAAA" w:sz="4"/>
            </w:tcBorders>
          </w:tcP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Ejecutado por: </w:t>
            </w:r>
            <w:r>
              <w:rPr>
                <w:rFonts w:ascii="Arial" w:cs="Arial" w:eastAsia="Arial" w:hAnsi="Arial"/>
                <w:sz w:val="22"/>
                <w:szCs w:val="22"/>
              </w:rPr>
              <w:t xml:space="preserve">Equipo de Desarrollo FuelPlatform / Administrador del Sistema</w:t>
            </w:r>
          </w:p>
        </w:tc>
      </w:tr>
      <w:tr>
        <w:tc>
          <w:tcPr>
            <w:vMerge w:val="continue"/>
            <w:tcBorders>
              <w:top w:val="single" w:color="AAAAAA" w:sz="4"/>
              <w:left w:val="single" w:color="AAAAAA" w:sz="4"/>
              <w:bottom w:val="single" w:color="AAAAAA" w:sz="4"/>
              <w:right w:val="single" w:color="AAAAAA" w:sz="4"/>
            </w:tcBorders>
          </w:tcP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Ubicacion en el portafolio: </w:t>
            </w:r>
            <w:r>
              <w:rPr>
                <w:rFonts w:ascii="Arial" w:cs="Arial" w:eastAsia="Arial" w:hAnsi="Arial"/>
                <w:sz w:val="22"/>
                <w:szCs w:val="22"/>
              </w:rPr>
              <w:t xml:space="preserve">Reporteria y Transparencia Regulatoria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Nombre del Motivador de Negocio</w:t>
            </w:r>
          </w:p>
        </w:tc>
        <w:tc>
          <w:tcPr>
            <w:tcW w:type="dxa" w:w="686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 del Motivador de Negocio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Aumentar transparencia en la cadena de suministro</w:t>
            </w:r>
          </w:p>
        </w:tc>
        <w:tc>
          <w:tcPr>
            <w:tcW w:type="dxa" w:w="68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Proveer trazabilidad completa de cada litro de combustible desde la planta de abasto hasta el surtidor, registrando todas las acciones de los actores y habilitando auditorias en tiempo real.</w:t>
            </w:r>
          </w:p>
        </w:tc>
      </w:tr>
      <w:tr>
        <w:tc>
          <w:tcPr>
            <w:tcW w:type="dxa" w:w="9360"/>
            <w:gridSpan w:val="3"/>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Medida del Impacto</w:t>
            </w:r>
          </w:p>
        </w:tc>
      </w:tr>
      <w:tr>
        <w:tc>
          <w:tcPr>
            <w:tcW w:type="dxa" w:w="93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Porcentaje de transacciones de la cadena de suministro con trazabilidad completa registrada en la plataforma</w:t>
            </w:r>
          </w:p>
        </w:tc>
      </w:tr>
      <w:tr>
        <w:tc>
          <w:tcPr>
            <w:tcW w:type="dxa" w:w="250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Rangos</w:t>
            </w:r>
          </w:p>
        </w:tc>
        <w:tc>
          <w:tcPr>
            <w:tcW w:type="dxa" w:w="343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Cota Minima</w:t>
            </w:r>
          </w:p>
        </w:tc>
        <w:tc>
          <w:tcPr>
            <w:tcW w:type="dxa" w:w="3430"/>
            <w:tcBorders>
              <w:top w:val="single" w:color="AAAAAA" w:sz="4"/>
              <w:left w:val="single" w:color="AAAAAA" w:sz="4"/>
              <w:bottom w:val="single" w:color="AAAAAA" w:sz="4"/>
              <w:right w:val="single" w:color="AAAAAA" w:sz="4"/>
            </w:tcBorders>
            <w:shd w:fill="595959"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Cota Maxima</w:t>
            </w:r>
          </w:p>
        </w:tc>
      </w:tr>
      <w:tr>
        <w:tc>
          <w:tcPr>
            <w:tcW w:type="dxa" w:w="25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Ninguno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49%</w:t>
            </w:r>
          </w:p>
        </w:tc>
      </w:tr>
      <w:tr>
        <w:tc>
          <w:tcPr>
            <w:tcW w:type="dxa" w:w="2500"/>
            <w:tcBorders>
              <w:top w:val="single" w:color="AAAAAA" w:sz="4"/>
              <w:left w:val="single" w:color="AAAAAA" w:sz="4"/>
              <w:bottom w:val="single" w:color="AAAAAA" w:sz="4"/>
              <w:right w:val="single" w:color="AAAAAA" w:sz="4"/>
            </w:tcBorders>
            <w:shd w:fill="CC0000"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Bajo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50%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69%</w:t>
            </w:r>
          </w:p>
        </w:tc>
      </w:tr>
      <w:tr>
        <w:tc>
          <w:tcPr>
            <w:tcW w:type="dxa" w:w="2500"/>
            <w:tcBorders>
              <w:top w:val="single" w:color="AAAAAA" w:sz="4"/>
              <w:left w:val="single" w:color="AAAAAA" w:sz="4"/>
              <w:bottom w:val="single" w:color="AAAAAA" w:sz="4"/>
              <w:right w:val="single" w:color="AAAAAA" w:sz="4"/>
            </w:tcBorders>
            <w:shd w:fill="C55A11"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Moderado</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70%</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84%</w:t>
            </w:r>
          </w:p>
        </w:tc>
      </w:tr>
      <w:tr>
        <w:tc>
          <w:tcPr>
            <w:tcW w:type="dxa" w:w="2500"/>
            <w:tcBorders>
              <w:top w:val="single" w:color="AAAAAA" w:sz="4"/>
              <w:left w:val="single" w:color="AAAAAA" w:sz="4"/>
              <w:bottom w:val="single" w:color="AAAAAA" w:sz="4"/>
              <w:right w:val="single" w:color="AAAAAA" w:sz="4"/>
            </w:tcBorders>
            <w:shd w:fill="70AD47"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Fuerte</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85%</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94%</w:t>
            </w:r>
          </w:p>
        </w:tc>
      </w:tr>
      <w:tr>
        <w:tc>
          <w:tcPr>
            <w:tcW w:type="dxa" w:w="2500"/>
            <w:tcBorders>
              <w:top w:val="single" w:color="AAAAAA" w:sz="4"/>
              <w:left w:val="single" w:color="AAAAAA" w:sz="4"/>
              <w:bottom w:val="single" w:color="AAAAAA" w:sz="4"/>
              <w:right w:val="single" w:color="AAAAAA" w:sz="4"/>
            </w:tcBorders>
            <w:shd w:fill="375623" w:val="clear"/>
            <w:tcMar>
              <w:top w:type="dxa" w:w="70"/>
              <w:left w:type="dxa" w:w="100"/>
              <w:bottom w:type="dxa" w:w="70"/>
              <w:right w:type="dxa" w:w="100"/>
            </w:tcMar>
          </w:tcPr>
          <w:p>
            <w:pPr>
              <w:jc w:val="center"/>
            </w:pPr>
            <w:r>
              <w:rPr>
                <w:rFonts w:ascii="Arial" w:cs="Arial" w:eastAsia="Arial" w:hAnsi="Arial"/>
                <w:b/>
                <w:bCs/>
                <w:color w:val="000000"/>
                <w:sz w:val="22"/>
                <w:szCs w:val="22"/>
              </w:rPr>
              <w:t xml:space="preserve">Muy Fuerte</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95%</w:t>
            </w:r>
          </w:p>
        </w:tc>
        <w:tc>
          <w:tcPr>
            <w:tcW w:type="dxa" w:w="343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2"/>
                <w:szCs w:val="22"/>
              </w:rPr>
              <w:t xml:space="preserve">100%</w:t>
            </w:r>
          </w:p>
        </w:tc>
      </w:tr>
      <w:tr>
        <w:tc>
          <w:tcPr>
            <w:tcW w:type="dxa" w:w="2500"/>
            <w:vMerge w:val="restart"/>
            <w:tcBorders>
              <w:top w:val="single" w:color="AAAAAA" w:sz="4"/>
              <w:left w:val="single" w:color="AAAAAA" w:sz="4"/>
              <w:bottom w:val="single" w:color="AAAAAA" w:sz="4"/>
              <w:right w:val="single" w:color="AAAAAA" w:sz="4"/>
            </w:tcBorders>
            <w:shd w:fill="D6E4F0" w:val="clear"/>
            <w:tcMar>
              <w:top w:type="dxa" w:w="70"/>
              <w:left w:type="dxa" w:w="100"/>
              <w:bottom w:type="dxa" w:w="70"/>
              <w:right w:type="dxa" w:w="100"/>
            </w:tcMar>
            <w:vAlign w:val="center"/>
          </w:tcPr>
          <w:p>
            <w:pPr>
              <w:jc w:val="center"/>
            </w:pPr>
            <w:r>
              <w:rPr>
                <w:rFonts w:ascii="Arial" w:cs="Arial" w:eastAsia="Arial" w:hAnsi="Arial"/>
                <w:b/>
                <w:bCs/>
                <w:sz w:val="22"/>
                <w:szCs w:val="22"/>
              </w:rPr>
              <w:t xml:space="preserve">Asociacion del Motivador con el Negocio</w:t>
            </w: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Definido por: </w:t>
            </w:r>
            <w:r>
              <w:rPr>
                <w:rFonts w:ascii="Arial" w:cs="Arial" w:eastAsia="Arial" w:hAnsi="Arial"/>
                <w:sz w:val="22"/>
                <w:szCs w:val="22"/>
              </w:rPr>
              <w:t xml:space="preserve">Autoridad Reguladora (MinMinas) / Gerencia de Transparencia</w:t>
            </w:r>
          </w:p>
        </w:tc>
      </w:tr>
      <w:tr>
        <w:tc>
          <w:tcPr>
            <w:vMerge w:val="continue"/>
            <w:tcBorders>
              <w:top w:val="single" w:color="AAAAAA" w:sz="4"/>
              <w:left w:val="single" w:color="AAAAAA" w:sz="4"/>
              <w:bottom w:val="single" w:color="AAAAAA" w:sz="4"/>
              <w:right w:val="single" w:color="AAAAAA" w:sz="4"/>
            </w:tcBorders>
          </w:tcP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Ejecutado por: </w:t>
            </w:r>
            <w:r>
              <w:rPr>
                <w:rFonts w:ascii="Arial" w:cs="Arial" w:eastAsia="Arial" w:hAnsi="Arial"/>
                <w:sz w:val="22"/>
                <w:szCs w:val="22"/>
              </w:rPr>
              <w:t xml:space="preserve">Equipo de Desarrollo FuelPlatform / Distribuidores y Estaciones Afiliadas</w:t>
            </w:r>
          </w:p>
        </w:tc>
      </w:tr>
      <w:tr>
        <w:tc>
          <w:tcPr>
            <w:vMerge w:val="continue"/>
            <w:tcBorders>
              <w:top w:val="single" w:color="AAAAAA" w:sz="4"/>
              <w:left w:val="single" w:color="AAAAAA" w:sz="4"/>
              <w:bottom w:val="single" w:color="AAAAAA" w:sz="4"/>
              <w:right w:val="single" w:color="AAAAAA" w:sz="4"/>
            </w:tcBorders>
          </w:tcPr>
          <w:p/>
        </w:tc>
        <w:tc>
          <w:tcPr>
            <w:tcW w:type="dxa" w:w="6860"/>
            <w:gridSpan w:val="2"/>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b/>
                <w:bCs/>
                <w:sz w:val="22"/>
                <w:szCs w:val="22"/>
              </w:rPr>
              <w:t xml:space="preserve">Ubicacion en el portafolio: </w:t>
            </w:r>
            <w:r>
              <w:rPr>
                <w:rFonts w:ascii="Arial" w:cs="Arial" w:eastAsia="Arial" w:hAnsi="Arial"/>
                <w:sz w:val="22"/>
                <w:szCs w:val="22"/>
              </w:rPr>
              <w:t xml:space="preserve">Trazabilidad y Control de la Cadena de Suministro</w:t>
            </w:r>
          </w:p>
        </w:tc>
      </w:tr>
    </w:tbl>
    <w:p>
      <w:pPr>
        <w:spacing w:before="0" w:after="120"/>
      </w:pPr>
      <w:r>
        <w:t xml:space="preserve"/>
      </w:r>
    </w:p>
    <w:p>
      <w:r>
        <w:br w:type="page"/>
      </w:r>
    </w:p>
    <w:p>
      <w:pPr>
        <w:pStyle w:val="Heading2"/>
        <w:spacing w:before="240" w:after="120"/>
      </w:pPr>
      <w:r>
        <w:rPr>
          <w:rFonts w:ascii="Arial" w:cs="Arial" w:eastAsia="Arial" w:hAnsi="Arial"/>
          <w:b/>
          <w:bCs/>
          <w:color w:val="2E74B5"/>
          <w:sz w:val="26"/>
          <w:szCs w:val="26"/>
        </w:rPr>
        <w:t xml:space="preserve">3.2 Restricciones de Tecnologia</w:t>
      </w:r>
    </w:p>
    <w:p>
      <w:pPr>
        <w:spacing w:before="0" w:after="120"/>
        <w:jc w:val="both"/>
      </w:pPr>
      <w:r>
        <w:rPr>
          <w:rFonts w:ascii="Arial" w:cs="Arial" w:eastAsia="Arial" w:hAnsi="Arial"/>
          <w:sz w:val="22"/>
          <w:szCs w:val="22"/>
        </w:rPr>
        <w:t xml:space="preserve">Las siguientes restricciones tecnologicas han sido identificadas a partir del contexto del proyecto y los requisitos normativos aplicables: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760"/>
      </w:tblGrid>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Tipo</w:t>
            </w:r>
          </w:p>
        </w:tc>
        <w:tc>
          <w:tcPr>
            <w:tcW w:type="dxa" w:w="4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w:t>
            </w:r>
          </w:p>
        </w:tc>
        <w:tc>
          <w:tcPr>
            <w:tcW w:type="dxa" w:w="2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Impacto</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RT-01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Plataforma Backend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backend debe implementarse con Java 17+ y Spring Boot 3.x, siguiendo el patron de microservicios.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Determina la organizacion de componentes y contratos de API.</w:t>
            </w:r>
          </w:p>
        </w:tc>
      </w:tr>
      <w:tr>
        <w:tc>
          <w:tcPr>
            <w:tcW w:type="dxa" w:w="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RT-02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Plataforma Frontend</w:t>
            </w:r>
          </w:p>
        </w:tc>
        <w:tc>
          <w:tcPr>
            <w:tcW w:type="dxa" w:w="4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El frontend debe desarrollarse con Angular 17+ o React 18+, con diseno responsivo para movil y escritorio.</w:t>
            </w:r>
          </w:p>
        </w:tc>
        <w:tc>
          <w:tcPr>
            <w:tcW w:type="dxa" w:w="2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Impacta la experiencia de usuario en campo para estaciones de servicio.</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RT-03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Contenedores</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despliegue debe realizarse sobre Docker y orquestarse con Kubernetes para garantizar escalabilidad.</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Habilita la elasticidad horizontal y la disponibilidad 24/7.</w:t>
            </w:r>
          </w:p>
        </w:tc>
      </w:tr>
      <w:tr>
        <w:tc>
          <w:tcPr>
            <w:tcW w:type="dxa" w:w="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RT-04</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Base de Datos</w:t>
            </w:r>
          </w:p>
        </w:tc>
        <w:tc>
          <w:tcPr>
            <w:tcW w:type="dxa" w:w="4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Se debe usar PostgreSQL como base de datos relacional principal y Redis para cache de precios en tiempo real.</w:t>
            </w:r>
          </w:p>
        </w:tc>
        <w:tc>
          <w:tcPr>
            <w:tcW w:type="dxa" w:w="2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Garantiza consistencia de datos y latencia baja en consultas de precios.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RT-05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Mensajeria</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 debe implementar Apache Kafka para la comunicacion asincrona entre microservicios de inventario, precios y reportes.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Desacopla los servicios y garantiza la entrega eventual de eventos criticos.</w:t>
            </w:r>
          </w:p>
        </w:tc>
      </w:tr>
      <w:tr>
        <w:tc>
          <w:tcPr>
            <w:tcW w:type="dxa" w:w="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RT-06</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Integracion IoT</w:t>
            </w:r>
          </w:p>
        </w:tc>
        <w:tc>
          <w:tcPr>
            <w:tcW w:type="dxa" w:w="4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Los sensores de tanques deben comunicarse mediante el protocolo MQTT; el sistema debe exponer un broker MQTT compatible.</w:t>
            </w:r>
          </w:p>
        </w:tc>
        <w:tc>
          <w:tcPr>
            <w:tcW w:type="dxa" w:w="2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Permite monitoreo de inventario en tiempo real sin dependencia del tipo de sensor.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RT-07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Seguridad</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Toda comunicacion debe usar TLS 1.3. La autenticacion debe basarse en OAuth 2.0 con JWT. Los datos en reposo deben cifrarse con AES-256.</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Cumple con requisitos de seguridad de datos gubernamentales.</w:t>
            </w:r>
          </w:p>
        </w:tc>
      </w:tr>
      <w:tr>
        <w:tc>
          <w:tcPr>
            <w:tcW w:type="dxa" w:w="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RT-08</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Integracion Regulatoria</w:t>
            </w:r>
          </w:p>
        </w:tc>
        <w:tc>
          <w:tcPr>
            <w:tcW w:type="dxa" w:w="4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El sistema debe exponer APIs REST compatibles con el SICOM del MinMinas para envio automatico de reportes.</w:t>
            </w:r>
          </w:p>
        </w:tc>
        <w:tc>
          <w:tcPr>
            <w:tcW w:type="dxa" w:w="2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Garantiza el cumplimiento normativo sin procesos manuales de exportacion.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RT-09</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GPS y Rastreo</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La integracion de rastreo de flotas debe ser mediante APIs REST de proveedores de GPS certificados.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Permite el rastreo de distribucion y la validacion de entregas en campo.</w:t>
            </w:r>
          </w:p>
        </w:tc>
      </w:tr>
      <w:tr>
        <w:tc>
          <w:tcPr>
            <w:tcW w:type="dxa" w:w="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RT-10</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Observabilidad</w:t>
            </w:r>
          </w:p>
        </w:tc>
        <w:tc>
          <w:tcPr>
            <w:tcW w:type="dxa" w:w="4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El sistema debe implementar un stack de observabilidad con Prometheus, Grafana y ELK Stack para metricas, logs y trazas.</w:t>
            </w:r>
          </w:p>
        </w:tc>
        <w:tc>
          <w:tcPr>
            <w:tcW w:type="dxa" w:w="2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Permite detectar y resolver incidentes rapidamente en un sistema critico 24/7.</w:t>
            </w:r>
          </w:p>
        </w:tc>
      </w:tr>
    </w:tbl>
    <w:p>
      <w:pPr>
        <w:spacing w:before="0" w:after="120"/>
      </w:pPr>
      <w:r>
        <w:t xml:space="preserve"/>
      </w:r>
    </w:p>
    <w:p>
      <w:pPr>
        <w:pStyle w:val="Heading2"/>
        <w:spacing w:before="240" w:after="120"/>
      </w:pPr>
      <w:r>
        <w:rPr>
          <w:rFonts w:ascii="Arial" w:cs="Arial" w:eastAsia="Arial" w:hAnsi="Arial"/>
          <w:b/>
          <w:bCs/>
          <w:color w:val="2E74B5"/>
          <w:sz w:val="26"/>
          <w:szCs w:val="26"/>
        </w:rPr>
        <w:t xml:space="preserve">3.3 Restricciones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Restriccion</w:t>
            </w:r>
          </w:p>
        </w:tc>
        <w:tc>
          <w:tcPr>
            <w:tcW w:type="dxa" w:w="6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RN-01</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Marco Legal Obligatorio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DEBE cumplir el Decreto 1428 de 2025. Cualquier transaccion que no pase la validacion normativa debe ser rechazada y auditada.</w:t>
            </w:r>
          </w:p>
        </w:tc>
      </w:tr>
      <w:tr>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RN-02</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Diferenciacion de Precios</w:t>
            </w:r>
          </w:p>
        </w:tc>
        <w:tc>
          <w:tcPr>
            <w:tcW w:type="dxa" w:w="6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El sistema debe aplicar precios distintos segun el tipo de vehiculo/usuario: precio de paridad para particulares/oficiales/diplomaticos y precio subsidiado para transporte publico y de carga.</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RN-03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Operacion Continua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suministro de combustibles es estrategico. No se permiten ventanas de mantenimiento en horarios pico (5am-10pm) sin redundancia activa.</w:t>
            </w:r>
          </w:p>
        </w:tc>
      </w:tr>
      <w:tr>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RN-04</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Auditoria Obligatoria</w:t>
            </w:r>
          </w:p>
        </w:tc>
        <w:tc>
          <w:tcPr>
            <w:tcW w:type="dxa" w:w="6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Todas las acciones realizadas en la plataforma por cualquier actor deben quedar registradas con timestamp, usuario y contexto, para fines de auditoria gubernamental.</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RN-05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Privacidad de Datos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Los datos de clientes y transacciones deben tratarse conforme a la Ley 1581 de 2012 (Habeas Data) de Colombia.</w:t>
            </w:r>
          </w:p>
        </w:tc>
      </w:tr>
      <w:tr>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RN-06</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Integracion con SICOM</w:t>
            </w:r>
          </w:p>
        </w:tc>
        <w:tc>
          <w:tcPr>
            <w:tcW w:type="dxa" w:w="6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Los reportes deben enviarse automaticamente al SICOM del MinMinas en los formatos y periodicidad definidos por la Autoridad Reguladora.</w:t>
            </w:r>
          </w:p>
        </w:tc>
      </w:tr>
    </w:tbl>
    <w:p>
      <w:pPr>
        <w:spacing w:before="0" w:after="120"/>
      </w:pPr>
      <w:r>
        <w:t xml:space="preserve"/>
      </w:r>
    </w:p>
    <w:p>
      <w:r>
        <w:br w:type="page"/>
      </w:r>
    </w:p>
    <w:p>
      <w:pPr>
        <w:pStyle w:val="Heading2"/>
        <w:spacing w:before="240" w:after="120"/>
      </w:pPr>
      <w:r>
        <w:rPr>
          <w:rFonts w:ascii="Arial" w:cs="Arial" w:eastAsia="Arial" w:hAnsi="Arial"/>
          <w:b/>
          <w:bCs/>
          <w:color w:val="2E74B5"/>
          <w:sz w:val="26"/>
          <w:szCs w:val="26"/>
        </w:rPr>
        <w:t xml:space="preserve">3.4 Atributos de Calidad</w:t>
      </w:r>
    </w:p>
    <w:p>
      <w:pPr>
        <w:pStyle w:val="Heading3"/>
        <w:spacing w:before="200" w:after="100"/>
      </w:pPr>
      <w:r>
        <w:rPr>
          <w:rFonts w:ascii="Arial" w:cs="Arial" w:eastAsia="Arial" w:hAnsi="Arial"/>
          <w:b/>
          <w:bCs/>
          <w:color w:val="C55A11"/>
          <w:sz w:val="24"/>
          <w:szCs w:val="24"/>
        </w:rPr>
        <w:t xml:space="preserve">3.4.1 Arbol de Utilidad</w:t>
      </w:r>
    </w:p>
    <w:p>
      <w:pPr>
        <w:spacing w:before="0" w:after="120"/>
        <w:jc w:val="both"/>
      </w:pPr>
      <w:r>
        <w:rPr>
          <w:rFonts w:ascii="Arial" w:cs="Arial" w:eastAsia="Arial" w:hAnsi="Arial"/>
          <w:sz w:val="22"/>
          <w:szCs w:val="22"/>
        </w:rPr>
        <w:t xml:space="preserve">A continuacion se presenta el arbol de utilidad priorizando los atributos de calidad segun su relevancia para el sistema: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000"/>
        <w:gridCol w:w="3200"/>
        <w:gridCol w:w="760"/>
      </w:tblGrid>
      <w:t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Atributo de Calidad</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Sub-atributo</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 Escenario</w:t>
            </w:r>
          </w:p>
        </w:tc>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w:t>
            </w:r>
          </w:p>
        </w:tc>
        <w:tc>
          <w:tcPr>
            <w:tcW w:type="dxa" w:w="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Desempeno</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Latencia de Consulta de Precios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ESC-01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Tiempo de respuesta en consultas de precios por zona en condiciones normales.</w:t>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Desempeno</w:t>
            </w:r>
          </w:p>
        </w:tc>
        <w:tc>
          <w:tcPr>
            <w:tcW w:type="dxa" w:w="2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Throughput en Picos de Demanda</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ESC-02</w:t>
            </w:r>
          </w:p>
        </w:tc>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Capacidad de procesar multiples transacciones concurrentes en horarios pico.</w:t>
            </w:r>
          </w:p>
        </w:tc>
        <w:tc>
          <w:tcPr>
            <w:tcW w:type="dxa" w:w="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Disponibilidad</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Tolerancia a Fallos de Servicios Externos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ESC-03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permanece operativo ante fallos de APIs de IoT o GPS.</w:t>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Disponibilidad</w:t>
            </w:r>
          </w:p>
        </w:tc>
        <w:tc>
          <w:tcPr>
            <w:tcW w:type="dxa" w:w="2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Recuperabilidad</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ESC-04</w:t>
            </w:r>
          </w:p>
        </w:tc>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Tiempo de recuperacion ante caida de un microservicio critico.</w:t>
            </w:r>
          </w:p>
        </w:tc>
        <w:tc>
          <w:tcPr>
            <w:tcW w:type="dxa" w:w="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Seguridad</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Control de Acceso</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ESC-05</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Autenticacion y autorizacion por roles para prevenir accesos no autorizados.</w:t>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Seguridad</w:t>
            </w:r>
          </w:p>
        </w:tc>
        <w:tc>
          <w:tcPr>
            <w:tcW w:type="dxa" w:w="2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Integridad de Datos Regulatorios</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ESC-06</w:t>
            </w:r>
          </w:p>
        </w:tc>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Proteccion contra alteracion de precios o inventarios por actores malintencionados.</w:t>
            </w:r>
          </w:p>
        </w:tc>
        <w:tc>
          <w:tcPr>
            <w:tcW w:type="dxa" w:w="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Modificabilidad</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Actualizacion de Reglas Normativas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ESC-07</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Capacidad de actualizar reglas de precios sin redespliegue completo.</w:t>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Escalabilidad</w:t>
            </w:r>
          </w:p>
        </w:tc>
        <w:tc>
          <w:tcPr>
            <w:tcW w:type="dxa" w:w="2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Escalado Horizontal</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ESC-08</w:t>
            </w:r>
          </w:p>
        </w:tc>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Agregar nuevas estaciones de servicio sin degradar el rendimiento.</w:t>
            </w:r>
          </w:p>
        </w:tc>
        <w:tc>
          <w:tcPr>
            <w:tcW w:type="dxa" w:w="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Trazabilidad</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Auditoria de Transacciones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ESC-09</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Registro completo e inmutable de todas las acciones del sistema.</w:t>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Interoperabilidad</w:t>
            </w:r>
          </w:p>
        </w:tc>
        <w:tc>
          <w:tcPr>
            <w:tcW w:type="dxa" w:w="2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Integracion con SICOM</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ESC-10</w:t>
            </w:r>
          </w:p>
        </w:tc>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Envio automatico de reportes al sistema del MinMinas.</w:t>
            </w:r>
          </w:p>
        </w:tc>
        <w:tc>
          <w:tcPr>
            <w:tcW w:type="dxa" w:w="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Media</w:t>
            </w:r>
          </w:p>
        </w:tc>
      </w:tr>
    </w:tbl>
    <w:p>
      <w:pPr>
        <w:spacing w:before="0" w:after="120"/>
      </w:pPr>
      <w:r>
        <w:t xml:space="preserve"/>
      </w:r>
    </w:p>
    <w:p>
      <w:pPr>
        <w:pStyle w:val="Heading3"/>
        <w:spacing w:before="200" w:after="100"/>
      </w:pPr>
      <w:r>
        <w:rPr>
          <w:rFonts w:ascii="Arial" w:cs="Arial" w:eastAsia="Arial" w:hAnsi="Arial"/>
          <w:b/>
          <w:bCs/>
          <w:color w:val="C55A11"/>
          <w:sz w:val="24"/>
          <w:szCs w:val="24"/>
        </w:rPr>
        <w:t xml:space="preserve">3.4.2 Escenarios de Calidad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Escenario de Calidad # ESC-01</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Stakeholder: Estacion de Servicio</w:t>
            </w:r>
          </w:p>
        </w:tc>
        <w:tc>
          <w:tcPr>
            <w:tcW w:type="dxa" w:w="6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Atributo de Calidad</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Desempeno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Justificación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personal de la estacion de servicio necesita conocer el precio vigente del combustible segun el tipo de vehiculo y su zona geografica antes de despachar. Una respuesta lenta impacta directamente la operacion en pista.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Fuente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Aplicacion movil/web de la Estacion de Servicio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Estímulo</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Consulta del precio vigente de ACPM para un vehiculo de servicio particular en la Zona Centro de Bogota.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Artefacto</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Modulo de Gestion de Precios del sistema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Ambiente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Operacion normal (dia ordinario, horario pico 7am-9am, 500 consultas simultaneas)</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Respuesta</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retorna el precio diferenciado aplicable con la categoria del vehiculo y la zona geografica.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Medida de la Respuesta</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Tiempo de respuesta inferior a 500 ms para el percentil 95 de solicitudes bajo carga de 500 usuarios concurrentes.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Escenario de Calidad # ESC-03</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Stakeholder: Administrador del Sistema</w:t>
            </w:r>
          </w:p>
        </w:tc>
        <w:tc>
          <w:tcPr>
            <w:tcW w:type="dxa" w:w="6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Atributo de Calidad</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Disponibilidad</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Justificación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suministro de combustibles es una actividad critica para la economia. La plataforma debe mantenerse operativa incluso cuando fallan los sensores IoT o las APIs de GPS externas.</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Fuente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Servicio de integracion IoT / Broker MQTT</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Estímulo</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broker MQTT de un proveedor externo de sensores presenta una interrupcion de servicio por 30 minutos.</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Artefacto</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Microservicio de Inventario en Tiempo Real</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Ambiente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Operacion normal con fallo parcial de proveedor IoT externo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Respuesta</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activa el Circuit Breaker, registra el evento de fallo, conmuta a datos del ultimo registro conocido y genera alerta al administrador. Las transacciones de precios y reportes continuan sin interrupcion.</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Medida de la Respuesta</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mantiene disponibilidad del 99.5% mensual. El tiempo de conmutacion automatica al modo de contingencia es inferior a 10 segundos. Se generan alertas al administrador en menos de 60 segundos.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Escenario de Calidad # ESC-06</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Stakeholder: Autoridad Reguladora (MinMinas)</w:t>
            </w:r>
          </w:p>
        </w:tc>
        <w:tc>
          <w:tcPr>
            <w:tcW w:type="dxa" w:w="6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Atributo de Calidad</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Seguridad - Integridad de Datos</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Justificación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Los precios registrados en la plataforma tienen efecto legal y fiscal. Cualquier alteracion no autorizada podria constituir fraude al FEPC y generar perdidas al Estado.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Fuente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Usuario interno con privilegios elevados comprometido / Actor externo malintencionado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Estímulo</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Intento de modificacion del precio registrado de ACPM para la zona norte mediante manipulacion directa de base de datos o llamada API no autorizada.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Artefacto</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Microservicio de Gestion de Precios / Base de datos PostgreSQL de precios</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Ambiente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Operacion normal de produccion</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Respuesta</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rechaza la operacion, registra el intento en el log de auditoria con datos del actor, IP, timestamp y payload, y genera alerta inmediata al Administrador y a la Autoridad Reguladora.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Medida de la Respuesta</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100% de los intentos de modificacion no autorizada son detectados y rechazados. El registro de auditoria queda disponible en menos de 5 segundos. La alerta llega a los destinatarios en menos de 2 minutos.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Escenario de Calidad # ESC-07</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Stakeholder: Administrador del Sistema</w:t>
            </w:r>
          </w:p>
        </w:tc>
        <w:tc>
          <w:tcPr>
            <w:tcW w:type="dxa" w:w="6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Atributo de Calidad</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Modificabilidad</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Justificación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La normativa del sector combustibles en Colombia es susceptible de cambios frecuentes mediante resoluciones ministeriales. El sistema debe poder actualizar sus reglas de validacion sin comprometer la operacion continua.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Fuente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Administrador del Sistema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Estímulo</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 emite una nueva Resolucion del MinMinas que modifica el precio de paridad para vehiculos oficiales en zonas de frontera.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Artefacto</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Motor de Reglas Normativas (modulo configurable)</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Ambiente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Operacion normal de produccion</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Respuesta</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Administrador actualiza la regla en la interfaz de configuracion del Motor de Reglas. El cambio se propaga a todos los microservicios afectados sin reinicio del sistema.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Medida de la Respuesta</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cambio de regla puede aplicarse en menos de 2 horas. Sin redespliegue del sistema. Sin downtime. El nuevo precio aplica para el 100% de las transacciones posteriores al cambio.</w:t>
            </w:r>
          </w:p>
        </w:tc>
      </w:tr>
    </w:tbl>
    <w:p>
      <w:pPr>
        <w:spacing w:before="0" w:after="120"/>
      </w:pPr>
      <w:r>
        <w:t xml:space="preserve"/>
      </w:r>
    </w:p>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Seccion 4. Contexto</w:t>
      </w:r>
    </w:p>
    <w:p>
      <w:pPr>
        <w:pStyle w:val="Heading2"/>
        <w:spacing w:before="240" w:after="120"/>
      </w:pPr>
      <w:r>
        <w:rPr>
          <w:rFonts w:ascii="Arial" w:cs="Arial" w:eastAsia="Arial" w:hAnsi="Arial"/>
          <w:b/>
          <w:bCs/>
          <w:color w:val="2E74B5"/>
          <w:sz w:val="26"/>
          <w:szCs w:val="26"/>
        </w:rPr>
        <w:t xml:space="preserve">4.1 Escenarios Operacionales</w:t>
      </w:r>
    </w:p>
    <w:p>
      <w:pPr>
        <w:spacing w:before="0" w:after="120"/>
        <w:jc w:val="both"/>
      </w:pPr>
      <w:r>
        <w:rPr>
          <w:rFonts w:ascii="Arial" w:cs="Arial" w:eastAsia="Arial" w:hAnsi="Arial"/>
          <w:sz w:val="22"/>
          <w:szCs w:val="22"/>
        </w:rPr>
        <w:t xml:space="preserve">Los escenarios operacionales describen las principales secuencias de interaccion entre los actores y la plataforma, capturando tanto el estado actual del proceso como la expectativa de mejora que el sistema debe proveer.</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4.1.1 Escenario Operacional: Registro de Inventario por Estacion de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Título del Escenario Operacional</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Registro de Inventario de Combustible</w:t>
            </w:r>
          </w:p>
        </w:tc>
      </w:tr>
      <w:tr>
        <w:tc>
          <w:tcPr>
            <w:tcW w:type="dxa" w:w="3200"/>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Stakeholder Asociado: Administrador de Estacion de Servicio</w:t>
            </w:r>
          </w:p>
        </w:tc>
        <w:tc>
          <w:tcPr>
            <w:tcW w:type="dxa" w:w="6160"/>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ID: EO-01</w:t>
            </w:r>
          </w:p>
        </w:tc>
      </w:tr>
      <w:tr>
        <w:tc>
          <w:tcPr>
            <w:tcW w:type="dxa" w:w="320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Consideración Operacional</w:t>
            </w:r>
          </w:p>
        </w:tc>
        <w:tc>
          <w:tcPr>
            <w:tcW w:type="dxa" w:w="616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Respuesta del Stakeholder</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general de la funcionalidad</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administrador de la estacion de servicio registra en la plataforma el volumen actual de combustible en cada tanque, ya sea manualmente o de forma automatica mediante integracion con sensores IoT. El sistema valida el registro, calcula diferencias con el inventario anterior y emite alertas ante niveles criticos.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estado actual e intencion del stakeholder</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Actualmente el registro se realiza de forma manual en hojas de calculo, generando inconsistencias y dificultando la trazabilidad. Se desea un registro digital automatico con sincronizacion en tiempo real desde los sensores de nivel de los tanques.</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 entradas provistas o disponibles al inicio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Datos del sensor IoT del tanque: volumen actual (litros), tipo de combustible, timestamp. En caso de registro manual: volumen, tipo de combustible, responsable del registro. Datos de identificacion de la estacion (codigo SICOM, zona geografica).</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contexto de la operacion</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La estacion de servicio esta en operacion activa. Los sensores IoT estan conectados al broker MQTT de la plataforma. El sistema opera en condiciones normales.</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 la respuesta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recibe el dato del sensor o del formulario manual, valida el volumen contra los registros anteriores, actualiza el inventario en tiempo real, y notifica al administrador si el nivel esta por debajo del umbral critico configurado. El evento queda registrado en el log de auditoria.</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resultado de la accion en terminos de salidas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Inventario actualizado en tiempo real en la base de datos de la plataforma. Notificaciones de nivel critico enviadas al administrador. Registro de auditoria creado con actor, timestamp y datos del evento.</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del uso de las salidas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Los datos de inventario son consultados por la Autoridad Reguladora para verificar cumplimiento. Los distribuidores mayoristas los usan para planificar entregas. El administrador los usa para solicitar reabastecimiento.</w:t>
            </w:r>
          </w:p>
        </w:tc>
      </w:tr>
    </w:tbl>
    <w:p>
      <w:pPr>
        <w:spacing w:before="0" w:after="120"/>
      </w:pPr>
      <w:r>
        <w:t xml:space="preserve"/>
      </w:r>
    </w:p>
    <w:p>
      <w:pPr>
        <w:pStyle w:val="Heading3"/>
        <w:spacing w:before="200" w:after="100"/>
      </w:pPr>
      <w:r>
        <w:rPr>
          <w:rFonts w:ascii="Arial" w:cs="Arial" w:eastAsia="Arial" w:hAnsi="Arial"/>
          <w:b/>
          <w:bCs/>
          <w:color w:val="C55A11"/>
          <w:sz w:val="24"/>
          <w:szCs w:val="24"/>
        </w:rPr>
        <w:t xml:space="preserve">4.1.2 Escenario Operacional: Consulta y Aplicacion de Precio Diferenciado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Título del Escenario Operacional</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Consulta y Aplicacion de Precio Diferenciado de ACPM</w:t>
            </w:r>
          </w:p>
        </w:tc>
      </w:tr>
      <w:tr>
        <w:tc>
          <w:tcPr>
            <w:tcW w:type="dxa" w:w="3200"/>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Stakeholder Asociado: Personal de Pista / Estacion de Servicio</w:t>
            </w:r>
          </w:p>
        </w:tc>
        <w:tc>
          <w:tcPr>
            <w:tcW w:type="dxa" w:w="6160"/>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ID: EO-02</w:t>
            </w:r>
          </w:p>
        </w:tc>
      </w:tr>
      <w:tr>
        <w:tc>
          <w:tcPr>
            <w:tcW w:type="dxa" w:w="320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Consideración Operacional</w:t>
            </w:r>
          </w:p>
        </w:tc>
        <w:tc>
          <w:tcPr>
            <w:tcW w:type="dxa" w:w="616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Respuesta del Stakeholder</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general de la funcionalidad</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Cuando un vehiculo se dispone a cargar ACPM, el operario de la estacion consulta en la plataforma el precio vigente segun el tipo de vehiculo (particular, oficial, diplomatico, transporte publico o carga) y la zona geografica de la estacion. El sistema determina y aplica el precio correspondiente conforme al Decreto 1428.</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estado actual e intencion del stakeholder</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Actualmente los precios se actualizan de forma manual, generando retrasos y errores de aplicacion. Se desea que el sistema aplique automaticamente el precio correcto segun la categoria del vehiculo, validada mediante placa o documento habilitante.</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 entradas provistas o disponibles al inicio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Placa del vehiculo (o categoria del servicio de transporte), zona geografica de la estacion, fecha y hora de la transaccion, volumen de combustible solicitado.</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contexto de la operacion</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Horario de atencion de la estacion de servicio. Motor de reglas activo con la normativa vigente cargada. Conectividad a Internet disponible.</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 la respuesta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consulta la categoria del vehiculo en la base de datos o via API de validacion, determina el precio aplicable segun el Decreto 1428 y la zona, presenta el precio al operario, registra la transaccion y descuenta el volumen del inventario.</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resultado de la accion en terminos de salidas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Precio correcto aplicado a la transaccion. Inventario actualizado. Comprobante de transaccion generado. Registro en el log de auditoria con todos los detalles de la operacion.</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del uso de las salidas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comprobante es entregado al cliente. Los registros de transacciones alimentan los reportes automaticos al MinMinas. Los datos de inventario se sincronizan con el distribuidor mayorista para planificar reabastecimiento.</w:t>
            </w:r>
          </w:p>
        </w:tc>
      </w:tr>
    </w:tbl>
    <w:p>
      <w:pPr>
        <w:spacing w:before="0" w:after="120"/>
      </w:pPr>
      <w:r>
        <w:t xml:space="preserve"/>
      </w:r>
    </w:p>
    <w:p>
      <w:pPr>
        <w:pStyle w:val="Heading3"/>
        <w:spacing w:before="200" w:after="100"/>
      </w:pPr>
      <w:r>
        <w:rPr>
          <w:rFonts w:ascii="Arial" w:cs="Arial" w:eastAsia="Arial" w:hAnsi="Arial"/>
          <w:b/>
          <w:bCs/>
          <w:color w:val="C55A11"/>
          <w:sz w:val="24"/>
          <w:szCs w:val="24"/>
        </w:rPr>
        <w:t xml:space="preserve">4.1.3 Escenario Operacional: Generacion de Reporte Regulatorio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Título del Escenario Operacional</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Generacion Automatica de Reporte Regulatorio al MinMinas</w:t>
            </w:r>
          </w:p>
        </w:tc>
      </w:tr>
      <w:tr>
        <w:tc>
          <w:tcPr>
            <w:tcW w:type="dxa" w:w="3200"/>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Stakeholder Asociado: Autoridad Reguladora (MinMinas)</w:t>
            </w:r>
          </w:p>
        </w:tc>
        <w:tc>
          <w:tcPr>
            <w:tcW w:type="dxa" w:w="6160"/>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ID: EO-03</w:t>
            </w:r>
          </w:p>
        </w:tc>
      </w:tr>
      <w:tr>
        <w:tc>
          <w:tcPr>
            <w:tcW w:type="dxa" w:w="320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Consideración Operacional</w:t>
            </w:r>
          </w:p>
        </w:tc>
        <w:tc>
          <w:tcPr>
            <w:tcW w:type="dxa" w:w="616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Respuesta del Stakeholder</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general de la funcionalidad</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La plataforma genera automaticamente, en la periodicidad definida por el MinMinas, los reportes de cumplimiento en los formatos oficiales exigidos, consolidando datos de precios aplicados, volumenes comercializados e inventarios de todas las estaciones afiliadas.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estado actual e intencion del stakeholder</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Actualmente los reportes son preparados manualmente por cada estacion y consolidados por los distribuidores, con alto riesgo de error y demora. La expectativa es recibir reportes precisos, consolidados y en formato digital compatible con el SICOM, sin intervencion manual.</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 entradas provistas o disponibles al inicio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Parametros del periodo del reporte (fecha inicio, fecha fin), identificadores de las estaciones de servicio a incluir, formato de reporte requerido por el SICOM.</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contexto de la operacion</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El sistema opera en modo normal. Todos los datos del periodo han sido registrados y validados. El modulo de integracion con SICOM esta activo.</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 la respuesta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consolida automaticamente los datos del periodo, genera el reporte en el formato SICOM, lo valida contra las reglas de consistencia del MinMinas, y lo envia electronicamente via la API de integracion regulatoria. El proceso queda registrado en el historial de reportes.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resultado de la accion en terminos de salidas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Reporte en formato SICOM transmitido electronicamente al MinMinas. Copia del reporte almacenada en el Data Lake. Notificacion de envio exitoso al Administrador del Sistema y al coordinador regulatorio.</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del uso de las salidas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MinMinas usa los reportes para verificar cumplimiento del Decreto 1428, detectar anomalias en precios o volumenes, y actualizar el FEPC.</w:t>
            </w:r>
          </w:p>
        </w:tc>
      </w:tr>
    </w:tbl>
    <w:p>
      <w:pPr>
        <w:spacing w:before="0" w:after="120"/>
      </w:pPr>
      <w:r>
        <w:t xml:space="preserve"/>
      </w:r>
    </w:p>
    <w:p>
      <w:pPr>
        <w:pStyle w:val="Heading3"/>
        <w:spacing w:before="200" w:after="100"/>
      </w:pPr>
      <w:r>
        <w:rPr>
          <w:rFonts w:ascii="Arial" w:cs="Arial" w:eastAsia="Arial" w:hAnsi="Arial"/>
          <w:b/>
          <w:bCs/>
          <w:color w:val="C55A11"/>
          <w:sz w:val="24"/>
          <w:szCs w:val="24"/>
        </w:rPr>
        <w:t xml:space="preserve">4.1.4 Escenario Operacional: Registro de Entrega por Distribuidor Mayorista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Título del Escenario Operacional</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Registro de Entrega de Combustible por Distribuidor Mayorista</w:t>
            </w:r>
          </w:p>
        </w:tc>
      </w:tr>
      <w:tr>
        <w:tc>
          <w:tcPr>
            <w:tcW w:type="dxa" w:w="3200"/>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Stakeholder Asociado: Distribuidor Mayorista</w:t>
            </w:r>
          </w:p>
        </w:tc>
        <w:tc>
          <w:tcPr>
            <w:tcW w:type="dxa" w:w="6160"/>
            <w:tcBorders>
              <w:top w:val="single" w:color="AAAAAA" w:sz="4"/>
              <w:left w:val="single" w:color="AAAAAA" w:sz="4"/>
              <w:bottom w:val="single" w:color="AAAAAA" w:sz="4"/>
              <w:right w:val="single" w:color="AAAAAA"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ID: EO-04</w:t>
            </w:r>
          </w:p>
        </w:tc>
      </w:tr>
      <w:tr>
        <w:tc>
          <w:tcPr>
            <w:tcW w:type="dxa" w:w="320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Consideración Operacional</w:t>
            </w:r>
          </w:p>
        </w:tc>
        <w:tc>
          <w:tcPr>
            <w:tcW w:type="dxa" w:w="616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Respuesta del Stakeholder</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general de la funcionalidad</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conductor del vehiculo cisterna del distribuidor mayorista registra en la plataforma la entrega de combustible a una estacion de servicio, indicando volumen, tipo de combustible y destino. El sistema valida la entrega contra la orden de compra, actualiza el inventario de la estacion y genera el comprobante de entrega.</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estado actual e intencion del stakeholder</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Actualmente las entregas se registran en remisiones en papel, con riesgo de perdida y dificultad de trazabilidad. Se desea un registro digital en tiempo real, validado automaticamente contra las ordenes de compra y reflejado inmediatamente en el inventario de la estacion receptora.</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 entradas provistas o disponibles al inicio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Codigo de la orden de entrega, identificador de la estacion destino, tipo y volumen de combustible entregado, posicion GPS del vehiculo cisterna, firma digital del receptor en la estacion.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contexto de la operacion</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El vehiculo cisterna esta en campo. El conductor usa la app movil de la plataforma con conectividad a Internet. El inventario de la estacion destino esta activo en el sistema.</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 la respuesta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sistema valida la entrega contra la orden de compra, actualiza el inventario de la estacion receptora, registra la posicion GPS como evidencia de la entrega, genera el comprobante digital firmado, y notifica al administrador de la estacion y al distribuidor.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Descripcion del resultado de la accion en terminos de salidas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Inventario de la estacion actualizado. Comprobante de entrega generado y firmado digitalmente. Registro de trazabilidad completo en el Data Lake. Notificaciones enviadas a ambas partes.</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Descripcion del uso de las salidas del sistema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 comprobante es el documento valido para la facturacion entre distribuidor y estacion. Los datos alimentan los reportes regulatorios y el analisis predictivo de la demanda de combustibles.</w:t>
            </w:r>
          </w:p>
        </w:tc>
      </w:tr>
    </w:tbl>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Seccion 5. Puntos de Vista, Vistas y Modelos Arquitecturales</w:t>
      </w:r>
    </w:p>
    <w:p>
      <w:pPr>
        <w:spacing w:before="0" w:after="120"/>
        <w:jc w:val="both"/>
      </w:pPr>
      <w:r>
        <w:rPr>
          <w:rFonts w:ascii="Arial" w:cs="Arial" w:eastAsia="Arial" w:hAnsi="Arial"/>
          <w:sz w:val="22"/>
          <w:szCs w:val="22"/>
        </w:rPr>
        <w:t xml:space="preserve">Esta seccion presenta los cinco puntos de vista arquitecturales que describen la solucion propuesta para la Plataforma de Gestion de Combustibles desde distintas perspectivas, cada una respondiendo a los concerns de diferentes grupos de stakeholders.</w:t>
      </w:r>
    </w:p>
    <w:p>
      <w:pPr>
        <w:pStyle w:val="Heading2"/>
        <w:spacing w:before="240" w:after="120"/>
      </w:pPr>
      <w:r>
        <w:rPr>
          <w:rFonts w:ascii="Arial" w:cs="Arial" w:eastAsia="Arial" w:hAnsi="Arial"/>
          <w:b/>
          <w:bCs/>
          <w:color w:val="2E74B5"/>
          <w:sz w:val="26"/>
          <w:szCs w:val="26"/>
        </w:rPr>
        <w:t xml:space="preserve">5.1 Punto de Vista Funcional</w:t>
      </w:r>
    </w:p>
    <w:p>
      <w:pPr>
        <w:pStyle w:val="Heading3"/>
        <w:spacing w:before="200" w:after="100"/>
      </w:pPr>
      <w:r>
        <w:rPr>
          <w:rFonts w:ascii="Arial" w:cs="Arial" w:eastAsia="Arial" w:hAnsi="Arial"/>
          <w:b/>
          <w:bCs/>
          <w:color w:val="C55A11"/>
          <w:sz w:val="24"/>
          <w:szCs w:val="24"/>
        </w:rPr>
        <w:t xml:space="preserve">5.1.1 Descripcion</w:t>
      </w:r>
    </w:p>
    <w:p>
      <w:pPr>
        <w:spacing w:before="0" w:after="120"/>
        <w:jc w:val="both"/>
      </w:pPr>
      <w:r>
        <w:rPr>
          <w:rFonts w:ascii="Arial" w:cs="Arial" w:eastAsia="Arial" w:hAnsi="Arial"/>
          <w:sz w:val="22"/>
          <w:szCs w:val="22"/>
        </w:rPr>
        <w:t xml:space="preserve">El punto de vista funcional describe los componentes funcionales del sistema, sus responsabilidades y las interacciones entre ellos. Este punto de vista es el mas relevante para los desarrolladores, el arquitecto y los stakeholders de negocio, ya que permite comprender que hace el sistema y como sus partes colaboran para cumplir los objetivos.</w:t>
      </w:r>
    </w:p>
    <w:p>
      <w:pPr>
        <w:spacing w:before="0" w:after="120"/>
        <w:jc w:val="both"/>
      </w:pPr>
      <w:r>
        <w:rPr>
          <w:rFonts w:ascii="Arial" w:cs="Arial" w:eastAsia="Arial" w:hAnsi="Arial"/>
          <w:sz w:val="22"/>
          <w:szCs w:val="22"/>
        </w:rPr>
        <w:t xml:space="preserve">La arquitectura funcional sigue el patron de Microservicios con cuatro capas principales: (1) Capa de Presentacion (frontend Angular/React), (2) API Gateway centralizado, (3) Capa de Microservicios de Negocio, y (4) Capa de Datos. Los microservicios de negocio se comunican de forma asincrona mediante Apache Kafka para eventos criticos como cambios de precio o alertas de inventario.</w:t>
      </w:r>
    </w:p>
    <w:p>
      <w:pPr>
        <w:spacing w:before="0" w:after="120"/>
        <w:jc w:val="both"/>
      </w:pPr>
      <w:r>
        <w:rPr>
          <w:rFonts w:ascii="Arial" w:cs="Arial" w:eastAsia="Arial" w:hAnsi="Arial"/>
          <w:sz w:val="22"/>
          <w:szCs w:val="22"/>
        </w:rPr>
        <w:t xml:space="preserve">Los componentes funcionales principales son: Servicio de Precios, Servicio de Inventarios, Servicio de Distribucion, Servicio de Reportes, Motor de Reglas Normativas, Servicio de Autenticacion (OAuth2/JWT), Modulo de Integracion IoT, y Modulo de Integracion SICOM.</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5.1.2 Modelo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C&amp;C (Component &amp; Connector)</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Microservicios con API Gateway y mensajeria Kafka</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UML 2.5 - Diagrama de Componentes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Arquitectura Funcional - Plataforma de Gestion de Combustibles   |   Nomenclatura: UML-C&amp;C</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p>
      <w:pPr>
        <w:spacing w:before="0" w:after="120"/>
        <w:jc w:val="both"/>
      </w:pPr>
      <w:r>
        <w:rPr>
          <w:rFonts w:ascii="Arial" w:cs="Arial" w:eastAsia="Arial" w:hAnsi="Arial"/>
          <w:sz w:val="22"/>
          <w:szCs w:val="22"/>
        </w:rPr>
        <w:t xml:space="preserve">[Diagrama de Componentes: Ver Figura 1 - Arquitectura de Microservicios. El diagrama muestra el API Gateway recibiendo peticiones de los clientes web/movil y distribuyendolas a los microservicios: PriceService, InventoryService, DistributionService, ReportService y RulesEngine. Todos se comunican con sus bases de datos propias y se integran via Kafka para eventos asincronos. El IoTBridge conecta el broker MQTT con el InventoryService. El SICOMConnector expone el ReportService hacia el SICOM del MinMinas.]</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5.2 Punto de Vista de Despliegue</w:t>
      </w:r>
    </w:p>
    <w:p>
      <w:pPr>
        <w:pStyle w:val="Heading3"/>
        <w:spacing w:before="200" w:after="100"/>
      </w:pPr>
      <w:r>
        <w:rPr>
          <w:rFonts w:ascii="Arial" w:cs="Arial" w:eastAsia="Arial" w:hAnsi="Arial"/>
          <w:b/>
          <w:bCs/>
          <w:color w:val="C55A11"/>
          <w:sz w:val="24"/>
          <w:szCs w:val="24"/>
        </w:rPr>
        <w:t xml:space="preserve">5.2.1 Descripcion</w:t>
      </w:r>
    </w:p>
    <w:p>
      <w:pPr>
        <w:spacing w:before="0" w:after="120"/>
        <w:jc w:val="both"/>
      </w:pPr>
      <w:r>
        <w:rPr>
          <w:rFonts w:ascii="Arial" w:cs="Arial" w:eastAsia="Arial" w:hAnsi="Arial"/>
          <w:sz w:val="22"/>
          <w:szCs w:val="22"/>
        </w:rPr>
        <w:t xml:space="preserve">El punto de vista de despliegue describe como los componentes de software son asignados a la infraestructura fisica y virtual. Este punto de vista es clave para los ingenieros de infraestructura, el equipo de operaciones y los stakeholders preocupados por la disponibilidad y escalabilidad del sistema.</w:t>
      </w:r>
    </w:p>
    <w:p>
      <w:pPr>
        <w:spacing w:before="0" w:after="120"/>
        <w:jc w:val="both"/>
      </w:pPr>
      <w:r>
        <w:rPr>
          <w:rFonts w:ascii="Arial" w:cs="Arial" w:eastAsia="Arial" w:hAnsi="Arial"/>
          <w:sz w:val="22"/>
          <w:szCs w:val="22"/>
        </w:rPr>
        <w:t xml:space="preserve">La plataforma se despliega en una infraestructura de nube hibrida sobre Kubernetes. El cluster de Kubernetes esta organizado en namespaces por dominio: fuel-core (microservicios de negocio), fuel-data (bases de datos), fuel-monitoring (observabilidad) y fuel-integration (IoT y SICOM). Se implementa un Ingress Controller con balanceo de carga y terminacion TLS. Las bases de datos utilizan almacenamiento persistente con replicas de alta disponibilidad.</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5.2.2 Modelos de Plataforma de Ejecucion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Allocation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Microservicios en Kubernetes con namespaces por dominio</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Diagrama de Despliegue UML 2.5</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Plataforma de Ejecucion - Cluster Kubernetes   |   Nomenclatura: DEP-K8S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p>
      <w:pPr>
        <w:spacing w:before="0" w:after="120"/>
        <w:jc w:val="both"/>
      </w:pPr>
      <w:r>
        <w:rPr>
          <w:rFonts w:ascii="Arial" w:cs="Arial" w:eastAsia="Arial" w:hAnsi="Arial"/>
          <w:sz w:val="22"/>
          <w:szCs w:val="22"/>
        </w:rPr>
        <w:t xml:space="preserve">[Diagrama de Despliegue Kubernetes: Cluster con 3 nodos de control y N nodos worker. Pods de microservicios desplegados con HPA (Horizontal Pod Autoscaler). PostgreSQL en StatefulSet con 3 replicas. Redis Cluster con Sentinel. Kafka con 3 brokers. Prometheus + Grafana en namespace de monitoreo.]</w:t>
      </w:r>
    </w:p>
    <w:p>
      <w:pPr>
        <w:pStyle w:val="Heading3"/>
        <w:spacing w:before="200" w:after="100"/>
      </w:pPr>
      <w:r>
        <w:rPr>
          <w:rFonts w:ascii="Arial" w:cs="Arial" w:eastAsia="Arial" w:hAnsi="Arial"/>
          <w:b/>
          <w:bCs/>
          <w:color w:val="C55A11"/>
          <w:sz w:val="24"/>
          <w:szCs w:val="24"/>
        </w:rPr>
        <w:t xml:space="preserve">5.2.3 Modelos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Allocation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Red de microservicios con segmentacion por zona de seguridad</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Diagrama de Red</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Topologia de Red - Plataforma de Combustibles   |   Nomenclatura: NET-01</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p>
      <w:pPr>
        <w:spacing w:before="0" w:after="120"/>
        <w:jc w:val="both"/>
      </w:pPr>
      <w:r>
        <w:rPr>
          <w:rFonts w:ascii="Arial" w:cs="Arial" w:eastAsia="Arial" w:hAnsi="Arial"/>
          <w:sz w:val="22"/>
          <w:szCs w:val="22"/>
        </w:rPr>
        <w:t xml:space="preserve">[Diagrama de Red: DMZ publica (Ingress / API Gateway), Red interna de microservicios (comunicacion service-to-service cifrada con mTLS), Red de datos (PostgreSQL, Redis, Kafka), Red de gestion (Prometheus, Grafana, ELK). Firewall entre cada segmento. VPN para conexion con SICOM-MinMinas.]</w:t>
      </w:r>
    </w:p>
    <w:p>
      <w:pPr>
        <w:pStyle w:val="Heading3"/>
        <w:spacing w:before="200" w:after="100"/>
      </w:pPr>
      <w:r>
        <w:rPr>
          <w:rFonts w:ascii="Arial" w:cs="Arial" w:eastAsia="Arial" w:hAnsi="Arial"/>
          <w:b/>
          <w:bCs/>
          <w:color w:val="C55A11"/>
          <w:sz w:val="24"/>
          <w:szCs w:val="24"/>
        </w:rPr>
        <w:t xml:space="preserve">5.2.4 Modelos de Dependencia Tecnologica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Allocation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Stack tecnologico por capa del sistema</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Tabla de dependencias tecnologicas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Dependencias Tecnologicas   |   Nomenclatura: TECH-DEP</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Componente</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Tecnologia</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Proposito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Backend Microservicios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Java + Spring Boot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17 / 3.x</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Implementacion de la logica de negocio</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Frontend</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Angular o React</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17 / 18+</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Interfaz de usuario web y movil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API Gateway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Kong Gateway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3.x</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Gestion centralizada de APIs, autenticacion, rate limiting</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Base de Datos</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PostgreSQL</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16</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Almacenamiento relacional principal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Cache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Redis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7.x</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Cache de precios en tiempo real</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Mensajeria</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Apache Kafka</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3.x</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Comunicacion asincrona entre microservicios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Orquestacion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Kubernetes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1.29+</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Orquestacion de contenedores y escalado</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Contenedores</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Docker</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24+</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Empaquetamiento de microservicios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IoT / Sensores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MQTT / Mosquitto</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2.x</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Comunicacion con sensores de tanques</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Observabilidad</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Prometheus + Grafana</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Latest</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Metricas y dashboards operativos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Logs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ELK Stack</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8.x</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Recoleccion y analisis de logs</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Autenticacion</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Keycloak (OAuth2)</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23+</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Gestion de identidades y JWT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CI/CD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GitLab CI</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Pipelines de integracion y despliegue continuo</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Data Lake</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MinIO + Apache Spark</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Latest</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Almacenamiento y procesamiento para analisis predictivo</w:t>
            </w:r>
          </w:p>
        </w:tc>
      </w:tr>
    </w:tbl>
    <w:p>
      <w:pPr>
        <w:spacing w:before="0" w:after="120"/>
      </w:pPr>
      <w:r>
        <w:t xml:space="preserve"/>
      </w:r>
    </w:p>
    <w:p>
      <w:r>
        <w:br w:type="page"/>
      </w:r>
    </w:p>
    <w:p>
      <w:pPr>
        <w:pStyle w:val="Heading2"/>
        <w:spacing w:before="240" w:after="120"/>
      </w:pPr>
      <w:r>
        <w:rPr>
          <w:rFonts w:ascii="Arial" w:cs="Arial" w:eastAsia="Arial" w:hAnsi="Arial"/>
          <w:b/>
          <w:bCs/>
          <w:color w:val="2E74B5"/>
          <w:sz w:val="26"/>
          <w:szCs w:val="26"/>
        </w:rPr>
        <w:t xml:space="preserve">5.3 Punto de Vista de Informacion</w:t>
      </w:r>
    </w:p>
    <w:p>
      <w:pPr>
        <w:pStyle w:val="Heading3"/>
        <w:spacing w:before="200" w:after="100"/>
      </w:pPr>
      <w:r>
        <w:rPr>
          <w:rFonts w:ascii="Arial" w:cs="Arial" w:eastAsia="Arial" w:hAnsi="Arial"/>
          <w:b/>
          <w:bCs/>
          <w:color w:val="C55A11"/>
          <w:sz w:val="24"/>
          <w:szCs w:val="24"/>
        </w:rPr>
        <w:t xml:space="preserve">5.3.1 Descripcion</w:t>
      </w:r>
    </w:p>
    <w:p>
      <w:pPr>
        <w:spacing w:before="0" w:after="120"/>
        <w:jc w:val="both"/>
      </w:pPr>
      <w:r>
        <w:rPr>
          <w:rFonts w:ascii="Arial" w:cs="Arial" w:eastAsia="Arial" w:hAnsi="Arial"/>
          <w:sz w:val="22"/>
          <w:szCs w:val="22"/>
        </w:rPr>
        <w:t xml:space="preserve">El punto de vista de informacion describe las entidades de datos del sistema, su estructura estatica, los flujos de informacion entre componentes y el ciclo de vida de los datos criticos. Este punto de vista es relevante para los desarrolladores, el arquitecto de datos y la Autoridad Reguladora, que necesita comprender que datos se gestionan y como se protegen.</w:t>
      </w:r>
    </w:p>
    <w:p>
      <w:pPr>
        <w:spacing w:before="0" w:after="120"/>
        <w:jc w:val="both"/>
      </w:pPr>
      <w:r>
        <w:rPr>
          <w:rFonts w:ascii="Arial" w:cs="Arial" w:eastAsia="Arial" w:hAnsi="Arial"/>
          <w:sz w:val="22"/>
          <w:szCs w:val="22"/>
        </w:rPr>
        <w:t xml:space="preserve">Las entidades de datos centrales del sistema son: Estacion, Tanque, RegistroInventario, Transaccion, PrecioVigente, ReglaPrecios, EntregaDistribucion, Reporte, Usuario y AuditoriaEvento. Cada microservicio es dueno de sus propias entidades y expone solo sus contratos via API.</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5.3.2 Modelos de Estructuras Estaticas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Module (Decomposition)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Modelo de Dominio orientado a DDD</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Diagrama de Clases UML 2.5</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Modelo de Dominio - Plataforma de Combustibles   |   Nomenclatura: DOM-01</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p>
      <w:pPr>
        <w:spacing w:before="0" w:after="120"/>
        <w:jc w:val="both"/>
      </w:pPr>
      <w:r>
        <w:rPr>
          <w:rFonts w:ascii="Arial" w:cs="Arial" w:eastAsia="Arial" w:hAnsi="Arial"/>
          <w:sz w:val="22"/>
          <w:szCs w:val="22"/>
        </w:rPr>
        <w:t xml:space="preserve">[Diagrama de Clases: Las entidades principales incluyen Estacion (idEstacion, codigoSICOM, nombre, zona, coordenadas), Tanque (idTanque, tipoCombustible, capacidadLitros, nivelActual, estacion_fk), RegistroInventario (idRegistro, tanque_fk, volumen, timestamp, fuente, usuarioRegistro), Transaccion (idTransaccion, estacion_fk, tipoVehiculo, volumenDespachado, precioAplicado, timestamp), PrecioVigente (zona, tipoUsuario, precioLitro, vigenciaDesde, reglaNormativa_fk), EntregaDistribucion (idEntrega, distribuidor, estacionDestino, volumen, posicionGPS, timestampEntrega, estado).]</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5.3.3 Modelos de Flujo de Informacion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C&amp;C (Data Flow)</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Tuberias y Filtros para flujo de datos de precios e inventario</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Diagrama de Flujo de Datos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Flujo de Informacion - Precios e Inventario   |   Nomenclatura: DFD-01</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p>
      <w:pPr>
        <w:spacing w:before="0" w:after="120"/>
        <w:jc w:val="both"/>
      </w:pPr>
      <w:r>
        <w:rPr>
          <w:rFonts w:ascii="Arial" w:cs="Arial" w:eastAsia="Arial" w:hAnsi="Arial"/>
          <w:sz w:val="22"/>
          <w:szCs w:val="22"/>
        </w:rPr>
        <w:t xml:space="preserve">[Flujo principal: Sensor IoT -&gt; Broker MQTT -&gt; IoTBridge -&gt; Kafka Topic 'inventory-events' -&gt; InventoryService -&gt; PostgreSQL (inventario) + Redis (cache nivel tanque). Consulta de precio: App Estacion -&gt; API Gateway -&gt; PriceService -&gt; Redis cache -&gt; (cache miss) -&gt; PostgreSQL precios + Motor Reglas -&gt; respuesta &lt;500ms. Transaccion: App -&gt; API Gateway -&gt; TransactionService -&gt; Kafka 'transaction-events' -&gt; ReportService -&gt; Data Lake + SICOM Connector.]</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5.3.4 Modelos de Ciclo de Vida de Informacion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Module</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Ciclo de vida de datos transaccionales y regulatorios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Diagrama de Estados UML</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Ciclo de Vida de Datos - Transacciones   |   Nomenclatura: LC-01</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p>
      <w:pPr>
        <w:spacing w:before="0" w:after="120"/>
        <w:jc w:val="both"/>
      </w:pPr>
      <w:r>
        <w:rPr>
          <w:rFonts w:ascii="Arial" w:cs="Arial" w:eastAsia="Arial" w:hAnsi="Arial"/>
          <w:sz w:val="22"/>
          <w:szCs w:val="22"/>
        </w:rPr>
        <w:t xml:space="preserve">[Ciclo de vida de Transaccion: CREADA -&gt; VALIDANDO (Motor de Reglas valida normativa) -&gt; [APROBADA | RECHAZADA]. Si APROBADA: PROCESANDO (descuenta inventario) -&gt; COMPLETADA -&gt; ARCHIVADA (90 dias en BD activa, luego Data Lake). Si RECHAZADA: AUDITADA -&gt; ARCHIVADA. Los datos ARCHIVADOS son inmutables y se retienen 7 anos por obligacion legal.]</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5.4 Punto de Vista de Concurrencia</w:t>
      </w:r>
    </w:p>
    <w:p>
      <w:pPr>
        <w:pStyle w:val="Heading3"/>
        <w:spacing w:before="200" w:after="100"/>
      </w:pPr>
      <w:r>
        <w:rPr>
          <w:rFonts w:ascii="Arial" w:cs="Arial" w:eastAsia="Arial" w:hAnsi="Arial"/>
          <w:b/>
          <w:bCs/>
          <w:color w:val="C55A11"/>
          <w:sz w:val="24"/>
          <w:szCs w:val="24"/>
        </w:rPr>
        <w:t xml:space="preserve">5.4.1 Descripcion</w:t>
      </w:r>
    </w:p>
    <w:p>
      <w:pPr>
        <w:spacing w:before="0" w:after="120"/>
        <w:jc w:val="both"/>
      </w:pPr>
      <w:r>
        <w:rPr>
          <w:rFonts w:ascii="Arial" w:cs="Arial" w:eastAsia="Arial" w:hAnsi="Arial"/>
          <w:sz w:val="22"/>
          <w:szCs w:val="22"/>
        </w:rPr>
        <w:t xml:space="preserve">El punto de vista de concurrencia describe como el sistema gestiona la ejecucion simultanea de multiples operaciones, la sincronizacion de accesos a datos compartidos y la estrategia para garantizar consistencia en un entorno distribuido de alta demanda. Este punto de vista es critico dado que la plataforma debe procesar miles de transacciones concurrentes en horarios pico.</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5.4.2 Modelo de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C&amp;C</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Mensajeria asincrona con Kafka y patrones de consistencia eventual</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Diagrama de Concurrencia / Secuencia UML</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Modelo de Concurrencia - Plataforma de Combustibles   |   Nomenclatura: CONC-01</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p>
      <w:pPr>
        <w:spacing w:before="0" w:after="120"/>
        <w:jc w:val="both"/>
      </w:pPr>
      <w:r>
        <w:rPr>
          <w:rFonts w:ascii="Arial" w:cs="Arial" w:eastAsia="Arial" w:hAnsi="Arial"/>
          <w:sz w:val="22"/>
          <w:szCs w:val="22"/>
        </w:rPr>
        <w:t xml:space="preserve">La plataforma gestiona la concurrencia mediante los siguientes mecanismos: (1) Kafka con particionado por estacion garantiza el orden de eventos de inventario por cada estacion. (2) Redis con transacciones atomicas para actualizaciones de cache de precios. (3) PostgreSQL con transacciones ACID y niveles de aislamiento READ COMMITTED para datos de inventario. (4) Optimistic Locking en el InventoryService para prevenir condiciones de carrera en actualizaciones concurrentes del mismo tanque. (5) El patron CQRS separa las escrituras (comandos de transaccion) de las lecturas (consultas de precio), evitando contention en base de datos.</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5.5 Punto de Vista de Desarrollo</w:t>
      </w:r>
    </w:p>
    <w:p>
      <w:pPr>
        <w:pStyle w:val="Heading3"/>
        <w:spacing w:before="200" w:after="100"/>
      </w:pPr>
      <w:r>
        <w:rPr>
          <w:rFonts w:ascii="Arial" w:cs="Arial" w:eastAsia="Arial" w:hAnsi="Arial"/>
          <w:b/>
          <w:bCs/>
          <w:color w:val="C55A11"/>
          <w:sz w:val="24"/>
          <w:szCs w:val="24"/>
        </w:rPr>
        <w:t xml:space="preserve">5.5.1 Descripcion</w:t>
      </w:r>
    </w:p>
    <w:p>
      <w:pPr>
        <w:spacing w:before="0" w:after="120"/>
        <w:jc w:val="both"/>
      </w:pPr>
      <w:r>
        <w:rPr>
          <w:rFonts w:ascii="Arial" w:cs="Arial" w:eastAsia="Arial" w:hAnsi="Arial"/>
          <w:sz w:val="22"/>
          <w:szCs w:val="22"/>
        </w:rPr>
        <w:t xml:space="preserve">El punto de vista de desarrollo describe la organizacion del codigo fuente, la estructura de repositorios, los modulos y las dependencias entre ellos. Este punto de vista es el mas relevante para el equipo de desarrollo y los ingenieros de DevOps.</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5.5.2 Modelo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Familia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Module (Decomposition)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Estilo Arquitectural</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Repositorios independientes por microservicio con monorepo de configuracion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Convención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Diagrama de Paquetes UML / Estructura de Repositorios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   |   Título: Estructura de Desarrollo - FuelPlatform   |   Nomenclatura: DEV-01</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Arquitecto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Arquitecto FuelPlatform   |   Fecha: Febrero 2025</w:t>
            </w:r>
          </w:p>
        </w:tc>
      </w:tr>
    </w:tbl>
    <w:p>
      <w:pPr>
        <w:spacing w:before="0" w:after="120"/>
      </w:pPr>
      <w:r>
        <w:t xml:space="preserve"/>
      </w:r>
    </w:p>
    <w:p>
      <w:pPr>
        <w:spacing w:before="0" w:after="120"/>
        <w:jc w:val="both"/>
      </w:pPr>
      <w:r>
        <w:rPr>
          <w:rFonts w:ascii="Arial" w:cs="Arial" w:eastAsia="Arial" w:hAnsi="Arial"/>
          <w:sz w:val="22"/>
          <w:szCs w:val="22"/>
        </w:rPr>
        <w:t xml:space="preserve">La estructura de desarrollo sigue el patron de repositorios por servicio (polyrepo). Los repositorios principales son: fuel-price-service (Java/Spring Boot), fuel-inventory-service (Java/Spring Boot), fuel-distribution-service (Java/Spring Boot), fuel-report-service (Java/Spring Boot), fuel-rules-engine (Java/Spring Boot + Drools), fuel-iot-bridge (Java/Spring Integration), fuel-api-gateway (Kong config), fuel-frontend (Angular/React), fuel-infra (Helm charts + Kubernetes manifests), fuel-shared-libs (librerías comunes: DTOs, excepciones, utilidades). Cada repositorio tiene su propio pipeline CI/CD en GitLab con etapas: test, sonarqube, build, docker-push, deploy-staging, deploy-prod.</w:t>
      </w:r>
    </w:p>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Seccion 6. Experimentacion con Atributos de Calidad</w:t>
      </w:r>
    </w:p>
    <w:p>
      <w:pPr>
        <w:spacing w:before="0" w:after="120"/>
        <w:jc w:val="both"/>
      </w:pPr>
      <w:r>
        <w:rPr>
          <w:rFonts w:ascii="Arial" w:cs="Arial" w:eastAsia="Arial" w:hAnsi="Arial"/>
          <w:sz w:val="22"/>
          <w:szCs w:val="22"/>
        </w:rPr>
        <w:t xml:space="preserve">Esta seccion describe la planificacion y los resultados de la experimentacion realizada para verificar el cumplimiento de los atributos de calidad criticos identificados en la Seccion 3.</w:t>
      </w:r>
    </w:p>
    <w:p>
      <w:pPr>
        <w:pStyle w:val="Heading2"/>
        <w:spacing w:before="240" w:after="120"/>
      </w:pPr>
      <w:r>
        <w:rPr>
          <w:rFonts w:ascii="Arial" w:cs="Arial" w:eastAsia="Arial" w:hAnsi="Arial"/>
          <w:b/>
          <w:bCs/>
          <w:color w:val="2E74B5"/>
          <w:sz w:val="26"/>
          <w:szCs w:val="26"/>
        </w:rPr>
        <w:t xml:space="preserve">6.1 Desempeno y Escalabilidad</w:t>
      </w:r>
    </w:p>
    <w:p>
      <w:pPr>
        <w:pStyle w:val="Heading3"/>
        <w:spacing w:before="200" w:after="100"/>
      </w:pPr>
      <w:r>
        <w:rPr>
          <w:rFonts w:ascii="Arial" w:cs="Arial" w:eastAsia="Arial" w:hAnsi="Arial"/>
          <w:b/>
          <w:bCs/>
          <w:color w:val="C55A11"/>
          <w:sz w:val="24"/>
          <w:szCs w:val="24"/>
        </w:rPr>
        <w:t xml:space="preserve">6.1.1 Preexperimentacion</w:t>
      </w:r>
    </w:p>
    <w:p>
      <w:pPr>
        <w:spacing w:before="0" w:after="120"/>
        <w:jc w:val="both"/>
      </w:pPr>
      <w:r>
        <w:rPr>
          <w:rFonts w:ascii="Arial" w:cs="Arial" w:eastAsia="Arial" w:hAnsi="Arial"/>
          <w:b/>
          <w:bCs/>
          <w:sz w:val="22"/>
          <w:szCs w:val="22"/>
        </w:rPr>
        <w:t xml:space="preserve">6.1.1.1 Problematica</w:t>
      </w:r>
    </w:p>
    <w:p>
      <w:pPr>
        <w:spacing w:before="0" w:after="120"/>
        <w:jc w:val="both"/>
      </w:pPr>
      <w:r>
        <w:rPr>
          <w:rFonts w:ascii="Arial" w:cs="Arial" w:eastAsia="Arial" w:hAnsi="Arial"/>
          <w:sz w:val="22"/>
          <w:szCs w:val="22"/>
        </w:rPr>
        <w:t xml:space="preserve">Hipotesis: La arquitectura de microservicios con Redis como cache de precios y Kafka para desacoplar transacciones de reportes permite atender 500 solicitudes concurrentes de consulta de precio con un tiempo de respuesta inferior a 500 ms en el percentil 95, sin degradacion proporcional al aumentar la carga.</w:t>
      </w:r>
    </w:p>
    <w:p>
      <w:pPr>
        <w:spacing w:before="0" w:after="120"/>
      </w:pPr>
      <w:r>
        <w:t xml:space="preserve"/>
      </w:r>
    </w:p>
    <w:p>
      <w:pPr>
        <w:spacing w:before="0" w:after="120"/>
        <w:jc w:val="both"/>
      </w:pPr>
      <w:r>
        <w:rPr>
          <w:rFonts w:ascii="Arial" w:cs="Arial" w:eastAsia="Arial" w:hAnsi="Arial"/>
          <w:b/>
          <w:bCs/>
          <w:sz w:val="22"/>
          <w:szCs w:val="22"/>
        </w:rPr>
        <w:t xml:space="preserve">6.1.1.2 Objetivos del Experimento</w:t>
      </w:r>
    </w:p>
    <w:p>
      <w:pPr>
        <w:pStyle w:val="ListParagraph"/>
        <w:numPr>
          <w:ilvl w:val="0"/>
          <w:numId w:val="2"/>
        </w:numPr>
        <w:spacing w:before="0" w:after="80"/>
      </w:pPr>
      <w:r>
        <w:rPr>
          <w:rFonts w:ascii="Arial" w:cs="Arial" w:eastAsia="Arial" w:hAnsi="Arial"/>
          <w:sz w:val="22"/>
          <w:szCs w:val="22"/>
        </w:rPr>
        <w:t xml:space="preserve">Verificar que el tiempo de respuesta del PriceService es inferior a 500ms para el p95 bajo 500 usuarios concurrentes.</w:t>
      </w:r>
    </w:p>
    <w:p>
      <w:pPr>
        <w:pStyle w:val="ListParagraph"/>
        <w:numPr>
          <w:ilvl w:val="0"/>
          <w:numId w:val="2"/>
        </w:numPr>
        <w:spacing w:before="0" w:after="80"/>
      </w:pPr>
      <w:r>
        <w:rPr>
          <w:rFonts w:ascii="Arial" w:cs="Arial" w:eastAsia="Arial" w:hAnsi="Arial"/>
          <w:sz w:val="22"/>
          <w:szCs w:val="22"/>
        </w:rPr>
        <w:t xml:space="preserve">Medir la variacion del throughput al escalar de 1 a 3 replicas del PriceService.</w:t>
      </w:r>
    </w:p>
    <w:p>
      <w:pPr>
        <w:pStyle w:val="ListParagraph"/>
        <w:numPr>
          <w:ilvl w:val="0"/>
          <w:numId w:val="2"/>
        </w:numPr>
        <w:spacing w:before="0" w:after="80"/>
      </w:pPr>
      <w:r>
        <w:rPr>
          <w:rFonts w:ascii="Arial" w:cs="Arial" w:eastAsia="Arial" w:hAnsi="Arial"/>
          <w:sz w:val="22"/>
          <w:szCs w:val="22"/>
        </w:rPr>
        <w:t xml:space="preserve">Validar la efectividad del cache Redis en reducir la latencia de consultas repetidas.</w:t>
      </w:r>
    </w:p>
    <w:p>
      <w:pPr>
        <w:spacing w:before="0" w:after="120"/>
      </w:pPr>
      <w:r>
        <w:t xml:space="preserve"/>
      </w:r>
    </w:p>
    <w:p>
      <w:pPr>
        <w:spacing w:before="0" w:after="120"/>
        <w:jc w:val="both"/>
      </w:pPr>
      <w:r>
        <w:rPr>
          <w:rFonts w:ascii="Arial" w:cs="Arial" w:eastAsia="Arial" w:hAnsi="Arial"/>
          <w:b/>
          <w:bCs/>
          <w:sz w:val="22"/>
          <w:szCs w:val="22"/>
        </w:rPr>
        <w:t xml:space="preserve">6.1.1.3 Descripcion del Experimento</w:t>
      </w:r>
    </w:p>
    <w:p>
      <w:pPr>
        <w:spacing w:before="0" w:after="120"/>
        <w:jc w:val="both"/>
      </w:pPr>
      <w:r>
        <w:rPr>
          <w:rFonts w:ascii="Arial" w:cs="Arial" w:eastAsia="Arial" w:hAnsi="Arial"/>
          <w:sz w:val="22"/>
          <w:szCs w:val="22"/>
        </w:rPr>
        <w:t xml:space="preserve">Se utilizara Apache JMeter para simular carga de usuarios concurrentes realizando consultas al endpoint GET /api/v1/prices?zone={zone}&amp;vehicleType={type}. Se ejecutaran pruebas con 100, 250 y 500 usuarios concurrentes durante 10 minutos cada una, midiendo latencia (p50, p95, p99), throughput (req/s) y tasa de error. Se comparara el comportamiento con 1 replica vs 3 replicas del PriceService.</w:t>
      </w:r>
    </w:p>
    <w:p>
      <w:pPr>
        <w:spacing w:before="0" w:after="120"/>
      </w:pPr>
      <w:r>
        <w:t xml:space="preserve"/>
      </w:r>
    </w:p>
    <w:p>
      <w:pPr>
        <w:spacing w:before="0" w:after="120"/>
        <w:jc w:val="both"/>
      </w:pPr>
      <w:r>
        <w:rPr>
          <w:rFonts w:ascii="Arial" w:cs="Arial" w:eastAsia="Arial" w:hAnsi="Arial"/>
          <w:b/>
          <w:bCs/>
          <w:sz w:val="22"/>
          <w:szCs w:val="22"/>
        </w:rPr>
        <w:t xml:space="preserve">6.1.1.4 Artefactos a Construir</w:t>
      </w:r>
    </w:p>
    <w:p>
      <w:pPr>
        <w:pStyle w:val="ListParagraph"/>
        <w:numPr>
          <w:ilvl w:val="0"/>
          <w:numId w:val="2"/>
        </w:numPr>
        <w:spacing w:before="0" w:after="80"/>
      </w:pPr>
      <w:r>
        <w:rPr>
          <w:rFonts w:ascii="Arial" w:cs="Arial" w:eastAsia="Arial" w:hAnsi="Arial"/>
          <w:sz w:val="22"/>
          <w:szCs w:val="22"/>
        </w:rPr>
        <w:t xml:space="preserve">Plan de prueba JMeter: fuel-price-load-test.jmx</w:t>
      </w:r>
    </w:p>
    <w:p>
      <w:pPr>
        <w:pStyle w:val="ListParagraph"/>
        <w:numPr>
          <w:ilvl w:val="0"/>
          <w:numId w:val="2"/>
        </w:numPr>
        <w:spacing w:before="0" w:after="80"/>
      </w:pPr>
      <w:r>
        <w:rPr>
          <w:rFonts w:ascii="Arial" w:cs="Arial" w:eastAsia="Arial" w:hAnsi="Arial"/>
          <w:sz w:val="22"/>
          <w:szCs w:val="22"/>
        </w:rPr>
        <w:t xml:space="preserve">Scripts de despliegue para configurar 1 y 3 replicas del PriceService en Kubernetes.</w:t>
      </w:r>
    </w:p>
    <w:p>
      <w:pPr>
        <w:pStyle w:val="ListParagraph"/>
        <w:numPr>
          <w:ilvl w:val="0"/>
          <w:numId w:val="2"/>
        </w:numPr>
        <w:spacing w:before="0" w:after="80"/>
      </w:pPr>
      <w:r>
        <w:rPr>
          <w:rFonts w:ascii="Arial" w:cs="Arial" w:eastAsia="Arial" w:hAnsi="Arial"/>
          <w:sz w:val="22"/>
          <w:szCs w:val="22"/>
        </w:rPr>
        <w:t xml:space="preserve">Dashboard Grafana para visualizacion en tiempo real durante la prueba.</w:t>
      </w:r>
    </w:p>
    <w:p>
      <w:pPr>
        <w:spacing w:before="0" w:after="120"/>
      </w:pPr>
      <w:r>
        <w:t xml:space="preserve"/>
      </w:r>
    </w:p>
    <w:p>
      <w:pPr>
        <w:spacing w:before="0" w:after="120"/>
        <w:jc w:val="both"/>
      </w:pPr>
      <w:r>
        <w:rPr>
          <w:rFonts w:ascii="Arial" w:cs="Arial" w:eastAsia="Arial" w:hAnsi="Arial"/>
          <w:b/>
          <w:bCs/>
          <w:sz w:val="22"/>
          <w:szCs w:val="22"/>
        </w:rPr>
        <w:t xml:space="preserve">6.1.1.5 Recursos del Experimento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Recurso</w:t>
            </w:r>
          </w:p>
        </w:tc>
        <w:tc>
          <w:tcPr>
            <w:tcW w:type="dxa" w:w="6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Especificacion</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Servidor de Pruebas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4 vCPUs, 8 GB RAM, SSD 100 GB</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Cluster Kubernetes</w:t>
            </w:r>
          </w:p>
        </w:tc>
        <w:tc>
          <w:tcPr>
            <w:tcW w:type="dxa" w:w="6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3 nodos worker: 8 vCPUs, 16 GB RAM cada uno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Redis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Redis Cluster 3 nodos, 4 GB RAM</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PostgreSQL</w:t>
            </w:r>
          </w:p>
        </w:tc>
        <w:tc>
          <w:tcPr>
            <w:tcW w:type="dxa" w:w="6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Primary + 1 replica, 8 GB RAM</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Herramienta de carga</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Apache JMeter 5.6 con 10 hilos de ejecucion</w:t>
            </w:r>
          </w:p>
        </w:tc>
      </w:tr>
    </w:tbl>
    <w:p>
      <w:pPr>
        <w:spacing w:before="0" w:after="120"/>
      </w:pPr>
      <w:r>
        <w:t xml:space="preserve"/>
      </w:r>
    </w:p>
    <w:p>
      <w:pPr>
        <w:spacing w:before="0" w:after="120"/>
        <w:jc w:val="both"/>
      </w:pPr>
      <w:r>
        <w:rPr>
          <w:rFonts w:ascii="Arial" w:cs="Arial" w:eastAsia="Arial" w:hAnsi="Arial"/>
          <w:b/>
          <w:bCs/>
          <w:sz w:val="22"/>
          <w:szCs w:val="22"/>
        </w:rPr>
        <w:t xml:space="preserve">6.1.1.6 Resultados Esperados</w:t>
      </w:r>
    </w:p>
    <w:p>
      <w:pPr>
        <w:spacing w:before="0" w:after="120"/>
        <w:jc w:val="both"/>
      </w:pPr>
      <w:r>
        <w:rPr>
          <w:rFonts w:ascii="Arial" w:cs="Arial" w:eastAsia="Arial" w:hAnsi="Arial"/>
          <w:sz w:val="22"/>
          <w:szCs w:val="22"/>
        </w:rPr>
        <w:t xml:space="preserve">Con 1 replica del PriceService: p95 &lt; 800ms. Con 3 replicas: p95 &lt; 500ms. Efectividad del cache: reduccion del 70% en latencia para solicitudes repetidas de la misma zona. Escalado sin degradacion de throughput.</w:t>
      </w:r>
    </w:p>
    <w:p>
      <w:pPr>
        <w:spacing w:before="0" w:after="120"/>
      </w:pPr>
      <w:r>
        <w:t xml:space="preserve"/>
      </w:r>
    </w:p>
    <w:p>
      <w:pPr>
        <w:spacing w:before="0" w:after="120"/>
        <w:jc w:val="both"/>
      </w:pPr>
      <w:r>
        <w:rPr>
          <w:rFonts w:ascii="Arial" w:cs="Arial" w:eastAsia="Arial" w:hAnsi="Arial"/>
          <w:b/>
          <w:bCs/>
          <w:sz w:val="22"/>
          <w:szCs w:val="22"/>
        </w:rPr>
        <w:t xml:space="preserve">6.1.1.7 Duracion y Etapas</w:t>
      </w:r>
    </w:p>
    <w:p>
      <w:pPr>
        <w:spacing w:before="0" w:after="120"/>
        <w:jc w:val="both"/>
      </w:pPr>
      <w:r>
        <w:rPr>
          <w:rFonts w:ascii="Arial" w:cs="Arial" w:eastAsia="Arial" w:hAnsi="Arial"/>
          <w:sz w:val="22"/>
          <w:szCs w:val="22"/>
        </w:rPr>
        <w:t xml:space="preserve">Etapa 1 (Semana 1): Preparacion del entorno y scripts JMeter. Etapa 2 (Semana 2): Ejecucion de pruebas con 1 replica. Etapa 3 (Semana 2): Ejecucion de pruebas con 3 replicas. Etapa 4 (Semana 3): Analisis de resultados y elaboracion de informe.</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6.1.2 Experimentacion</w:t>
      </w:r>
    </w:p>
    <w:p>
      <w:pPr>
        <w:spacing w:before="0" w:after="120"/>
        <w:jc w:val="both"/>
      </w:pPr>
      <w:r>
        <w:rPr>
          <w:rFonts w:ascii="Arial" w:cs="Arial" w:eastAsia="Arial" w:hAnsi="Arial"/>
          <w:sz w:val="22"/>
          <w:szCs w:val="22"/>
        </w:rPr>
        <w:t xml:space="preserve">[Esta seccion se completara con los datos de ejecucion real del experimento, capturas de JMeter y metricas de Grafana durante la prueba de carga.]</w:t>
      </w:r>
    </w:p>
    <w:p>
      <w:pPr>
        <w:pStyle w:val="Heading3"/>
        <w:spacing w:before="200" w:after="100"/>
      </w:pPr>
      <w:r>
        <w:rPr>
          <w:rFonts w:ascii="Arial" w:cs="Arial" w:eastAsia="Arial" w:hAnsi="Arial"/>
          <w:b/>
          <w:bCs/>
          <w:color w:val="C55A11"/>
          <w:sz w:val="24"/>
          <w:szCs w:val="24"/>
        </w:rPr>
        <w:t xml:space="preserve">6.1.3 Post-experimentacion</w:t>
      </w:r>
    </w:p>
    <w:p>
      <w:pPr>
        <w:spacing w:before="0" w:after="120"/>
        <w:jc w:val="both"/>
      </w:pPr>
      <w:r>
        <w:rPr>
          <w:rFonts w:ascii="Arial" w:cs="Arial" w:eastAsia="Arial" w:hAnsi="Arial"/>
          <w:sz w:val="22"/>
          <w:szCs w:val="22"/>
        </w:rPr>
        <w:t xml:space="preserve">[Esta seccion se completara con los resultados obtenidos, graficas comparativas de latencia y throughput, analisis y conclusiones sobre el cumplimiento del escenario ESC-01 de desempeno.]</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6.2 Disponibilidad</w:t>
      </w:r>
    </w:p>
    <w:p>
      <w:pPr>
        <w:pStyle w:val="Heading3"/>
        <w:spacing w:before="200" w:after="100"/>
      </w:pPr>
      <w:r>
        <w:rPr>
          <w:rFonts w:ascii="Arial" w:cs="Arial" w:eastAsia="Arial" w:hAnsi="Arial"/>
          <w:b/>
          <w:bCs/>
          <w:color w:val="C55A11"/>
          <w:sz w:val="24"/>
          <w:szCs w:val="24"/>
        </w:rPr>
        <w:t xml:space="preserve">6.2.1 Preexperimentacion</w:t>
      </w:r>
    </w:p>
    <w:p>
      <w:pPr>
        <w:spacing w:before="0" w:after="120"/>
        <w:jc w:val="both"/>
      </w:pPr>
      <w:r>
        <w:rPr>
          <w:rFonts w:ascii="Arial" w:cs="Arial" w:eastAsia="Arial" w:hAnsi="Arial"/>
          <w:b/>
          <w:bCs/>
          <w:sz w:val="22"/>
          <w:szCs w:val="22"/>
        </w:rPr>
        <w:t xml:space="preserve">6.2.1.1 Problematica</w:t>
      </w:r>
    </w:p>
    <w:p>
      <w:pPr>
        <w:spacing w:before="0" w:after="120"/>
        <w:jc w:val="both"/>
      </w:pPr>
      <w:r>
        <w:rPr>
          <w:rFonts w:ascii="Arial" w:cs="Arial" w:eastAsia="Arial" w:hAnsi="Arial"/>
          <w:sz w:val="22"/>
          <w:szCs w:val="22"/>
        </w:rPr>
        <w:t xml:space="preserve">Hipotesis: La implementacion del patron Circuit Breaker en el IoTBridge y la redundancia de microservicios criticos en Kubernetes permiten mantener la disponibilidad del sistema por encima del 99.5% mensual, incluso ante fallos de servicios externos de IoT o GPS.</w:t>
      </w:r>
    </w:p>
    <w:p>
      <w:pPr>
        <w:spacing w:before="0" w:after="120"/>
      </w:pPr>
      <w:r>
        <w:t xml:space="preserve"/>
      </w:r>
    </w:p>
    <w:p>
      <w:pPr>
        <w:spacing w:before="0" w:after="120"/>
        <w:jc w:val="both"/>
      </w:pPr>
      <w:r>
        <w:rPr>
          <w:rFonts w:ascii="Arial" w:cs="Arial" w:eastAsia="Arial" w:hAnsi="Arial"/>
          <w:b/>
          <w:bCs/>
          <w:sz w:val="22"/>
          <w:szCs w:val="22"/>
        </w:rPr>
        <w:t xml:space="preserve">6.2.1.2 Objetivos del Experimento</w:t>
      </w:r>
    </w:p>
    <w:p>
      <w:pPr>
        <w:pStyle w:val="ListParagraph"/>
        <w:numPr>
          <w:ilvl w:val="0"/>
          <w:numId w:val="2"/>
        </w:numPr>
        <w:spacing w:before="0" w:after="80"/>
      </w:pPr>
      <w:r>
        <w:rPr>
          <w:rFonts w:ascii="Arial" w:cs="Arial" w:eastAsia="Arial" w:hAnsi="Arial"/>
          <w:sz w:val="22"/>
          <w:szCs w:val="22"/>
        </w:rPr>
        <w:t xml:space="preserve">Verificar que el sistema activa el Circuit Breaker en menos de 10 segundos ante un fallo del broker MQTT externo.</w:t>
      </w:r>
    </w:p>
    <w:p>
      <w:pPr>
        <w:pStyle w:val="ListParagraph"/>
        <w:numPr>
          <w:ilvl w:val="0"/>
          <w:numId w:val="2"/>
        </w:numPr>
        <w:spacing w:before="0" w:after="80"/>
      </w:pPr>
      <w:r>
        <w:rPr>
          <w:rFonts w:ascii="Arial" w:cs="Arial" w:eastAsia="Arial" w:hAnsi="Arial"/>
          <w:sz w:val="22"/>
          <w:szCs w:val="22"/>
        </w:rPr>
        <w:t xml:space="preserve">Medir el tiempo de recuperacion automatica de un microservicio caido (restart by Kubernetes).</w:t>
      </w:r>
    </w:p>
    <w:p>
      <w:pPr>
        <w:pStyle w:val="ListParagraph"/>
        <w:numPr>
          <w:ilvl w:val="0"/>
          <w:numId w:val="2"/>
        </w:numPr>
        <w:spacing w:before="0" w:after="80"/>
      </w:pPr>
      <w:r>
        <w:rPr>
          <w:rFonts w:ascii="Arial" w:cs="Arial" w:eastAsia="Arial" w:hAnsi="Arial"/>
          <w:sz w:val="22"/>
          <w:szCs w:val="22"/>
        </w:rPr>
        <w:t xml:space="preserve">Validar que las transacciones de precios continuan sin interrupcion durante un fallo de IoT.</w:t>
      </w:r>
    </w:p>
    <w:p>
      <w:pPr>
        <w:spacing w:before="0" w:after="120"/>
      </w:pPr>
      <w:r>
        <w:t xml:space="preserve"/>
      </w:r>
    </w:p>
    <w:p>
      <w:pPr>
        <w:spacing w:before="0" w:after="120"/>
        <w:jc w:val="both"/>
      </w:pPr>
      <w:r>
        <w:rPr>
          <w:rFonts w:ascii="Arial" w:cs="Arial" w:eastAsia="Arial" w:hAnsi="Arial"/>
          <w:b/>
          <w:bCs/>
          <w:sz w:val="22"/>
          <w:szCs w:val="22"/>
        </w:rPr>
        <w:t xml:space="preserve">6.2.1.3 Descripcion del Experimento</w:t>
      </w:r>
    </w:p>
    <w:p>
      <w:pPr>
        <w:spacing w:before="0" w:after="120"/>
        <w:jc w:val="both"/>
      </w:pPr>
      <w:r>
        <w:rPr>
          <w:rFonts w:ascii="Arial" w:cs="Arial" w:eastAsia="Arial" w:hAnsi="Arial"/>
          <w:sz w:val="22"/>
          <w:szCs w:val="22"/>
        </w:rPr>
        <w:t xml:space="preserve">Se simulara la caida del broker MQTT externo interrumpiendo la conexion de red del IoTBridge. Paralelamente, se ejecutara trafico continuo de consultas de precio con JMeter (100 usuarios) para verificar que el servicio de precios no se ve afectado. Se medira el tiempo de activacion del Circuit Breaker y la generacion de alertas.</w:t>
      </w:r>
    </w:p>
    <w:p>
      <w:pPr>
        <w:spacing w:before="0" w:after="120"/>
      </w:pPr>
      <w:r>
        <w:t xml:space="preserve"/>
      </w:r>
    </w:p>
    <w:p>
      <w:pPr>
        <w:spacing w:before="0" w:after="120"/>
        <w:jc w:val="both"/>
      </w:pPr>
      <w:r>
        <w:rPr>
          <w:rFonts w:ascii="Arial" w:cs="Arial" w:eastAsia="Arial" w:hAnsi="Arial"/>
          <w:b/>
          <w:bCs/>
          <w:sz w:val="22"/>
          <w:szCs w:val="22"/>
        </w:rPr>
        <w:t xml:space="preserve">6.2.1.6 Resultados Esperados</w:t>
      </w:r>
    </w:p>
    <w:p>
      <w:pPr>
        <w:spacing w:before="0" w:after="120"/>
        <w:jc w:val="both"/>
      </w:pPr>
      <w:r>
        <w:rPr>
          <w:rFonts w:ascii="Arial" w:cs="Arial" w:eastAsia="Arial" w:hAnsi="Arial"/>
          <w:sz w:val="22"/>
          <w:szCs w:val="22"/>
        </w:rPr>
        <w:t xml:space="preserve">Circuit Breaker activado en menos de 10 segundos. Alertas generadas en menos de 60 segundos. Cero impacto en el servicio de precios durante el fallo de IoT. Uptime medido mayor al 99.5%.</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6.2.2 Experimentacion</w:t>
      </w:r>
    </w:p>
    <w:p>
      <w:pPr>
        <w:spacing w:before="0" w:after="120"/>
        <w:jc w:val="both"/>
      </w:pPr>
      <w:r>
        <w:rPr>
          <w:rFonts w:ascii="Arial" w:cs="Arial" w:eastAsia="Arial" w:hAnsi="Arial"/>
          <w:sz w:val="22"/>
          <w:szCs w:val="22"/>
        </w:rPr>
        <w:t xml:space="preserve">[Resultados de la ejecucion del experimento de disponibilidad.]</w:t>
      </w:r>
    </w:p>
    <w:p>
      <w:pPr>
        <w:pStyle w:val="Heading3"/>
        <w:spacing w:before="200" w:after="100"/>
      </w:pPr>
      <w:r>
        <w:rPr>
          <w:rFonts w:ascii="Arial" w:cs="Arial" w:eastAsia="Arial" w:hAnsi="Arial"/>
          <w:b/>
          <w:bCs/>
          <w:color w:val="C55A11"/>
          <w:sz w:val="24"/>
          <w:szCs w:val="24"/>
        </w:rPr>
        <w:t xml:space="preserve">6.2.3 Post-experimentacion</w:t>
      </w:r>
    </w:p>
    <w:p>
      <w:pPr>
        <w:spacing w:before="0" w:after="120"/>
        <w:jc w:val="both"/>
      </w:pPr>
      <w:r>
        <w:rPr>
          <w:rFonts w:ascii="Arial" w:cs="Arial" w:eastAsia="Arial" w:hAnsi="Arial"/>
          <w:sz w:val="22"/>
          <w:szCs w:val="22"/>
        </w:rPr>
        <w:t xml:space="preserve">[Analisis, conclusiones y recomendaciones sobre el atributo de disponibilidad.]</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6.3 Modificabilidad</w:t>
      </w:r>
    </w:p>
    <w:p>
      <w:pPr>
        <w:pStyle w:val="Heading3"/>
        <w:spacing w:before="200" w:after="100"/>
      </w:pPr>
      <w:r>
        <w:rPr>
          <w:rFonts w:ascii="Arial" w:cs="Arial" w:eastAsia="Arial" w:hAnsi="Arial"/>
          <w:b/>
          <w:bCs/>
          <w:color w:val="C55A11"/>
          <w:sz w:val="24"/>
          <w:szCs w:val="24"/>
        </w:rPr>
        <w:t xml:space="preserve">6.3.1 Preexperimentacion</w:t>
      </w:r>
    </w:p>
    <w:p>
      <w:pPr>
        <w:spacing w:before="0" w:after="120"/>
        <w:jc w:val="both"/>
      </w:pPr>
      <w:r>
        <w:rPr>
          <w:rFonts w:ascii="Arial" w:cs="Arial" w:eastAsia="Arial" w:hAnsi="Arial"/>
          <w:b/>
          <w:bCs/>
          <w:sz w:val="22"/>
          <w:szCs w:val="22"/>
        </w:rPr>
        <w:t xml:space="preserve">6.3.1.1 Problematica</w:t>
      </w:r>
    </w:p>
    <w:p>
      <w:pPr>
        <w:spacing w:before="0" w:after="120"/>
        <w:jc w:val="both"/>
      </w:pPr>
      <w:r>
        <w:rPr>
          <w:rFonts w:ascii="Arial" w:cs="Arial" w:eastAsia="Arial" w:hAnsi="Arial"/>
          <w:sz w:val="22"/>
          <w:szCs w:val="22"/>
        </w:rPr>
        <w:t xml:space="preserve">Hipotesis: La implementacion del Motor de Reglas con Drools permite actualizar las reglas de precios diferenciales en menos de 2 horas sin redespliegue del sistema, garantizando que los cambios normativos se reflejan en el 100% de las transacciones posteriores a la actualizacion.</w:t>
      </w:r>
    </w:p>
    <w:p>
      <w:pPr>
        <w:spacing w:before="0" w:after="120"/>
      </w:pPr>
      <w:r>
        <w:t xml:space="preserve"/>
      </w:r>
    </w:p>
    <w:p>
      <w:pPr>
        <w:spacing w:before="0" w:after="120"/>
        <w:jc w:val="both"/>
      </w:pPr>
      <w:r>
        <w:rPr>
          <w:rFonts w:ascii="Arial" w:cs="Arial" w:eastAsia="Arial" w:hAnsi="Arial"/>
          <w:b/>
          <w:bCs/>
          <w:sz w:val="22"/>
          <w:szCs w:val="22"/>
        </w:rPr>
        <w:t xml:space="preserve">6.3.1.2 Objetivos del Experimento</w:t>
      </w:r>
    </w:p>
    <w:p>
      <w:pPr>
        <w:pStyle w:val="ListParagraph"/>
        <w:numPr>
          <w:ilvl w:val="0"/>
          <w:numId w:val="2"/>
        </w:numPr>
        <w:spacing w:before="0" w:after="80"/>
      </w:pPr>
      <w:r>
        <w:rPr>
          <w:rFonts w:ascii="Arial" w:cs="Arial" w:eastAsia="Arial" w:hAnsi="Arial"/>
          <w:sz w:val="22"/>
          <w:szCs w:val="22"/>
        </w:rPr>
        <w:t xml:space="preserve">Medir el tiempo requerido para actualizar una regla de precios desde la interfaz de administracion hasta su aplicacion en transacciones.</w:t>
      </w:r>
    </w:p>
    <w:p>
      <w:pPr>
        <w:pStyle w:val="ListParagraph"/>
        <w:numPr>
          <w:ilvl w:val="0"/>
          <w:numId w:val="2"/>
        </w:numPr>
        <w:spacing w:before="0" w:after="80"/>
      </w:pPr>
      <w:r>
        <w:rPr>
          <w:rFonts w:ascii="Arial" w:cs="Arial" w:eastAsia="Arial" w:hAnsi="Arial"/>
          <w:sz w:val="22"/>
          <w:szCs w:val="22"/>
        </w:rPr>
        <w:t xml:space="preserve">Verificar con SonarQube que el codigo del Motor de Reglas tiene una deuda tecnica baja y cobertura de pruebas superior al 80%.</w:t>
      </w:r>
    </w:p>
    <w:p>
      <w:pPr>
        <w:pStyle w:val="ListParagraph"/>
        <w:numPr>
          <w:ilvl w:val="0"/>
          <w:numId w:val="2"/>
        </w:numPr>
        <w:spacing w:before="0" w:after="80"/>
      </w:pPr>
      <w:r>
        <w:rPr>
          <w:rFonts w:ascii="Arial" w:cs="Arial" w:eastAsia="Arial" w:hAnsi="Arial"/>
          <w:sz w:val="22"/>
          <w:szCs w:val="22"/>
        </w:rPr>
        <w:t xml:space="preserve">Validar que la actualizacion de reglas no introduce downtime en el servicio.</w:t>
      </w:r>
    </w:p>
    <w:p>
      <w:pPr>
        <w:spacing w:before="0" w:after="120"/>
      </w:pPr>
      <w:r>
        <w:t xml:space="preserve"/>
      </w:r>
    </w:p>
    <w:p>
      <w:pPr>
        <w:spacing w:before="0" w:after="120"/>
        <w:jc w:val="both"/>
      </w:pPr>
      <w:r>
        <w:rPr>
          <w:rFonts w:ascii="Arial" w:cs="Arial" w:eastAsia="Arial" w:hAnsi="Arial"/>
          <w:b/>
          <w:bCs/>
          <w:sz w:val="22"/>
          <w:szCs w:val="22"/>
        </w:rPr>
        <w:t xml:space="preserve">6.3.1.6 Resultados Esperados</w:t>
      </w:r>
    </w:p>
    <w:p>
      <w:pPr>
        <w:spacing w:before="0" w:after="120"/>
        <w:jc w:val="both"/>
      </w:pPr>
      <w:r>
        <w:rPr>
          <w:rFonts w:ascii="Arial" w:cs="Arial" w:eastAsia="Arial" w:hAnsi="Arial"/>
          <w:sz w:val="22"/>
          <w:szCs w:val="22"/>
        </w:rPr>
        <w:t xml:space="preserve">Tiempo de aplicacion de nueva regla: menos de 2 horas. Cero downtime durante la actualizacion. Cobertura de pruebas del RulesEngine: mayor al 80% segun SonarQube. Complejidad ciclomatica promedio menor a 10.</w:t>
      </w:r>
    </w:p>
    <w:p>
      <w:pPr>
        <w:spacing w:before="0" w:after="120"/>
      </w:pPr>
      <w:r>
        <w:t xml:space="preserve"/>
      </w:r>
    </w:p>
    <w:p>
      <w:pPr>
        <w:pStyle w:val="Heading3"/>
        <w:spacing w:before="200" w:after="100"/>
      </w:pPr>
      <w:r>
        <w:rPr>
          <w:rFonts w:ascii="Arial" w:cs="Arial" w:eastAsia="Arial" w:hAnsi="Arial"/>
          <w:b/>
          <w:bCs/>
          <w:color w:val="C55A11"/>
          <w:sz w:val="24"/>
          <w:szCs w:val="24"/>
        </w:rPr>
        <w:t xml:space="preserve">6.3.2 Experimentacion</w:t>
      </w:r>
    </w:p>
    <w:p>
      <w:pPr>
        <w:spacing w:before="0" w:after="120"/>
        <w:jc w:val="both"/>
      </w:pPr>
      <w:r>
        <w:rPr>
          <w:rFonts w:ascii="Arial" w:cs="Arial" w:eastAsia="Arial" w:hAnsi="Arial"/>
          <w:sz w:val="22"/>
          <w:szCs w:val="22"/>
        </w:rPr>
        <w:t xml:space="preserve">[Resultados de la ejecucion del experimento de modificabilidad con SonarQube y prueba de actualizacion de reglas.]</w:t>
      </w:r>
    </w:p>
    <w:p>
      <w:pPr>
        <w:pStyle w:val="Heading3"/>
        <w:spacing w:before="200" w:after="100"/>
      </w:pPr>
      <w:r>
        <w:rPr>
          <w:rFonts w:ascii="Arial" w:cs="Arial" w:eastAsia="Arial" w:hAnsi="Arial"/>
          <w:b/>
          <w:bCs/>
          <w:color w:val="C55A11"/>
          <w:sz w:val="24"/>
          <w:szCs w:val="24"/>
        </w:rPr>
        <w:t xml:space="preserve">6.3.3 Post-experimentacion</w:t>
      </w:r>
    </w:p>
    <w:p>
      <w:pPr>
        <w:spacing w:before="0" w:after="120"/>
        <w:jc w:val="both"/>
      </w:pPr>
      <w:r>
        <w:rPr>
          <w:rFonts w:ascii="Arial" w:cs="Arial" w:eastAsia="Arial" w:hAnsi="Arial"/>
          <w:sz w:val="22"/>
          <w:szCs w:val="22"/>
        </w:rPr>
        <w:t xml:space="preserve">[Analisis, reporte SonarQube, conclusiones y recomendaciones sobre modificabilidad.]</w:t>
      </w:r>
    </w:p>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Seccion 7. Evaluacion de la Arquitectura</w:t>
      </w:r>
    </w:p>
    <w:p>
      <w:pPr>
        <w:spacing w:before="0" w:after="120"/>
        <w:jc w:val="both"/>
      </w:pPr>
      <w:r>
        <w:rPr>
          <w:rFonts w:ascii="Arial" w:cs="Arial" w:eastAsia="Arial" w:hAnsi="Arial"/>
          <w:sz w:val="22"/>
          <w:szCs w:val="22"/>
        </w:rPr>
        <w:t xml:space="preserve">Esta seccion presenta el analisis de las decisiones arquitecturales tomadas, sus justificaciones, alternativas consideradas y los riesgos identificados.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500"/>
        <w:gridCol w:w="1660"/>
      </w:tblGrid>
      <w:t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Decision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Alternativas Consideradas</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Alternativa Seleccionada</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Justificacion</w:t>
            </w:r>
          </w:p>
        </w:tc>
        <w:tc>
          <w:tcPr>
            <w:tcW w:type="dxa" w:w="16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Riesgo Residual</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Estilo arquitectural base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Monolitico, SOA, Microservicios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Microservicios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Permite escalar independientemente cada capacidad (precios, inventario, reportes). Facilita la modificabilidad ante cambios normativos. Soporta el despliegue continuo requerido.</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Mayor complejidad operativa. Mitigado con Kubernetes y CI/CD.</w:t>
            </w:r>
          </w:p>
        </w:tc>
      </w:tr>
      <w:tr>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Motor de precios</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Logica hardcoded en codigo, tabla de precios en BD, Motor de Reglas (Drools)</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Motor de Reglas (Drools)</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El Decreto 1428 es susceptible de actualizaciones frecuentes. El Motor de Reglas permite cambios de reglas sin redespliegue de codigo.</w:t>
            </w:r>
          </w:p>
        </w:tc>
        <w:tc>
          <w:tcPr>
            <w:tcW w:type="dxa" w:w="16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Curva de aprendizaje del equipo en Drools. Mitigado con capacitacion.</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Mensajeria entre servicios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REST sincrono, RabbitMQ, Apache Kafka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Apache Kafka</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Kafka garantiza la durabilidad de eventos, permite reintentos y es ideal para el alto throughput de transacciones de combustible. Facilita el Data Lake.</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Complejidad de administracion del cluster Kafka. Mitigado con operador de Kubernetes.</w:t>
            </w:r>
          </w:p>
        </w:tc>
      </w:tr>
      <w:tr>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Integracion IoT</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HTTP polling, WebSockets, MQTT</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MQTT con broker Mosquitto</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MQTT es el estandar industrial para IoT con bajo consumo de ancho de banda, adecuado para sensores de tanques con conectividad limitada.</w:t>
            </w:r>
          </w:p>
        </w:tc>
        <w:tc>
          <w:tcPr>
            <w:tcW w:type="dxa" w:w="16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Dependencia de proveedores de sensores IoT. Mitigado con interfaz estandar MQTT.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Autenticacion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Sesiones en BD, API Keys, OAuth2 + JWT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OAuth2 con JWT (Keycloak)</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JWT es stateless y escala bien con microservicios. Keycloak provee gestion de identidades centralizada con soporte para multiples roles y organizaciones.</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Complejidad de configuracion inicial de Keycloak. Mitigado con Helm chart estandar.</w:t>
            </w:r>
          </w:p>
        </w:tc>
      </w:tr>
    </w:tbl>
    <w:p>
      <w:pPr>
        <w:spacing w:before="0" w:after="120"/>
      </w:pPr>
      <w:r>
        <w:t xml:space="preserve"/>
      </w:r>
    </w:p>
    <w:p>
      <w:pPr>
        <w:spacing w:before="0" w:after="120"/>
        <w:jc w:val="both"/>
      </w:pPr>
      <w:r>
        <w:rPr>
          <w:rFonts w:ascii="Arial" w:cs="Arial" w:eastAsia="Arial" w:hAnsi="Arial"/>
          <w:b/>
          <w:bCs/>
          <w:sz w:val="22"/>
          <w:szCs w:val="22"/>
        </w:rPr>
        <w:t xml:space="preserve">Riesgos Arquitecturales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000"/>
        <w:gridCol w:w="800"/>
        <w:gridCol w:w="3860"/>
      </w:tblGrid>
      <w:tr>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 Riesgo</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Probabilidad</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Impacto</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Mitigacion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R-01</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Cambios frecuentes e impredecibles en la normativa del FEPC que requieran modificaciones urgentes del Motor de Reglas.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Alta</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Alto</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Motor de Reglas configurable sin redespliegue. Proceso agil de actualizacion de reglas en menos de 2 horas.</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R-02</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Fallo masivo de conectividad en estaciones de servicio en zonas rurales, impidiendo el registro de inventarios.</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Media</w:t>
            </w:r>
          </w:p>
        </w:tc>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Alto</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Modo offline en la app movil con sincronizacion diferida al recuperar conectividad.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R-03</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Ataques de manipulacion de datos de precios o inventarios por actores internos con privilegios elevados.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Baja</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Muy Alto</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Cifrado AES-256, auditoria inmutable, principio de minimo privilegio, alertas de anomalias en tiempo real.</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R-04</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Resistencia de estaciones de servicio o distribuidores a adoptar la plataforma digital.</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Media</w:t>
            </w:r>
          </w:p>
        </w:tc>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Alto</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Plan de gestion del cambio, capacitacion, interfaces simples e intuitivas, soporte tecnico dedicado.</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R-05</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Deuda tecnica acumulada que dificulte la evolucion del sistema ante nuevas normativas.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Media</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Medio</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Metricas de calidad con SonarQube en CI/CD. Revisiones de arquitectura trimestrales.</w:t>
            </w:r>
          </w:p>
        </w:tc>
      </w:tr>
    </w:tbl>
    <w:p>
      <w:r>
        <w:br w:type="page"/>
      </w:r>
    </w:p>
    <w:p>
      <w:pPr>
        <w:pStyle w:val="Heading1"/>
        <w:pBdr>
          <w:bottom w:val="single" w:color="2E74B5" w:sz="8" w:space="1"/>
        </w:pBdr>
        <w:spacing w:before="360" w:after="200"/>
      </w:pPr>
      <w:r>
        <w:rPr>
          <w:rFonts w:ascii="Arial" w:cs="Arial" w:eastAsia="Arial" w:hAnsi="Arial"/>
          <w:b/>
          <w:bCs/>
          <w:color w:val="1F3864"/>
          <w:sz w:val="32"/>
          <w:szCs w:val="32"/>
        </w:rPr>
        <w:t xml:space="preserve">Seccion 8. Historial del Documento</w:t>
      </w:r>
    </w:p>
    <w:p>
      <w:pPr>
        <w:pStyle w:val="Heading2"/>
        <w:spacing w:before="240" w:after="120"/>
      </w:pPr>
      <w:r>
        <w:rPr>
          <w:rFonts w:ascii="Arial" w:cs="Arial" w:eastAsia="Arial" w:hAnsi="Arial"/>
          <w:b/>
          <w:bCs/>
          <w:color w:val="2E74B5"/>
          <w:sz w:val="26"/>
          <w:szCs w:val="26"/>
        </w:rPr>
        <w:t xml:space="preserve">8.1 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500"/>
        <w:gridCol w:w="5160"/>
      </w:tblGrid>
      <w:tr>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Fecha</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Autor</w:t>
            </w:r>
          </w:p>
        </w:tc>
        <w:tc>
          <w:tcPr>
            <w:tcW w:type="dxa" w:w="5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Descripcion del Cambio</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0.1</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Ene 2025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Equipo FuelPlatform</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Borrador inicial: Secciones 1 y 2 (Generalidades y Stakeholders).</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0.2</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Ene 2025</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Equipo FuelPlatform</w:t>
            </w:r>
          </w:p>
        </w:tc>
        <w:tc>
          <w:tcPr>
            <w:tcW w:type="dxa" w:w="5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Adicion de Motivadores de Negocio y Restricciones Arquitecturales (Seccion 3).</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0.3</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Feb 2025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Equipo FuelPlatform</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Modelo Motivacional de Negocio (BMM) y Escenarios de Calidad completos.</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0.4</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Feb 2025</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Equipo FuelPlatform</w:t>
            </w:r>
          </w:p>
        </w:tc>
        <w:tc>
          <w:tcPr>
            <w:tcW w:type="dxa" w:w="5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Escenarios Operacionales (Seccion 4) y Puntos de Vista Arquitecturales (Seccion 5).</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0.5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Feb 2025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Equipo FuelPlatform</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Planificacion de Experimentacion (Seccion 6) y Evaluacion Arquitectural (Seccion 7).</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1.0</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Feb 2025</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Equipo FuelPlatform</w:t>
            </w:r>
          </w:p>
        </w:tc>
        <w:tc>
          <w:tcPr>
            <w:tcW w:type="dxa" w:w="5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Version final revisada y aprobada para entrega.</w:t>
            </w:r>
          </w:p>
        </w:tc>
      </w:tr>
    </w:tbl>
    <w:p>
      <w:pPr>
        <w:spacing w:before="0" w:after="120"/>
      </w:pPr>
      <w:r>
        <w:t xml:space="preserve"/>
      </w:r>
    </w:p>
    <w:p>
      <w:pPr>
        <w:pStyle w:val="Heading2"/>
        <w:spacing w:before="240" w:after="120"/>
      </w:pPr>
      <w:r>
        <w:rPr>
          <w:rFonts w:ascii="Arial" w:cs="Arial" w:eastAsia="Arial" w:hAnsi="Arial"/>
          <w:b/>
          <w:bCs/>
          <w:color w:val="2E74B5"/>
          <w:sz w:val="26"/>
          <w:szCs w:val="26"/>
        </w:rPr>
        <w:t xml:space="preserve">8.2 Historial de 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000"/>
        <w:gridCol w:w="2400"/>
        <w:gridCol w:w="3260"/>
      </w:tblGrid>
      <w:tr>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Fecha</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Aprobador</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w:t>
            </w:r>
          </w:p>
        </w:tc>
        <w:tc>
          <w:tcPr>
            <w:tcW w:type="dxa" w:w="3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Firma</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Feb 2025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Docente del Curso</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Revisor Academico</w:t>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Pendiente</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1.0</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Feb 2025</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Integrante 1</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Arquitecto Lider</w:t>
            </w:r>
          </w:p>
        </w:tc>
        <w:tc>
          <w:tcPr>
            <w:tcW w:type="dxa" w:w="32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Firmado</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Feb 2025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Integrante 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Desarrollador / Revisor</w:t>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Firmado</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1.0</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Feb 2025</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Integrante 3</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Desarrollador / Revisor</w:t>
            </w:r>
          </w:p>
        </w:tc>
        <w:tc>
          <w:tcPr>
            <w:tcW w:type="dxa" w:w="32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Firmado</w:t>
            </w:r>
          </w:p>
        </w:tc>
      </w:tr>
    </w:tbl>
    <w:p>
      <w:pPr>
        <w:spacing w:before="0" w:after="120"/>
      </w:pPr>
      <w:r>
        <w:t xml:space="preserve"/>
      </w:r>
    </w:p>
    <w:p>
      <w:pPr>
        <w:spacing w:before="0" w:after="120"/>
        <w:jc w:val="center"/>
      </w:pPr>
      <w:r>
        <w:rPr>
          <w:rFonts w:ascii="Arial" w:cs="Arial" w:eastAsia="Arial" w:hAnsi="Arial"/>
          <w:color w:val="595959"/>
          <w:sz w:val="18"/>
          <w:szCs w:val="18"/>
        </w:rPr>
        <w:t xml:space="preserve">Documento elaborado para el curso de Arquitectura de Software. Universidad Piloto de Colombia (UPC). Febrero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jc w:val="center"/>
    </w:pPr>
    <w:r>
      <w:rPr>
        <w:rFonts w:ascii="Arial" w:cs="Arial" w:eastAsia="Arial" w:hAnsi="Arial"/>
        <w:color w:val="595959"/>
        <w:sz w:val="18"/>
        <w:szCs w:val="18"/>
      </w:rPr>
      <w:t xml:space="preserve">Documento de Arquitectura del Sistema (SAD)  |  Confidencial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Arial" w:cs="Arial" w:eastAsia="Arial" w:hAnsi="Arial"/>
        <w:color w:val="595959"/>
        <w:sz w:val="18"/>
        <w:szCs w:val="18"/>
      </w:rPr>
      <w:t xml:space="preserve">Plataforma de Gestión de Combustibles  |  SAD v1.0</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2026-02-22T00:07:57.319Z</dcterms:created>
  <dcterms:modified xsi:type="dcterms:W3CDTF">2026-02-22T00:07:57.320Z</dcterms:modified>
</cp:coreProperties>
</file>

<file path=docProps/custom.xml><?xml version="1.0" encoding="utf-8"?>
<Properties xmlns="http://schemas.openxmlformats.org/officeDocument/2006/custom-properties" xmlns:vt="http://schemas.openxmlformats.org/officeDocument/2006/docPropsVTypes"/>
</file>