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- 09362-2025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`тендерска_документација_09362-2025_20250616080130.pdf`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1.5 - 1.5.Вид на постапка за јавна набавка</w:t>
      </w:r>
    </w:p>
    <w:p>
      <w:r>
        <w:rPr>
          <w:sz w:val="22"/>
        </w:rPr>
        <w:t xml:space="preserve">☐ 1.6.1 - 1.6.1.Електронска аукцијаДоговорот за јавна набавка ќе се додели со користење електронска</w:t>
      </w:r>
    </w:p>
    <w:p>
      <w:r>
        <w:rPr>
          <w:sz w:val="22"/>
        </w:rPr>
        <w:t xml:space="preserve">☐ 1.6.1.1 - 1.6.1.1.Предмет на електронската аукција ќе биде Вкупната цена за сите локации на месечно ниво,</w:t>
      </w:r>
    </w:p>
    <w:p>
      <w:r>
        <w:rPr>
          <w:sz w:val="22"/>
        </w:rPr>
        <w:t xml:space="preserve">☐ 3.4 - 3.4.Начин на плаќање</w:t>
      </w:r>
    </w:p>
    <w:p>
      <w:r>
        <w:rPr>
          <w:sz w:val="22"/>
        </w:rPr>
        <w:t xml:space="preserve">☐ 3.9 - 3.9.Краен рок за поднесување на понудите</w:t>
      </w:r>
    </w:p>
    <w:p>
      <w:r>
        <w:rPr>
          <w:sz w:val="22"/>
        </w:rPr>
        <w:t xml:space="preserve">☐ 3.10 - 3.10.Содржина на понудата</w:t>
      </w:r>
    </w:p>
    <w:p>
      <w:r>
        <w:rPr>
          <w:sz w:val="22"/>
        </w:rPr>
        <w:t xml:space="preserve">☐ 4 - 4.ПОДНЕСУВАЊЕ И ОТВОРАЊЕ НА ПОНУДИТЕ..................................................................................12</w:t>
      </w:r>
    </w:p>
    <w:p>
      <w:r>
        <w:rPr>
          <w:sz w:val="22"/>
        </w:rPr>
        <w:t xml:space="preserve">☐ 4.2 - 4.2.Причини за исклучување од постапката</w:t>
      </w:r>
    </w:p>
    <w:p>
      <w:r>
        <w:rPr>
          <w:sz w:val="22"/>
        </w:rPr>
        <w:t xml:space="preserve">☐ 4.2.4 - 4.2.4.За докажување дека не постојат услови за исклучување од постапката, економскиот оператор</w:t>
      </w:r>
    </w:p>
    <w:p>
      <w:r>
        <w:rPr>
          <w:sz w:val="22"/>
        </w:rPr>
        <w:t xml:space="preserve">☐ 4.3 - 4.3.Услови за квалитативен избор</w:t>
      </w:r>
    </w:p>
    <w:p>
      <w:r>
        <w:rPr>
          <w:sz w:val="22"/>
        </w:rPr>
        <w:t xml:space="preserve">☐ 4.3.1 - 4.3.1.Способност за вршење на професионална дејност</w:t>
      </w:r>
    </w:p>
    <w:p>
      <w:r>
        <w:rPr>
          <w:sz w:val="22"/>
        </w:rPr>
        <w:t xml:space="preserve">☐ 4.3.2 - 4.3.2.Техничка и професионална способност</w:t>
      </w:r>
    </w:p>
    <w:p>
      <w:r>
        <w:rPr>
          <w:sz w:val="22"/>
        </w:rPr>
        <w:t xml:space="preserve">☐ 4.4 - 4.4.Стандарди за системи за квалитет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СПОСОБНОСТ..............................................................................................................13</w:t>
      </w:r>
    </w:p>
    <w:p>
      <w:r>
        <w:rPr>
          <w:sz w:val="22"/>
        </w:rPr>
        <w:t xml:space="preserve">☐ 5.1 - 5.1.Доделување на договорот за јавна набавка</w:t>
      </w:r>
    </w:p>
    <w:p>
      <w:r>
        <w:rPr>
          <w:sz w:val="22"/>
        </w:rPr>
        <w:t xml:space="preserve">☐ 5.2 - 5.2.Известување за доделување на договорот за јавна набавка</w:t>
      </w:r>
    </w:p>
    <w:p>
      <w:r>
        <w:rPr>
          <w:sz w:val="22"/>
        </w:rPr>
        <w:t xml:space="preserve">☐ 5.3 - 5.3.Склучување на договорот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изјава на економскиот оператор дека во последните 5 години на економскиот оператор или на лицето кое е член на управниот или на надзорниот орган на тој економски оператор или кое има овластувања за застапување или донесување одлуки или надзор врз него, во последните пет години не му е изречена правосилна судска пресуда за сторено кривично дело кое има елементи од кривичните дела учество во злосторничко здружување, корупција, затајување даноци и придонеси, тероризам или казнени дела поврзани со т</w:t>
      </w:r>
    </w:p>
    <w:p>
      <w:r>
        <w:rPr>
          <w:sz w:val="22"/>
        </w:rPr>
        <w:t xml:space="preserve">☐ потврда за платени даноци, придонеси и други јавни давачки од надлежен орган од земјата каде економскиот оператор е регистриран;</w:t>
      </w:r>
    </w:p>
    <w:p>
      <w:r>
        <w:rPr>
          <w:sz w:val="22"/>
        </w:rPr>
        <w:t xml:space="preserve">☐ потврда дека не е отворена постапка за стечај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☐ потврда дека не е отворена постапка за ликвидација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☐ потврда од Регистарот на казни за сторени кривични дела на правните лица дека не му е изречена споредна казна забрана за учество во постапки за јавен повик, доделување на договори за јавна набавка и договори за јавно-приватно партнерство или единствен документ за докажување на способноста;</w:t>
      </w:r>
    </w:p>
    <w:p>
      <w:r>
        <w:rPr>
          <w:sz w:val="22"/>
        </w:rPr>
        <w:t xml:space="preserve">☐ потврда од Регистарот на казни за сторени кривични дела на правните лица дека не му е изречена споредна казна привремена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☐ потврда од Регистарот на казни за сторени кривични дела на правните лица дека не му е изречена споредна казна трајна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☐ потврда дека со правосилна пресуда не му е изречена прекршочна санкција - забрана за вршење на професија, дејност или должност или единствен документ за докажување на способноста и 13</w:t>
      </w:r>
    </w:p>
    <w:p>
      <w:r>
        <w:rPr>
          <w:sz w:val="22"/>
        </w:rPr>
        <w:t xml:space="preserve">☐ потврда дека со правосилна пресуда не му е изречена прекршочна санкција - привремена забрана за вршење одделна дејност или единствен документ за докажување на способноста. 4.2.5.Изјавата од алинеја 1 од погорната потточка ја изготвува самиот економски оператор во електронска форма и ја потпишува со квалификуван сертификат за електронски потпис и истата не треба да биде заверена од надлежен орган. 4.2.6.Потврдите од погорната потточка ги издаваат надлежни органи во земјата каде е регистриран екон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 Сите СИМ картички да бидат во иста група во рамките на компани јата (CUG) и  по линија задолжително да има неограничени бесплатни минути секој месец за  разговори во рамките на компанијата   Моменталните претплатнички броеви да бидат пренесени заедно со префиксот  (НДК бројот  (page 1)</w:t>
      </w:r>
    </w:p>
    <w:p>
      <w:r>
        <w:rPr>
          <w:sz w:val="22"/>
        </w:rPr>
        <w:t xml:space="preserve">☐ КРИТЕРИУМИ:  - Услугата да се врши 24 часа на ден, 7 дена во неделата кон сите фиксни и  мобилни мрежи.  - Корисничка поддршка од операторот 24 часа на ден, 7 дена во неделата на  бесплатен телефонски број.  - Задржување на постоечката нумерација без надоместок.  - Цената на месе (page 2)</w:t>
      </w:r>
    </w:p>
    <w:p>
      <w:r>
        <w:rPr>
          <w:sz w:val="22"/>
        </w:rPr>
        <w:t xml:space="preserve">☐  Цената на месечна претплата не смее да биде повисока 21.000.00 денари без  вклучен ДДВ.   За потребите на договорниот орган може да се активира Web Hosting со цена не  повисока од 3099 ден.   Во понудата да бидат вклучени и трошоци за инсталација на сервисот;   Понудувачот т (page 4)</w:t>
      </w:r>
    </w:p>
    <w:p>
      <w:r>
        <w:rPr>
          <w:sz w:val="22"/>
        </w:rPr>
        <w:t xml:space="preserve">☐ Пакет 5 - РЕШЕНИЕ ЗА БЕКУП НА ПОДАТОЦИ  Задолжителни барања за решение за бекуп на податоци:   Цената на месечна претплата за решението за бекап на податоци не смее да биде  повисока од 1.990,00 денари без вклучен ДДВ.   Решението да обезбедува простор од 500 GB   Решението да (page 5)</w:t>
      </w:r>
    </w:p>
    <w:p>
      <w:r>
        <w:rPr>
          <w:sz w:val="22"/>
        </w:rPr>
        <w:t xml:space="preserve">☐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инфраструктура на просторни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