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público - Lúmina Aurora y Nube</w:t>
      </w:r>
    </w:p>
    <w:p>
      <w:r>
        <w:t>Catálogo público — Lúmina</w:t>
      </w:r>
    </w:p>
    <w:p/>
    <w:p>
      <w:r>
        <w:t>1) Lámpara Aurora</w:t>
      </w:r>
    </w:p>
    <w:p>
      <w:r>
        <w:t>- Precio: S/80</w:t>
      </w:r>
    </w:p>
    <w:p>
      <w:r>
        <w:t>- Garantía: 12 meses por defectos de fábrica</w:t>
      </w:r>
    </w:p>
    <w:p/>
    <w:p>
      <w:r>
        <w:t>2) Lámpara Nube</w:t>
      </w:r>
    </w:p>
    <w:p>
      <w:r>
        <w:t>- Precio: S/65</w:t>
      </w:r>
    </w:p>
    <w:p>
      <w:r>
        <w:t>- Garantía: 12 meses por defectos de fábrica</w:t>
      </w:r>
    </w:p>
    <w:p/>
    <w:p>
      <w:r>
        <w:t>(Descuentos vigentes: no hay)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