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A16F4" w:rsidRPr="001A16F4" w:rsidRDefault="001A16F4" w:rsidP="001A16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s-MX"/>
        </w:rPr>
      </w:pPr>
      <w:r w:rsidRPr="001A16F4">
        <w:rPr>
          <w:rFonts w:ascii="Times New Roman" w:eastAsia="Times New Roman" w:hAnsi="Times New Roman" w:cs="Times New Roman"/>
          <w:b/>
          <w:bCs/>
          <w:sz w:val="27"/>
          <w:szCs w:val="27"/>
          <w:lang w:val="es-MX"/>
        </w:rPr>
        <w:t>Justificación Técnica de la Arquitectura (Auditoría de Diseño)</w:t>
      </w:r>
    </w:p>
    <w:p w:rsidR="001A16F4" w:rsidRPr="001A16F4" w:rsidRDefault="001A16F4" w:rsidP="001A1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 xml:space="preserve">1. ¿Por qué se optó por una arquitectura de </w:t>
      </w:r>
      <w:proofErr w:type="spellStart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Microservicios</w:t>
      </w:r>
      <w:proofErr w:type="spellEnd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 xml:space="preserve"> en lugar de un Monolito?</w:t>
      </w:r>
    </w:p>
    <w:p w:rsidR="001A16F4" w:rsidRPr="001A16F4" w:rsidRDefault="001A16F4" w:rsidP="001A16F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Respuesta:</w:t>
      </w:r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La elección se basa en el principio de </w:t>
      </w: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separación de responsabilidades</w:t>
      </w:r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(</w:t>
      </w:r>
      <w:proofErr w:type="spellStart"/>
      <w:r w:rsidRPr="001A16F4">
        <w:rPr>
          <w:rFonts w:ascii="Times New Roman" w:eastAsia="Times New Roman" w:hAnsi="Times New Roman" w:cs="Times New Roman"/>
          <w:i/>
          <w:iCs/>
          <w:sz w:val="24"/>
          <w:szCs w:val="24"/>
          <w:lang w:val="es-MX"/>
        </w:rPr>
        <w:t>Separation</w:t>
      </w:r>
      <w:proofErr w:type="spellEnd"/>
      <w:r w:rsidRPr="001A16F4">
        <w:rPr>
          <w:rFonts w:ascii="Times New Roman" w:eastAsia="Times New Roman" w:hAnsi="Times New Roman" w:cs="Times New Roman"/>
          <w:i/>
          <w:iCs/>
          <w:sz w:val="24"/>
          <w:szCs w:val="24"/>
          <w:lang w:val="es-MX"/>
        </w:rPr>
        <w:t xml:space="preserve"> of </w:t>
      </w:r>
      <w:proofErr w:type="spellStart"/>
      <w:r w:rsidRPr="001A16F4">
        <w:rPr>
          <w:rFonts w:ascii="Times New Roman" w:eastAsia="Times New Roman" w:hAnsi="Times New Roman" w:cs="Times New Roman"/>
          <w:i/>
          <w:iCs/>
          <w:sz w:val="24"/>
          <w:szCs w:val="24"/>
          <w:lang w:val="es-MX"/>
        </w:rPr>
        <w:t>Concerns</w:t>
      </w:r>
      <w:proofErr w:type="spellEnd"/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). En un sistema que integra procesamiento de lenguaje natural (IA) y gestión clínica, un monolito representaría un punto único de fallo. Los </w:t>
      </w:r>
      <w:proofErr w:type="spellStart"/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>microservicios</w:t>
      </w:r>
      <w:proofErr w:type="spellEnd"/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permiten que cada componente (Ingesta, IA, Datos) escale de forma independiente. Además, esta arquitectura cumple con el requerimiento del PNF de diseñar sistemas distribuidos y desacoplados, facilitando el mantenimiento y la actualización tecnológica de cada módulo sin afectar al sistema completo.</w:t>
      </w:r>
    </w:p>
    <w:p w:rsidR="001A16F4" w:rsidRPr="001A16F4" w:rsidRDefault="001A16F4" w:rsidP="001A1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 xml:space="preserve">2. ¿Por qué el componente de IA es un </w:t>
      </w:r>
      <w:proofErr w:type="spellStart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microservicio</w:t>
      </w:r>
      <w:proofErr w:type="spellEnd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 xml:space="preserve"> independiente y no está integrado en el servidor principal?</w:t>
      </w:r>
    </w:p>
    <w:p w:rsidR="001A16F4" w:rsidRPr="001A16F4" w:rsidRDefault="001A16F4" w:rsidP="001A16F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Respuesta:</w:t>
      </w:r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Por </w:t>
      </w: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aislamiento de recursos y resiliencia</w:t>
      </w:r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. El procesamiento de voz (transcripción) y la ejecución de modelos de lenguaje (LLM) son tareas computacionalmente intensivas que consumen altos ciclos de CPU y memoria RAM. Al aislarlos en un </w:t>
      </w:r>
      <w:proofErr w:type="spellStart"/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>microservicio</w:t>
      </w:r>
      <w:proofErr w:type="spellEnd"/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>, se evita que un pico de carga en el procesamiento de una historia clínica bloquee las funciones vitales del sistema, como la autenticación de usuarios o la consulta de citas en la base de datos relacional.</w:t>
      </w:r>
    </w:p>
    <w:p w:rsidR="001A16F4" w:rsidRPr="001A16F4" w:rsidRDefault="001A16F4" w:rsidP="001A1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3. ¿Cuál es el criterio técnico para usar una Persistencia Híbrida (</w:t>
      </w:r>
      <w:proofErr w:type="spellStart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PostgreSQL</w:t>
      </w:r>
      <w:proofErr w:type="spellEnd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 xml:space="preserve"> + </w:t>
      </w:r>
      <w:proofErr w:type="spellStart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MongoDB</w:t>
      </w:r>
      <w:proofErr w:type="spellEnd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)?</w:t>
      </w:r>
    </w:p>
    <w:p w:rsidR="001A16F4" w:rsidRPr="001A16F4" w:rsidRDefault="001A16F4" w:rsidP="001A16F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Respuesta:</w:t>
      </w:r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Se aplica el concepto de </w:t>
      </w: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persistencia políglota</w:t>
      </w:r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para maximizar la eficiencia del manejo de datos.</w:t>
      </w:r>
    </w:p>
    <w:p w:rsidR="001A16F4" w:rsidRPr="001A16F4" w:rsidRDefault="001A16F4" w:rsidP="001A16F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proofErr w:type="spellStart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PostgreSQL</w:t>
      </w:r>
      <w:proofErr w:type="spellEnd"/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se utiliza para los datos transaccionales y estructurales (Usuarios, Roles, Citas) donde la integridad referencial y el cumplimiento de las propiedades </w:t>
      </w: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ACID</w:t>
      </w:r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son críticos para la seguridad y consistencia legal.</w:t>
      </w:r>
    </w:p>
    <w:p w:rsidR="001A16F4" w:rsidRPr="001A16F4" w:rsidRDefault="001A16F4" w:rsidP="001A16F4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proofErr w:type="spellStart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MongoDB</w:t>
      </w:r>
      <w:proofErr w:type="spellEnd"/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se emplea para las historias clínicas debido a su naturaleza no estructurada. Al ser un consultorio de optometría, la información clínica (diagnósticos, resultados de exámenes, telemetría) puede variar en formato y complejidad; un esquema de documentos BSON permite la flexibilidad necesaria para evolucionar el expediente médico sin necesidad de migraciones de esquema costosas.</w:t>
      </w:r>
    </w:p>
    <w:p w:rsidR="001A16F4" w:rsidRPr="001A16F4" w:rsidRDefault="001A16F4" w:rsidP="001A1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4. ¿Cómo garantiza el diseño la operatividad "Offline-</w:t>
      </w:r>
      <w:proofErr w:type="spellStart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First</w:t>
      </w:r>
      <w:proofErr w:type="spellEnd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"?</w:t>
      </w:r>
    </w:p>
    <w:p w:rsidR="001A16F4" w:rsidRPr="001A16F4" w:rsidRDefault="001A16F4" w:rsidP="001A16F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Respuesta:</w:t>
      </w:r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La arquitectura implementa una capa de persistencia local en el dispositivo móvil mediante una base de datos embebida (</w:t>
      </w:r>
      <w:proofErr w:type="spellStart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SQLite</w:t>
      </w:r>
      <w:proofErr w:type="spellEnd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/</w:t>
      </w:r>
      <w:proofErr w:type="spellStart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WatermelonDB</w:t>
      </w:r>
      <w:proofErr w:type="spellEnd"/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). Esto permite que el especialista registre historias clínicas sin dependencia de la red. La garantía de operatividad se completa con un </w:t>
      </w:r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Motor de Sincronización (</w:t>
      </w:r>
      <w:proofErr w:type="spellStart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Sync</w:t>
      </w:r>
      <w:proofErr w:type="spellEnd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 xml:space="preserve"> </w:t>
      </w:r>
      <w:proofErr w:type="spellStart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Engine</w:t>
      </w:r>
      <w:proofErr w:type="spellEnd"/>
      <w:r w:rsidRPr="001A16F4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)</w:t>
      </w:r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encargado de la persistencia diferida hacia la nube (</w:t>
      </w:r>
      <w:proofErr w:type="spellStart"/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>MongoDB</w:t>
      </w:r>
      <w:proofErr w:type="spellEnd"/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Atlas). Para </w:t>
      </w:r>
      <w:r w:rsidRPr="001A16F4">
        <w:rPr>
          <w:rFonts w:ascii="Times New Roman" w:eastAsia="Times New Roman" w:hAnsi="Times New Roman" w:cs="Times New Roman"/>
          <w:sz w:val="24"/>
          <w:szCs w:val="24"/>
          <w:lang w:val="es-MX"/>
        </w:rPr>
        <w:lastRenderedPageBreak/>
        <w:t>la integridad de los datos, se ha definido una política de resolución de conflictos basada en marcas de tiempo, asegurando que la información sea consistente una vez se restablezca la conectividad.</w:t>
      </w:r>
    </w:p>
    <w:p w:rsidR="00493253" w:rsidRDefault="00493253">
      <w:pPr>
        <w:rPr>
          <w:lang w:val="es-MX"/>
        </w:rPr>
      </w:pPr>
    </w:p>
    <w:p w:rsidR="00D61706" w:rsidRDefault="00D61706">
      <w:pPr>
        <w:rPr>
          <w:lang w:val="es-MX"/>
        </w:rPr>
      </w:pPr>
    </w:p>
    <w:p w:rsidR="00D61706" w:rsidRPr="00D61706" w:rsidRDefault="00D61706" w:rsidP="00D617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D61706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Fecha:</w:t>
      </w:r>
      <w:r w:rsidRPr="00D61706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21/04/2026</w:t>
      </w:r>
    </w:p>
    <w:p w:rsidR="00D61706" w:rsidRPr="00D61706" w:rsidRDefault="00D61706" w:rsidP="00D617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D61706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Actividad:</w:t>
      </w:r>
      <w:r w:rsidRPr="00D61706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Finalización del Diagrama de Contenedores (Nivel 2 - Modelo C4).</w:t>
      </w:r>
    </w:p>
    <w:p w:rsidR="00D61706" w:rsidRPr="00D61706" w:rsidRDefault="00D61706" w:rsidP="00D617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D61706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Herramienta:</w:t>
      </w:r>
      <w:r w:rsidRPr="00D61706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diagrams.net (draw.io).</w:t>
      </w:r>
    </w:p>
    <w:p w:rsidR="00D61706" w:rsidRPr="00D61706" w:rsidRDefault="00D61706" w:rsidP="00D617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MX"/>
        </w:rPr>
      </w:pPr>
      <w:r w:rsidRPr="00D61706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Resultado:</w:t>
      </w:r>
      <w:r w:rsidRPr="00D61706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Se definió la topología de microservicios, incluyendo el API Gateway (Nginx), el Auth Service (JWT) y la persistencia políglota (PostgreSQL, MongoDB, Redis). </w:t>
      </w:r>
      <w:r w:rsidRPr="00D61706">
        <w:rPr>
          <w:rFonts w:ascii="Times New Roman" w:eastAsia="Times New Roman" w:hAnsi="Times New Roman" w:cs="Times New Roman"/>
          <w:b/>
          <w:bCs/>
          <w:sz w:val="24"/>
          <w:szCs w:val="24"/>
          <w:lang w:val="es-MX"/>
        </w:rPr>
        <w:t>Estado:</w:t>
      </w:r>
      <w:r w:rsidRPr="00D61706">
        <w:rPr>
          <w:rFonts w:ascii="Times New Roman" w:eastAsia="Times New Roman" w:hAnsi="Times New Roman" w:cs="Times New Roman"/>
          <w:sz w:val="24"/>
          <w:szCs w:val="24"/>
          <w:lang w:val="es-MX"/>
        </w:rPr>
        <w:t xml:space="preserve"> Validado y exportado para integración en el Manual de Operación y Administración.</w:t>
      </w:r>
    </w:p>
    <w:p w:rsidR="00D61706" w:rsidRPr="00D61706" w:rsidRDefault="00D61706">
      <w:pPr>
        <w:rPr>
          <w:lang w:val="es-MX"/>
        </w:rPr>
      </w:pPr>
      <w:bookmarkStart w:id="0" w:name="_GoBack"/>
      <w:bookmarkEnd w:id="0"/>
    </w:p>
    <w:sectPr w:rsidR="00D61706" w:rsidRPr="00D6170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7806EE"/>
    <w:multiLevelType w:val="multilevel"/>
    <w:tmpl w:val="11E04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2165D9"/>
    <w:multiLevelType w:val="multilevel"/>
    <w:tmpl w:val="E3CA8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9709D3"/>
    <w:multiLevelType w:val="multilevel"/>
    <w:tmpl w:val="4DBE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4CC1942"/>
    <w:multiLevelType w:val="multilevel"/>
    <w:tmpl w:val="648C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0916"/>
    <w:rsid w:val="001A16F4"/>
    <w:rsid w:val="00493253"/>
    <w:rsid w:val="00D61706"/>
    <w:rsid w:val="00EC0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62B1B2"/>
  <w15:chartTrackingRefBased/>
  <w15:docId w15:val="{7583E796-FC7E-4293-A100-4C68F29742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1A16F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1A16F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A16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309">
    <w:name w:val="citation-309"/>
    <w:basedOn w:val="Fuentedeprrafopredeter"/>
    <w:rsid w:val="00D61706"/>
  </w:style>
  <w:style w:type="character" w:customStyle="1" w:styleId="citation-308">
    <w:name w:val="citation-308"/>
    <w:basedOn w:val="Fuentedeprrafopredeter"/>
    <w:rsid w:val="00D617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686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1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470</Words>
  <Characters>2679</Characters>
  <Application>Microsoft Office Word</Application>
  <DocSecurity>0</DocSecurity>
  <Lines>22</Lines>
  <Paragraphs>6</Paragraphs>
  <ScaleCrop>false</ScaleCrop>
  <Company/>
  <LinksUpToDate>false</LinksUpToDate>
  <CharactersWithSpaces>3143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David</cp:lastModifiedBy>
  <cp:revision>5</cp:revision>
  <dcterms:created xsi:type="dcterms:W3CDTF">2026-04-21T23:01:00Z</dcterms:created>
  <dcterms:modified xsi:type="dcterms:W3CDTF">2026-04-21T23:26:00Z</dcterms:modified>
</cp:coreProperties>
</file>