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240"/>
        <w:ind w:firstLine="0"/>
        <w:jc w:val="center"/>
      </w:pPr>
      <w:r>
        <w:rPr>
          <w:rFonts w:ascii="Times New Roman" w:hAnsi="Times New Roman" w:eastAsia="黑体"/>
          <w:b/>
          <w:sz w:val="36"/>
        </w:rPr>
        <w:t>烟幕干扰弹协同投放策略研究</w:t>
      </w:r>
    </w:p>
    <w:p>
      <w:pPr>
        <w:ind w:firstLine="0"/>
      </w:pPr>
      <w:r>
        <w:rPr>
          <w:rFonts w:ascii="Times New Roman" w:hAnsi="Times New Roman" w:eastAsia="宋体"/>
          <w:b/>
          <w:sz w:val="21"/>
        </w:rPr>
        <w:t>摘要：</w:t>
      </w:r>
      <w:r>
        <w:rPr>
          <w:rFonts w:ascii="Times New Roman" w:hAnsi="Times New Roman" w:eastAsia="宋体"/>
          <w:sz w:val="21"/>
        </w:rPr>
        <w:t>针对无人机投放烟幕干扰弹以遮蔽来袭导弹视线的问题，本文建立“运动学—视线几何—区间并集—分层优化”统一模型。首先刻画导弹、无人机、抛体干扰弹和下沉烟幕中心的三维轨迹；随后把真目标建模为半径 7 m、高 10 m 的完整圆柱，要求导弹到圆柱全部离散边界点的视线段均与半径 10 m 的烟幕有效球相交，由此得到比中心点视线更稳健的遮蔽判据。问题 1 的固定策略遮蔽时长为 1.391643 s。问题 2 采用多随机种子差分进化、完整圆柱重排和坐标精化，得到 FY1 单弹时长 4.587672 s。问题 3 以三弹有效区间并集为目标，得到 6.401396 s；前两弹近乎无缝衔接，第三弹在严格判据下无新增时长。问题 4 利用三机单弹子问题可分解性，得到互不重叠的三段遮蔽，总时长 11.632853 s。问题 5 将五机三导弹任务拆分为机—弹连续搜索、固定航迹候选库、机内组合和全机队枚举，获得 9 枚有效弹方案，M1、M2、M3 分别被有效遮蔽 13.000935、10.637703、6.687083 s，总计 30.325721 s。圆柱周向离散加密、多起点搜索、边界二分、约束断言和 39 个自动化测试支持了结果的数值稳定性。本文结果属于经高分辨率复算的可行数值解，不宣称解析全局最优。</w:t>
      </w:r>
    </w:p>
    <w:p>
      <w:pPr>
        <w:ind w:firstLine="0"/>
      </w:pPr>
      <w:r>
        <w:rPr>
          <w:rFonts w:ascii="Times New Roman" w:hAnsi="Times New Roman" w:eastAsia="宋体"/>
          <w:b/>
          <w:sz w:val="21"/>
        </w:rPr>
        <w:t>关键词：</w:t>
      </w:r>
      <w:r>
        <w:rPr>
          <w:rFonts w:ascii="Times New Roman" w:hAnsi="Times New Roman" w:eastAsia="宋体"/>
          <w:sz w:val="21"/>
        </w:rPr>
        <w:t>烟幕干扰；完整圆柱遮蔽；视线段距离；差分进化；区间并集；多机协同</w:t>
      </w:r>
    </w:p>
    <w:p>
      <w:pPr>
        <w:ind w:firstLine="0"/>
      </w:pPr>
      <w:r>
        <w:rPr>
          <w:rFonts w:ascii="Times New Roman" w:hAnsi="Times New Roman" w:eastAsia="宋体"/>
          <w:b/>
          <w:sz w:val="21"/>
        </w:rPr>
        <w:t>AI 辅助声明：</w:t>
      </w:r>
      <w:r>
        <w:rPr>
          <w:rFonts w:ascii="Times New Roman" w:hAnsi="Times New Roman" w:eastAsia="宋体"/>
          <w:sz w:val="21"/>
        </w:rPr>
        <w:t>本文为 2026 年对 2025 年赛题的赛后复现。模型推导、程序实现、图表和文字由 OpenAI Codex 实质性辅助生成，并经用户逐问题人工复核。关键交互、采纳情况和人工复核边界见支撑材料《AI 工具使用详情》。</w:t>
      </w:r>
    </w:p>
    <w:p>
      <w:r>
        <w:br w:type="page"/>
      </w:r>
    </w:p>
    <w:p>
      <w:pPr>
        <w:pStyle w:val="Heading1"/>
      </w:pPr>
      <w:r>
        <w:t>1 问题重述与分析</w:t>
      </w:r>
    </w:p>
    <w:p>
      <w:r>
        <w:rPr>
          <w:rFonts w:ascii="Times New Roman" w:hAnsi="Times New Roman" w:eastAsia="宋体"/>
          <w:sz w:val="21"/>
        </w:rPr>
        <w:t>三枚导弹 M1、M2、M3 以 300 m/s 分别飞向坐标原点处的假目标；五架无人机 FY1—FY5 可在接令后瞬时确定航向，并以 70—140 m/s 等高度匀速直线飞行。干扰弹脱离无人机后做抛体运动，起爆后形成半径 10 m、持续 20 s 且中心以 3 m/s 下沉的有效烟幕。真目标为底面圆心 (0,200,0) m、半径 7 m、高 10 m 的圆柱。同一无人机相邻投放至少间隔 1 s。</w:t>
      </w:r>
    </w:p>
    <w:p>
      <w:r>
        <w:rPr>
          <w:rFonts w:ascii="Times New Roman" w:hAnsi="Times New Roman" w:eastAsia="宋体"/>
          <w:sz w:val="21"/>
        </w:rPr>
        <w:t>五问由固定轨迹验证逐步扩展为单弹优化、同机多弹排程、多机单弹协同和五机三导弹联合分配。难点不在单条轨迹，而在三个耦合层次：其一，烟幕是否真正遮住整个圆柱目标；其二，多枚弹的遮蔽时间有重叠，不能直接相加；其三，问题 5 同时含离散任务分配和连续投放时序。为此，本文先建立统一几何判据，再按问题规模逐层增加决策变量。</w:t>
      </w:r>
    </w:p>
    <w:p>
      <w:pPr>
        <w:keepNext/>
        <w:spacing w:before="60" w:after="0"/>
        <w:ind w:firstLine="0"/>
        <w:jc w:val="center"/>
      </w:pPr>
      <w:r>
        <w:drawing>
          <wp:inline xmlns:a="http://schemas.openxmlformats.org/drawingml/2006/main" xmlns:pic="http://schemas.openxmlformats.org/drawingml/2006/picture">
            <wp:extent cx="5328000" cy="4344369"/>
            <wp:docPr id="1" name="Picture 1"/>
            <wp:cNvGraphicFramePr>
              <a:graphicFrameLocks noChangeAspect="1"/>
            </wp:cNvGraphicFramePr>
            <a:graphic>
              <a:graphicData uri="http://schemas.openxmlformats.org/drawingml/2006/picture">
                <pic:pic>
                  <pic:nvPicPr>
                    <pic:cNvPr id="0" name="problem1_fig1_global_scene-1c5bb900f1ba8df4.jpg"/>
                    <pic:cNvPicPr/>
                  </pic:nvPicPr>
                  <pic:blipFill>
                    <a:blip r:embed="rId10"/>
                    <a:stretch>
                      <a:fillRect/>
                    </a:stretch>
                  </pic:blipFill>
                  <pic:spPr>
                    <a:xfrm>
                      <a:off x="0" y="0"/>
                      <a:ext cx="5328000" cy="4344369"/>
                    </a:xfrm>
                    <a:prstGeom prst="rect"/>
                  </pic:spPr>
                </pic:pic>
              </a:graphicData>
            </a:graphic>
          </wp:inline>
        </w:drawing>
      </w:r>
    </w:p>
    <w:p>
      <w:pPr>
        <w:pStyle w:val="CaptionCN"/>
      </w:pPr>
      <w:r>
        <w:rPr>
          <w:rFonts w:ascii="Times New Roman" w:hAnsi="Times New Roman" w:eastAsia="宋体"/>
          <w:sz w:val="18"/>
        </w:rPr>
        <w:t>图 1  总体三维场景与局部交会关系</w:t>
      </w:r>
    </w:p>
    <w:p>
      <w:r>
        <w:rPr>
          <w:rFonts w:ascii="Times New Roman" w:hAnsi="Times New Roman" w:eastAsia="宋体"/>
          <w:sz w:val="21"/>
        </w:rPr>
        <w:t>从题意到数学模型的转换分为四步。第一步把导弹、无人机、干扰弹和烟幕分别化为直线运动、平抛运动和匀速下沉轨迹，使任意时刻的空间位置均可计算。第二步把“烟幕遮住真目标”转化为“导弹到目标各边界点的视线段均穿过烟幕球”，从而把文字条件变成距离不等式。第三步把单枚弹的有效时刻由离散布尔序列恢复为连续时间区间，并对多枚弹取区间并集，避免重叠时间重复计数。第四步依据各问的耦合结构选取求解方法：单弹用连续全局优化，同机多弹用共享航迹下的排程，多机独立单弹用可分解上界，多机多目标则用候选库和组合枚举处理离散—连续混合决策。</w:t>
      </w:r>
    </w:p>
    <w:p>
      <w:r>
        <w:rPr>
          <w:rFonts w:ascii="Times New Roman" w:hAnsi="Times New Roman" w:eastAsia="宋体"/>
          <w:sz w:val="21"/>
        </w:rPr>
        <w:t>这一建模顺序有两个好处：一是五问共享同一个经过检验的遮蔽函数，后续只改变决策变量和组合方式；二是每一层都可独立验证，若最终结果异常，可以沿“轨迹—距离—区间—并集—优化”逐层定位，而不必把所有误差归因于优化器。</w:t>
      </w:r>
    </w:p>
    <w:p>
      <w:pPr>
        <w:pStyle w:val="Heading1"/>
      </w:pPr>
      <w:r>
        <w:t>2 模型假设与符号</w:t>
      </w:r>
    </w:p>
    <w:p>
      <w:pPr>
        <w:pStyle w:val="Heading2"/>
      </w:pPr>
      <w:r>
        <w:t>2.1 基本假设</w:t>
      </w:r>
    </w:p>
    <w:p>
      <w:pPr>
        <w:spacing w:line="276" w:lineRule="auto"/>
        <w:ind w:left="420" w:hanging="210"/>
      </w:pPr>
      <w:r>
        <w:rPr>
          <w:rFonts w:ascii="Times New Roman" w:hAnsi="Times New Roman" w:eastAsia="宋体"/>
          <w:sz w:val="21"/>
        </w:rPr>
        <w:t>1. 接令时刻记为 t=0；导弹视为携带点状探测器，始终沿初始位置到假目标的直线飞行。</w:t>
      </w:r>
    </w:p>
    <w:p>
      <w:pPr>
        <w:spacing w:line="276" w:lineRule="auto"/>
        <w:ind w:left="420" w:hanging="210"/>
      </w:pPr>
      <w:r>
        <w:rPr>
          <w:rFonts w:ascii="Times New Roman" w:hAnsi="Times New Roman" w:eastAsia="宋体"/>
          <w:sz w:val="21"/>
        </w:rPr>
        <w:t>2. 无人机完成瞬时转向后保持给定航向、速度和高度；忽略空气阻力和风场。</w:t>
      </w:r>
    </w:p>
    <w:p>
      <w:pPr>
        <w:spacing w:line="276" w:lineRule="auto"/>
        <w:ind w:left="420" w:hanging="210"/>
      </w:pPr>
      <w:r>
        <w:rPr>
          <w:rFonts w:ascii="Times New Roman" w:hAnsi="Times New Roman" w:eastAsia="宋体"/>
          <w:sz w:val="21"/>
        </w:rPr>
        <w:t>3. 干扰弹继承无人机投放瞬间的水平速度，仅受重力 g=9.8 m/s² 作用。</w:t>
      </w:r>
    </w:p>
    <w:p>
      <w:pPr>
        <w:spacing w:line="276" w:lineRule="auto"/>
        <w:ind w:left="420" w:hanging="210"/>
      </w:pPr>
      <w:r>
        <w:rPr>
          <w:rFonts w:ascii="Times New Roman" w:hAnsi="Times New Roman" w:eastAsia="宋体"/>
          <w:sz w:val="21"/>
        </w:rPr>
        <w:t>4. 起爆后烟幕有效域为半径固定的球体，20 s 内浓度均满足题设有效条件。</w:t>
      </w:r>
    </w:p>
    <w:p>
      <w:pPr>
        <w:spacing w:line="276" w:lineRule="auto"/>
        <w:ind w:left="420" w:hanging="210"/>
      </w:pPr>
      <w:r>
        <w:rPr>
          <w:rFonts w:ascii="Times New Roman" w:hAnsi="Times New Roman" w:eastAsia="宋体"/>
          <w:sz w:val="21"/>
        </w:rPr>
        <w:t>5. 主判据要求真目标完整圆柱的全部采样边界视线均被遮挡；目标中心视线仅作低成本搜索代理和敏感性对照。</w:t>
      </w:r>
    </w:p>
    <w:p>
      <w:pPr>
        <w:spacing w:line="276" w:lineRule="auto"/>
        <w:ind w:left="420" w:hanging="210"/>
      </w:pPr>
      <w:r>
        <w:rPr>
          <w:rFonts w:ascii="Times New Roman" w:hAnsi="Times New Roman" w:eastAsia="宋体"/>
          <w:sz w:val="21"/>
        </w:rPr>
        <w:t>6. 启发式算法得到的是高质量数值解。除问题 4 的可分解上界论证外，不把数值搜索结果表述为解析全局最优。</w:t>
      </w:r>
    </w:p>
    <w:p>
      <w:r>
        <w:rPr>
          <w:rFonts w:ascii="Times New Roman" w:hAnsi="Times New Roman" w:eastAsia="宋体"/>
          <w:sz w:val="21"/>
        </w:rPr>
        <w:t>前四项假设直接对应题面给定的运动规则，其中忽略风场与阻力使投放点、起爆点可以显式表达；第 5 项是本文最关键的口径选择。仅检查目标中心会忽略圆柱边缘仍可被导弹看见的情形，而完整圆柱判据虽然偏保守，却实际使用了题目给出的半径与高度。第 6 项用于限定结论强度：差分进化适合寻找非光滑目标的优质解，但不能代替解析全局最优证明。</w:t>
      </w:r>
    </w:p>
    <w:p>
      <w:r>
        <w:rPr>
          <w:rFonts w:ascii="Times New Roman" w:hAnsi="Times New Roman" w:eastAsia="宋体"/>
          <w:sz w:val="21"/>
        </w:rPr>
        <w:t>若真实烟幕受风漂移或浓度随时间衰减，只需把烟幕中心轨迹和有效半径改成时间函数，后续视线距离、区间提取和优化框架不变。因此上述简化主要影响参数，而不改变整体模型结构。</w:t>
      </w:r>
    </w:p>
    <w:p>
      <w:pPr>
        <w:pStyle w:val="Heading2"/>
      </w:pPr>
      <w:r>
        <w:t>2.2 主要符号</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符号</w:t>
            </w:r>
          </w:p>
        </w:tc>
        <w:tc>
          <w:tcPr>
            <w:tcW w:type="dxa" w:w="302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含义</w:t>
            </w:r>
          </w:p>
        </w:tc>
        <w:tc>
          <w:tcPr>
            <w:tcW w:type="dxa" w:w="302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单位</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M_j(t)</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第 j 枚导弹位置</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F_k(t)</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第 k 架无人机位置</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D_i，B_i</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第 i 枚弹的投放点、起爆点</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t_d，τ，t_b</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投放时刻、引信延迟、起爆时刻</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s</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C_i(t)</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第 i 个烟幕中心位置</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Ω</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真目标圆柱边界点集</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D_i(t)</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第 i 个烟幕对完整圆柱的最不利视线距离</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E_i</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第 i 枚弹的有效遮蔽时间集合</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s</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μ(E)</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时间集合 E 的测度</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s</w:t>
            </w:r>
          </w:p>
        </w:tc>
      </w:tr>
    </w:tbl>
    <w:p>
      <w:pPr>
        <w:spacing w:after="0" w:line="120" w:lineRule="auto"/>
      </w:pPr>
    </w:p>
    <w:p>
      <w:pPr>
        <w:pStyle w:val="Heading1"/>
      </w:pPr>
      <w:r>
        <w:t>3 统一运动学与完整圆柱遮蔽模型</w:t>
      </w:r>
    </w:p>
    <w:p>
      <w:pPr>
        <w:pStyle w:val="Heading2"/>
      </w:pPr>
      <w:r>
        <w:t>3.1 导弹、无人机与干扰弹轨迹</w:t>
      </w:r>
    </w:p>
    <w:p>
      <w:r>
        <w:rPr>
          <w:rFonts w:ascii="Times New Roman" w:hAnsi="Times New Roman" w:eastAsia="宋体"/>
          <w:sz w:val="21"/>
        </w:rPr>
        <w:t>设导弹初始位置为 M_j0，假目标为原点。导弹速度大小恒为 300 m/s，方向为从初始点指向原点的单位向量 −M_j0/||M_j0||，因此</w:t>
      </w:r>
    </w:p>
    <w:p>
      <w:pPr>
        <w:pStyle w:val="EquationCN"/>
        <w:keepLines/>
      </w:pPr>
      <w:r>
        <w:drawing>
          <wp:inline xmlns:a="http://schemas.openxmlformats.org/drawingml/2006/main" xmlns:pic="http://schemas.openxmlformats.org/drawingml/2006/picture">
            <wp:extent cx="1725168" cy="332232"/>
            <wp:docPr id="2" name="Picture 2"/>
            <wp:cNvGraphicFramePr>
              <a:graphicFrameLocks noChangeAspect="1"/>
            </wp:cNvGraphicFramePr>
            <a:graphic>
              <a:graphicData uri="http://schemas.openxmlformats.org/drawingml/2006/picture">
                <pic:pic>
                  <pic:nvPicPr>
                    <pic:cNvPr id="0" name="equation-9037f9d7573d9b18.png"/>
                    <pic:cNvPicPr/>
                  </pic:nvPicPr>
                  <pic:blipFill>
                    <a:blip r:embed="rId11"/>
                    <a:stretch>
                      <a:fillRect/>
                    </a:stretch>
                  </pic:blipFill>
                  <pic:spPr>
                    <a:xfrm>
                      <a:off x="0" y="0"/>
                      <a:ext cx="1725168" cy="332232"/>
                    </a:xfrm>
                    <a:prstGeom prst="rect"/>
                  </pic:spPr>
                </pic:pic>
              </a:graphicData>
            </a:graphic>
          </wp:inline>
        </w:drawing>
      </w:r>
    </w:p>
    <w:p>
      <w:r>
        <w:rPr>
          <w:rFonts w:ascii="Times New Roman" w:hAnsi="Times New Roman" w:eastAsia="宋体"/>
          <w:sz w:val="21"/>
        </w:rPr>
        <w:t>由 ||M_j(t)||=0 可得导弹到达假目标的时刻 t_arr,j=||M_j0||/300，所有遮蔽计算均截断在该时刻之前。无人机初始位置为 F_k0，航向角 φ_k 以正 x 轴为 0°、逆时针为正，速度为 v_k。题设规定定向后保持等高度匀速直线飞行，故</w:t>
      </w:r>
    </w:p>
    <w:p>
      <w:pPr>
        <w:pStyle w:val="EquationCN"/>
        <w:keepLines/>
      </w:pPr>
      <w:r>
        <w:drawing>
          <wp:inline xmlns:a="http://schemas.openxmlformats.org/drawingml/2006/main" xmlns:pic="http://schemas.openxmlformats.org/drawingml/2006/picture">
            <wp:extent cx="2456688" cy="204216"/>
            <wp:docPr id="3" name="Picture 3"/>
            <wp:cNvGraphicFramePr>
              <a:graphicFrameLocks noChangeAspect="1"/>
            </wp:cNvGraphicFramePr>
            <a:graphic>
              <a:graphicData uri="http://schemas.openxmlformats.org/drawingml/2006/picture">
                <pic:pic>
                  <pic:nvPicPr>
                    <pic:cNvPr id="0" name="equation-409b41da19520160.png"/>
                    <pic:cNvPicPr/>
                  </pic:nvPicPr>
                  <pic:blipFill>
                    <a:blip r:embed="rId12"/>
                    <a:stretch>
                      <a:fillRect/>
                    </a:stretch>
                  </pic:blipFill>
                  <pic:spPr>
                    <a:xfrm>
                      <a:off x="0" y="0"/>
                      <a:ext cx="2456688" cy="204216"/>
                    </a:xfrm>
                    <a:prstGeom prst="rect"/>
                  </pic:spPr>
                </pic:pic>
              </a:graphicData>
            </a:graphic>
          </wp:inline>
        </w:drawing>
      </w:r>
    </w:p>
    <w:p>
      <w:r>
        <w:rPr>
          <w:rFonts w:ascii="Times New Roman" w:hAnsi="Times New Roman" w:eastAsia="宋体"/>
          <w:sz w:val="21"/>
        </w:rPr>
        <w:t>对投放时刻 t_d、引信延迟 τ 的一枚干扰弹，t_b=t_d+τ。干扰弹投放后继承无人机水平速度，水平方向无加速度，竖直方向初速度为 0、加速度为 −g，因此投放点和起爆点分别为</w:t>
      </w:r>
    </w:p>
    <w:p>
      <w:pPr>
        <w:pStyle w:val="EquationCN"/>
        <w:keepLines/>
      </w:pPr>
      <w:r>
        <w:drawing>
          <wp:inline xmlns:a="http://schemas.openxmlformats.org/drawingml/2006/main" xmlns:pic="http://schemas.openxmlformats.org/drawingml/2006/picture">
            <wp:extent cx="2557272" cy="265176"/>
            <wp:docPr id="4" name="Picture 4"/>
            <wp:cNvGraphicFramePr>
              <a:graphicFrameLocks noChangeAspect="1"/>
            </wp:cNvGraphicFramePr>
            <a:graphic>
              <a:graphicData uri="http://schemas.openxmlformats.org/drawingml/2006/picture">
                <pic:pic>
                  <pic:nvPicPr>
                    <pic:cNvPr id="0" name="equation-03ee6639d6618486.png"/>
                    <pic:cNvPicPr/>
                  </pic:nvPicPr>
                  <pic:blipFill>
                    <a:blip r:embed="rId13"/>
                    <a:stretch>
                      <a:fillRect/>
                    </a:stretch>
                  </pic:blipFill>
                  <pic:spPr>
                    <a:xfrm>
                      <a:off x="0" y="0"/>
                      <a:ext cx="2557272" cy="265176"/>
                    </a:xfrm>
                    <a:prstGeom prst="rect"/>
                  </pic:spPr>
                </pic:pic>
              </a:graphicData>
            </a:graphic>
          </wp:inline>
        </w:drawing>
      </w:r>
    </w:p>
    <w:p>
      <w:r>
        <w:rPr>
          <w:rFonts w:ascii="Times New Roman" w:hAnsi="Times New Roman" w:eastAsia="宋体"/>
          <w:sz w:val="21"/>
        </w:rPr>
        <w:t>这个表达式同时说明了一个容易忽略的事实：起爆点的水平坐标取决于 t_b，而竖直下降量只取决于投放后的飞行时间 τ。要求 B_z≥0 即可排除地下起爆。起爆后抛体阶段结束，烟幕不再继承水平速度，只按题设以 3 m/s 竖直下沉，故</w:t>
      </w:r>
    </w:p>
    <w:p>
      <w:pPr>
        <w:pStyle w:val="EquationCN"/>
        <w:keepLines/>
      </w:pPr>
      <w:r>
        <w:drawing>
          <wp:inline xmlns:a="http://schemas.openxmlformats.org/drawingml/2006/main" xmlns:pic="http://schemas.openxmlformats.org/drawingml/2006/picture">
            <wp:extent cx="3048000" cy="198120"/>
            <wp:docPr id="5" name="Picture 5"/>
            <wp:cNvGraphicFramePr>
              <a:graphicFrameLocks noChangeAspect="1"/>
            </wp:cNvGraphicFramePr>
            <a:graphic>
              <a:graphicData uri="http://schemas.openxmlformats.org/drawingml/2006/picture">
                <pic:pic>
                  <pic:nvPicPr>
                    <pic:cNvPr id="0" name="equation-18095e8b44218652.png"/>
                    <pic:cNvPicPr/>
                  </pic:nvPicPr>
                  <pic:blipFill>
                    <a:blip r:embed="rId14"/>
                    <a:stretch>
                      <a:fillRect/>
                    </a:stretch>
                  </pic:blipFill>
                  <pic:spPr>
                    <a:xfrm>
                      <a:off x="0" y="0"/>
                      <a:ext cx="3048000" cy="198120"/>
                    </a:xfrm>
                    <a:prstGeom prst="rect"/>
                  </pic:spPr>
                </pic:pic>
              </a:graphicData>
            </a:graphic>
          </wp:inline>
        </w:drawing>
      </w:r>
    </w:p>
    <w:p>
      <w:pPr>
        <w:pStyle w:val="Heading2"/>
      </w:pPr>
      <w:r>
        <w:t>3.2 完整圆柱遮蔽判据</w:t>
      </w:r>
    </w:p>
    <w:p>
      <w:r>
        <w:rPr>
          <w:rFonts w:ascii="Times New Roman" w:hAnsi="Times New Roman" w:eastAsia="宋体"/>
          <w:sz w:val="21"/>
        </w:rPr>
        <w:t>对圆柱边界点 p∈Ω，导弹到该点的视线段写为</w:t>
      </w:r>
    </w:p>
    <w:p>
      <w:pPr>
        <w:pStyle w:val="EquationCN"/>
        <w:keepLines/>
      </w:pPr>
      <w:r>
        <w:drawing>
          <wp:inline xmlns:a="http://schemas.openxmlformats.org/drawingml/2006/main" xmlns:pic="http://schemas.openxmlformats.org/drawingml/2006/picture">
            <wp:extent cx="2965704" cy="219456"/>
            <wp:docPr id="6" name="Picture 6"/>
            <wp:cNvGraphicFramePr>
              <a:graphicFrameLocks noChangeAspect="1"/>
            </wp:cNvGraphicFramePr>
            <a:graphic>
              <a:graphicData uri="http://schemas.openxmlformats.org/drawingml/2006/picture">
                <pic:pic>
                  <pic:nvPicPr>
                    <pic:cNvPr id="0" name="equation-5049207193833a7a.png"/>
                    <pic:cNvPicPr/>
                  </pic:nvPicPr>
                  <pic:blipFill>
                    <a:blip r:embed="rId15"/>
                    <a:stretch>
                      <a:fillRect/>
                    </a:stretch>
                  </pic:blipFill>
                  <pic:spPr>
                    <a:xfrm>
                      <a:off x="0" y="0"/>
                      <a:ext cx="2965704" cy="219456"/>
                    </a:xfrm>
                    <a:prstGeom prst="rect"/>
                  </pic:spPr>
                </pic:pic>
              </a:graphicData>
            </a:graphic>
          </wp:inline>
        </w:drawing>
      </w:r>
    </w:p>
    <w:p>
      <w:r>
        <w:rPr>
          <w:rFonts w:ascii="Times New Roman" w:hAnsi="Times New Roman" w:eastAsia="宋体"/>
          <w:sz w:val="21"/>
        </w:rPr>
        <w:t>烟幕中心到该线段的距离为</w:t>
      </w:r>
    </w:p>
    <w:p>
      <w:pPr>
        <w:pStyle w:val="EquationCN"/>
        <w:keepLines/>
      </w:pPr>
      <w:r>
        <w:drawing>
          <wp:inline xmlns:a="http://schemas.openxmlformats.org/drawingml/2006/main" xmlns:pic="http://schemas.openxmlformats.org/drawingml/2006/picture">
            <wp:extent cx="2054351" cy="283464"/>
            <wp:docPr id="7" name="Picture 7"/>
            <wp:cNvGraphicFramePr>
              <a:graphicFrameLocks noChangeAspect="1"/>
            </wp:cNvGraphicFramePr>
            <a:graphic>
              <a:graphicData uri="http://schemas.openxmlformats.org/drawingml/2006/picture">
                <pic:pic>
                  <pic:nvPicPr>
                    <pic:cNvPr id="0" name="equation-dc6fba7f45d15c45.png"/>
                    <pic:cNvPicPr/>
                  </pic:nvPicPr>
                  <pic:blipFill>
                    <a:blip r:embed="rId16"/>
                    <a:stretch>
                      <a:fillRect/>
                    </a:stretch>
                  </pic:blipFill>
                  <pic:spPr>
                    <a:xfrm>
                      <a:off x="0" y="0"/>
                      <a:ext cx="2054351" cy="283464"/>
                    </a:xfrm>
                    <a:prstGeom prst="rect"/>
                  </pic:spPr>
                </pic:pic>
              </a:graphicData>
            </a:graphic>
          </wp:inline>
        </w:drawing>
      </w:r>
    </w:p>
    <w:p>
      <w:r>
        <w:rPr>
          <w:rFonts w:ascii="Times New Roman" w:hAnsi="Times New Roman" w:eastAsia="宋体"/>
          <w:sz w:val="21"/>
        </w:rPr>
        <w:t>为得到该距离，令 a=M_j(t)、b=p−M_j(t)、c=C(t)。需要最小化的平方距离为</w:t>
      </w:r>
    </w:p>
    <w:p>
      <w:pPr>
        <w:pStyle w:val="EquationCN"/>
        <w:keepLines/>
      </w:pPr>
      <w:r>
        <w:drawing>
          <wp:inline xmlns:a="http://schemas.openxmlformats.org/drawingml/2006/main" xmlns:pic="http://schemas.openxmlformats.org/drawingml/2006/picture">
            <wp:extent cx="1496568" cy="234696"/>
            <wp:docPr id="8" name="Picture 8"/>
            <wp:cNvGraphicFramePr>
              <a:graphicFrameLocks noChangeAspect="1"/>
            </wp:cNvGraphicFramePr>
            <a:graphic>
              <a:graphicData uri="http://schemas.openxmlformats.org/drawingml/2006/picture">
                <pic:pic>
                  <pic:nvPicPr>
                    <pic:cNvPr id="0" name="equation-9ff5ccd656cebe4e.png"/>
                    <pic:cNvPicPr/>
                  </pic:nvPicPr>
                  <pic:blipFill>
                    <a:blip r:embed="rId17"/>
                    <a:stretch>
                      <a:fillRect/>
                    </a:stretch>
                  </pic:blipFill>
                  <pic:spPr>
                    <a:xfrm>
                      <a:off x="0" y="0"/>
                      <a:ext cx="1496568" cy="234696"/>
                    </a:xfrm>
                    <a:prstGeom prst="rect"/>
                  </pic:spPr>
                </pic:pic>
              </a:graphicData>
            </a:graphic>
          </wp:inline>
        </w:drawing>
      </w:r>
    </w:p>
    <w:p>
      <w:r>
        <w:rPr>
          <w:rFonts w:ascii="Times New Roman" w:hAnsi="Times New Roman" w:eastAsia="宋体"/>
          <w:sz w:val="21"/>
        </w:rPr>
        <w:t>对 λ 求导并令 f'(λ)=0，得到无限直线上的投影参数</w:t>
      </w:r>
    </w:p>
    <w:p>
      <w:pPr>
        <w:pStyle w:val="EquationCN"/>
        <w:keepLines/>
      </w:pPr>
      <w:r>
        <w:drawing>
          <wp:inline xmlns:a="http://schemas.openxmlformats.org/drawingml/2006/main" xmlns:pic="http://schemas.openxmlformats.org/drawingml/2006/picture">
            <wp:extent cx="1670304" cy="359664"/>
            <wp:docPr id="9" name="Picture 9"/>
            <wp:cNvGraphicFramePr>
              <a:graphicFrameLocks noChangeAspect="1"/>
            </wp:cNvGraphicFramePr>
            <a:graphic>
              <a:graphicData uri="http://schemas.openxmlformats.org/drawingml/2006/picture">
                <pic:pic>
                  <pic:nvPicPr>
                    <pic:cNvPr id="0" name="equation-8c1535b9b428c7c2.png"/>
                    <pic:cNvPicPr/>
                  </pic:nvPicPr>
                  <pic:blipFill>
                    <a:blip r:embed="rId18"/>
                    <a:stretch>
                      <a:fillRect/>
                    </a:stretch>
                  </pic:blipFill>
                  <pic:spPr>
                    <a:xfrm>
                      <a:off x="0" y="0"/>
                      <a:ext cx="1670304" cy="359664"/>
                    </a:xfrm>
                    <a:prstGeom prst="rect"/>
                  </pic:spPr>
                </pic:pic>
              </a:graphicData>
            </a:graphic>
          </wp:inline>
        </w:drawing>
      </w:r>
    </w:p>
    <w:p>
      <w:r>
        <w:rPr>
          <w:rFonts w:ascii="Times New Roman" w:hAnsi="Times New Roman" w:eastAsia="宋体"/>
          <w:sz w:val="21"/>
        </w:rPr>
        <w:t>计算后截断到 [0,1]，避免把导弹后方但靠近无限延长线的烟幕误判为有效。定义最不利距离</w:t>
      </w:r>
    </w:p>
    <w:p>
      <w:pPr>
        <w:pStyle w:val="EquationCN"/>
        <w:keepLines/>
      </w:pPr>
      <w:r>
        <w:drawing>
          <wp:inline xmlns:a="http://schemas.openxmlformats.org/drawingml/2006/main" xmlns:pic="http://schemas.openxmlformats.org/drawingml/2006/picture">
            <wp:extent cx="1347216" cy="304800"/>
            <wp:docPr id="10" name="Picture 10"/>
            <wp:cNvGraphicFramePr>
              <a:graphicFrameLocks noChangeAspect="1"/>
            </wp:cNvGraphicFramePr>
            <a:graphic>
              <a:graphicData uri="http://schemas.openxmlformats.org/drawingml/2006/picture">
                <pic:pic>
                  <pic:nvPicPr>
                    <pic:cNvPr id="0" name="equation-4d5183224942bac2.png"/>
                    <pic:cNvPicPr/>
                  </pic:nvPicPr>
                  <pic:blipFill>
                    <a:blip r:embed="rId19"/>
                    <a:stretch>
                      <a:fillRect/>
                    </a:stretch>
                  </pic:blipFill>
                  <pic:spPr>
                    <a:xfrm>
                      <a:off x="0" y="0"/>
                      <a:ext cx="1347216" cy="304800"/>
                    </a:xfrm>
                    <a:prstGeom prst="rect"/>
                  </pic:spPr>
                </pic:pic>
              </a:graphicData>
            </a:graphic>
          </wp:inline>
        </w:drawing>
      </w:r>
    </w:p>
    <w:p>
      <w:r>
        <w:rPr>
          <w:rFonts w:ascii="Times New Roman" w:hAnsi="Times New Roman" w:eastAsia="宋体"/>
          <w:sz w:val="21"/>
        </w:rPr>
        <w:t>当且仅当烟幕处于有效期且 D(t)≤10 m，判为完整遮蔽。圆柱侧面按高度和周向离散，上下端面按半径和周向离散；最终结果以 720—1440 个周向点复算。</w:t>
      </w:r>
    </w:p>
    <w:p>
      <w:pPr>
        <w:keepNext/>
        <w:spacing w:before="60" w:after="0"/>
        <w:ind w:firstLine="0"/>
        <w:jc w:val="center"/>
      </w:pPr>
      <w:r>
        <w:drawing>
          <wp:inline xmlns:a="http://schemas.openxmlformats.org/drawingml/2006/main" xmlns:pic="http://schemas.openxmlformats.org/drawingml/2006/picture">
            <wp:extent cx="5328000" cy="3034434"/>
            <wp:docPr id="11" name="Picture 11"/>
            <wp:cNvGraphicFramePr>
              <a:graphicFrameLocks noChangeAspect="1"/>
            </wp:cNvGraphicFramePr>
            <a:graphic>
              <a:graphicData uri="http://schemas.openxmlformats.org/drawingml/2006/picture">
                <pic:pic>
                  <pic:nvPicPr>
                    <pic:cNvPr id="0" name="problem1_fig2_occlusion_geometry-ecb8d7b689436ec2.jpg"/>
                    <pic:cNvPicPr/>
                  </pic:nvPicPr>
                  <pic:blipFill>
                    <a:blip r:embed="rId20"/>
                    <a:stretch>
                      <a:fillRect/>
                    </a:stretch>
                  </pic:blipFill>
                  <pic:spPr>
                    <a:xfrm>
                      <a:off x="0" y="0"/>
                      <a:ext cx="5328000" cy="3034434"/>
                    </a:xfrm>
                    <a:prstGeom prst="rect"/>
                  </pic:spPr>
                </pic:pic>
              </a:graphicData>
            </a:graphic>
          </wp:inline>
        </w:drawing>
      </w:r>
    </w:p>
    <w:p>
      <w:pPr>
        <w:pStyle w:val="CaptionCN"/>
      </w:pPr>
      <w:r>
        <w:rPr>
          <w:rFonts w:ascii="Times New Roman" w:hAnsi="Times New Roman" w:eastAsia="宋体"/>
          <w:sz w:val="18"/>
        </w:rPr>
        <w:t>图 2  中心视线、圆柱边界视线与烟幕有效球</w:t>
      </w:r>
    </w:p>
    <w:p>
      <w:r>
        <w:rPr>
          <w:rFonts w:ascii="Times New Roman" w:hAnsi="Times New Roman" w:eastAsia="宋体"/>
          <w:sz w:val="21"/>
        </w:rPr>
        <w:t>真目标底面圆心为 (0,200,0)，半径 R=7 m、高度 H=10 m。圆柱边界由侧面和上下底面组成，其参数表达为</w:t>
      </w:r>
    </w:p>
    <w:p>
      <w:pPr>
        <w:pStyle w:val="EquationCN"/>
        <w:keepLines/>
      </w:pPr>
      <w:r>
        <w:drawing>
          <wp:inline xmlns:a="http://schemas.openxmlformats.org/drawingml/2006/main" xmlns:pic="http://schemas.openxmlformats.org/drawingml/2006/picture">
            <wp:extent cx="3709416" cy="204216"/>
            <wp:docPr id="12" name="Picture 12"/>
            <wp:cNvGraphicFramePr>
              <a:graphicFrameLocks noChangeAspect="1"/>
            </wp:cNvGraphicFramePr>
            <a:graphic>
              <a:graphicData uri="http://schemas.openxmlformats.org/drawingml/2006/picture">
                <pic:pic>
                  <pic:nvPicPr>
                    <pic:cNvPr id="0" name="equation-bc29bd7c40cedda9.png"/>
                    <pic:cNvPicPr/>
                  </pic:nvPicPr>
                  <pic:blipFill>
                    <a:blip r:embed="rId21"/>
                    <a:stretch>
                      <a:fillRect/>
                    </a:stretch>
                  </pic:blipFill>
                  <pic:spPr>
                    <a:xfrm>
                      <a:off x="0" y="0"/>
                      <a:ext cx="3709416" cy="204216"/>
                    </a:xfrm>
                    <a:prstGeom prst="rect"/>
                  </pic:spPr>
                </pic:pic>
              </a:graphicData>
            </a:graphic>
          </wp:inline>
        </w:drawing>
      </w:r>
    </w:p>
    <w:p>
      <w:pPr>
        <w:pStyle w:val="EquationCN"/>
        <w:keepLines/>
      </w:pPr>
      <w:r>
        <w:drawing>
          <wp:inline xmlns:a="http://schemas.openxmlformats.org/drawingml/2006/main" xmlns:pic="http://schemas.openxmlformats.org/drawingml/2006/picture">
            <wp:extent cx="4559808" cy="219456"/>
            <wp:docPr id="13" name="Picture 13"/>
            <wp:cNvGraphicFramePr>
              <a:graphicFrameLocks noChangeAspect="1"/>
            </wp:cNvGraphicFramePr>
            <a:graphic>
              <a:graphicData uri="http://schemas.openxmlformats.org/drawingml/2006/picture">
                <pic:pic>
                  <pic:nvPicPr>
                    <pic:cNvPr id="0" name="equation-825bbf0c54cdf87a.png"/>
                    <pic:cNvPicPr/>
                  </pic:nvPicPr>
                  <pic:blipFill>
                    <a:blip r:embed="rId22"/>
                    <a:stretch>
                      <a:fillRect/>
                    </a:stretch>
                  </pic:blipFill>
                  <pic:spPr>
                    <a:xfrm>
                      <a:off x="0" y="0"/>
                      <a:ext cx="4559808" cy="219456"/>
                    </a:xfrm>
                    <a:prstGeom prst="rect"/>
                  </pic:spPr>
                </pic:pic>
              </a:graphicData>
            </a:graphic>
          </wp:inline>
        </w:drawing>
      </w:r>
    </w:p>
    <w:p>
      <w:r>
        <w:rPr>
          <w:rFonts w:ascii="Times New Roman" w:hAnsi="Times New Roman" w:eastAsia="宋体"/>
          <w:sz w:val="21"/>
        </w:rPr>
        <w:t>若只取圆柱中心，条件是“至少一条代表视线被遮挡”；取最大值 D(t) 则表示在全部边界视线中寻找最难遮挡的一条，只有最不利视线也进入 10 m 烟幕球时才判为完整遮蔽。侧面、高度和端面同时离散，是为了避免只检查圆周轮廓而漏掉端面内部；后文再通过加密采样检验离散误差。</w:t>
      </w:r>
    </w:p>
    <w:p>
      <w:pPr>
        <w:pStyle w:val="Heading2"/>
      </w:pPr>
      <w:r>
        <w:t>3.3 区间提取与联合目标</w:t>
      </w:r>
    </w:p>
    <w:p>
      <w:r>
        <w:rPr>
          <w:rFonts w:ascii="Times New Roman" w:hAnsi="Times New Roman" w:eastAsia="宋体"/>
          <w:sz w:val="21"/>
        </w:rPr>
        <w:t>距离函数随时间连续，但“是否有效”是 0—1 状态，直接把固定时间网格上有效点数乘以步长会使答案依赖步长。本文先在烟幕有效窗和导弹到达时刻的交集内扫描 h_i(t)=D_i(t)−10；若相邻两点异号，就说明其中存在有效区间端点，再以二分法把根定位到 10⁻¹⁰ s 量级。对多弹系统，第 i 枚弹的有效集合为</w:t>
      </w:r>
    </w:p>
    <w:p>
      <w:pPr>
        <w:pStyle w:val="EquationCN"/>
        <w:keepLines/>
      </w:pPr>
      <w:r>
        <w:drawing>
          <wp:inline xmlns:a="http://schemas.openxmlformats.org/drawingml/2006/main" xmlns:pic="http://schemas.openxmlformats.org/drawingml/2006/picture">
            <wp:extent cx="2676144" cy="207264"/>
            <wp:docPr id="14" name="Picture 14"/>
            <wp:cNvGraphicFramePr>
              <a:graphicFrameLocks noChangeAspect="1"/>
            </wp:cNvGraphicFramePr>
            <a:graphic>
              <a:graphicData uri="http://schemas.openxmlformats.org/drawingml/2006/picture">
                <pic:pic>
                  <pic:nvPicPr>
                    <pic:cNvPr id="0" name="equation-9975972428001734.png"/>
                    <pic:cNvPicPr/>
                  </pic:nvPicPr>
                  <pic:blipFill>
                    <a:blip r:embed="rId23"/>
                    <a:stretch>
                      <a:fillRect/>
                    </a:stretch>
                  </pic:blipFill>
                  <pic:spPr>
                    <a:xfrm>
                      <a:off x="0" y="0"/>
                      <a:ext cx="2676144" cy="207264"/>
                    </a:xfrm>
                    <a:prstGeom prst="rect"/>
                  </pic:spPr>
                </pic:pic>
              </a:graphicData>
            </a:graphic>
          </wp:inline>
        </w:drawing>
      </w:r>
    </w:p>
    <w:p>
      <w:r>
        <w:rPr>
          <w:rFonts w:ascii="Times New Roman" w:hAnsi="Times New Roman" w:eastAsia="宋体"/>
          <w:sz w:val="21"/>
        </w:rPr>
        <w:t>联合遮蔽时间必须按 μ(∪E_i) 计算，不能把各弹时长直接相加。算法同时记录重叠损失 ∑μ(E_i)−μ(∪E_i)，作为排程质量诊断。</w:t>
      </w:r>
    </w:p>
    <w:p>
      <w:r>
        <w:rPr>
          <w:rFonts w:ascii="Times New Roman" w:hAnsi="Times New Roman" w:eastAsia="宋体"/>
          <w:sz w:val="21"/>
        </w:rPr>
        <w:t>具体合并算法是：将全部区间按左端点升序排列，依次比较当前区间左端点与已合并区间右端点；若前者不大于后者，则扩展右端点，否则开启新区间。最终各不交叠区间长度之和即为并集测度。该算法既能处理同一枚弹出现多个有效片段，也能处理多枚弹的重叠与近乎无缝衔接。</w:t>
      </w:r>
    </w:p>
    <w:p>
      <w:r>
        <w:rPr>
          <w:rFonts w:ascii="Times New Roman" w:hAnsi="Times New Roman" w:eastAsia="宋体"/>
          <w:sz w:val="21"/>
        </w:rPr>
        <w:t>主要数值误差来自三处：圆柱表面离散、时间扫描漏根和启发式优化局部最优。对应控制方法分别是周向点加密、扫描后二分求根，以及多随机种子加严格判据重排。这样把几何误差、端点误差和搜索误差分开检验，避免用单一“程序运行成功”替代模型验证。</w:t>
      </w:r>
    </w:p>
    <w:p>
      <w:pPr>
        <w:spacing w:before="60" w:after="60"/>
        <w:ind w:firstLine="0" w:left="283" w:right="283"/>
      </w:pPr>
      <w:r>
        <w:rPr>
          <w:rFonts w:ascii="Times New Roman" w:hAnsi="Times New Roman" w:eastAsia="宋体"/>
          <w:i/>
          <w:color w:val="595959"/>
          <w:sz w:val="18"/>
        </w:rPr>
        <w:t>AI辅助标注：本节的统一方程、完整圆柱判据、数值实现和示意图由 OpenAI Codex 辅助生成；判据口径与最终采用方式已由用户人工确认。</w:t>
      </w:r>
    </w:p>
    <w:p>
      <w:pPr>
        <w:pStyle w:val="Heading1"/>
      </w:pPr>
      <w:r>
        <w:t>4 问题 1：固定策略的基准计算</w:t>
      </w:r>
    </w:p>
    <w:p>
      <w:r>
        <w:rPr>
          <w:rFonts w:ascii="Times New Roman" w:hAnsi="Times New Roman" w:eastAsia="宋体"/>
          <w:sz w:val="21"/>
        </w:rPr>
        <w:t>M1 初始位置为 (20000,0,2000) m，其指向原点的单位方向为 (−10/√101,0,−1/√101)，故到达时刻为 2000√101/300=66.999171 s。FY1 以 120 m/s 沿负 x 方向飞行，在 t_d=1.5 s 投放，3.6 s 后起爆。按运动方程逐项代入可得</w:t>
      </w:r>
    </w:p>
    <w:p>
      <w:pPr>
        <w:pStyle w:val="EquationCN"/>
        <w:keepLines/>
      </w:pPr>
      <w:r>
        <w:drawing>
          <wp:inline xmlns:a="http://schemas.openxmlformats.org/drawingml/2006/main" xmlns:pic="http://schemas.openxmlformats.org/drawingml/2006/picture">
            <wp:extent cx="4367784" cy="192024"/>
            <wp:docPr id="15" name="Picture 15"/>
            <wp:cNvGraphicFramePr>
              <a:graphicFrameLocks noChangeAspect="1"/>
            </wp:cNvGraphicFramePr>
            <a:graphic>
              <a:graphicData uri="http://schemas.openxmlformats.org/drawingml/2006/picture">
                <pic:pic>
                  <pic:nvPicPr>
                    <pic:cNvPr id="0" name="equation-08a1553896aa2a25.png"/>
                    <pic:cNvPicPr/>
                  </pic:nvPicPr>
                  <pic:blipFill>
                    <a:blip r:embed="rId24"/>
                    <a:stretch>
                      <a:fillRect/>
                    </a:stretch>
                  </pic:blipFill>
                  <pic:spPr>
                    <a:xfrm>
                      <a:off x="0" y="0"/>
                      <a:ext cx="4367784" cy="192024"/>
                    </a:xfrm>
                    <a:prstGeom prst="rect"/>
                  </pic:spPr>
                </pic:pic>
              </a:graphicData>
            </a:graphic>
          </wp:inline>
        </w:drawing>
      </w:r>
    </w:p>
    <w:p>
      <w:pPr>
        <w:pStyle w:val="EquationCN"/>
        <w:keepLines/>
      </w:pPr>
      <w:r>
        <w:drawing>
          <wp:inline xmlns:a="http://schemas.openxmlformats.org/drawingml/2006/main" xmlns:pic="http://schemas.openxmlformats.org/drawingml/2006/picture">
            <wp:extent cx="5256000" cy="199307"/>
            <wp:docPr id="16" name="Picture 16"/>
            <wp:cNvGraphicFramePr>
              <a:graphicFrameLocks noChangeAspect="1"/>
            </wp:cNvGraphicFramePr>
            <a:graphic>
              <a:graphicData uri="http://schemas.openxmlformats.org/drawingml/2006/picture">
                <pic:pic>
                  <pic:nvPicPr>
                    <pic:cNvPr id="0" name="equation-03469cb4e12caadd.png"/>
                    <pic:cNvPicPr/>
                  </pic:nvPicPr>
                  <pic:blipFill>
                    <a:blip r:embed="rId25"/>
                    <a:stretch>
                      <a:fillRect/>
                    </a:stretch>
                  </pic:blipFill>
                  <pic:spPr>
                    <a:xfrm>
                      <a:off x="0" y="0"/>
                      <a:ext cx="5256000" cy="199307"/>
                    </a:xfrm>
                    <a:prstGeom prst="rect"/>
                  </pic:spPr>
                </pic:pic>
              </a:graphicData>
            </a:graphic>
          </wp:inline>
        </w:drawing>
      </w:r>
    </w:p>
    <w:p>
      <w:r>
        <w:rPr>
          <w:rFonts w:ascii="Times New Roman" w:hAnsi="Times New Roman" w:eastAsia="宋体"/>
          <w:sz w:val="21"/>
        </w:rPr>
        <w:t>烟幕从 t=5.1 s 开始有效。计算过程中先检查“烟幕球是否位于导弹与目标之间”，再计算所有圆柱边界视线的最不利距离；因此区间开始由圆柱边缘视线进入烟幕球决定，而不是简单由导弹或烟幕到达某一固定平面决定。</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判据</w:t>
            </w:r>
          </w:p>
        </w:tc>
        <w:tc>
          <w:tcPr>
            <w:tcW w:type="dxa" w:w="302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有效区间 / s</w:t>
            </w:r>
          </w:p>
        </w:tc>
        <w:tc>
          <w:tcPr>
            <w:tcW w:type="dxa" w:w="302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时长 / s</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完整圆柱主判据</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[8.056445, 9.448088]</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b/>
                <w:sz w:val="17"/>
              </w:rPr>
              <w:t>1.391643</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目标中心视线对照</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[8.013006, 9.448088]</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1.435082</w:t>
            </w:r>
          </w:p>
        </w:tc>
      </w:tr>
    </w:tbl>
    <w:p>
      <w:pPr>
        <w:spacing w:after="0" w:line="120" w:lineRule="auto"/>
      </w:pPr>
    </w:p>
    <w:p>
      <w:r>
        <w:rPr>
          <w:rFonts w:ascii="Times New Roman" w:hAnsi="Times New Roman" w:eastAsia="宋体"/>
          <w:sz w:val="21"/>
        </w:rPr>
        <w:t>中心视线简化比主结果多 0.043439 s，约占主结果的 3.12%。差异足以影响百分位报告，因此后续问题只把中心视线用于候选筛选，最终均回到完整圆柱判据精算。</w:t>
      </w:r>
    </w:p>
    <w:p>
      <w:pPr>
        <w:keepNext/>
        <w:spacing w:before="60" w:after="0"/>
        <w:ind w:firstLine="0"/>
        <w:jc w:val="center"/>
      </w:pPr>
      <w:r>
        <w:drawing>
          <wp:inline xmlns:a="http://schemas.openxmlformats.org/drawingml/2006/main" xmlns:pic="http://schemas.openxmlformats.org/drawingml/2006/picture">
            <wp:extent cx="5328000" cy="4209095"/>
            <wp:docPr id="17" name="Picture 17"/>
            <wp:cNvGraphicFramePr>
              <a:graphicFrameLocks noChangeAspect="1"/>
            </wp:cNvGraphicFramePr>
            <a:graphic>
              <a:graphicData uri="http://schemas.openxmlformats.org/drawingml/2006/picture">
                <pic:pic>
                  <pic:nvPicPr>
                    <pic:cNvPr id="0" name="problem1_fig4_occlusion_metric-7b08e4b1892bbadc.jpg"/>
                    <pic:cNvPicPr/>
                  </pic:nvPicPr>
                  <pic:blipFill>
                    <a:blip r:embed="rId26"/>
                    <a:stretch>
                      <a:fillRect/>
                    </a:stretch>
                  </pic:blipFill>
                  <pic:spPr>
                    <a:xfrm>
                      <a:off x="0" y="0"/>
                      <a:ext cx="5328000" cy="4209095"/>
                    </a:xfrm>
                    <a:prstGeom prst="rect"/>
                  </pic:spPr>
                </pic:pic>
              </a:graphicData>
            </a:graphic>
          </wp:inline>
        </w:drawing>
      </w:r>
    </w:p>
    <w:p>
      <w:pPr>
        <w:pStyle w:val="CaptionCN"/>
      </w:pPr>
      <w:r>
        <w:rPr>
          <w:rFonts w:ascii="Times New Roman" w:hAnsi="Times New Roman" w:eastAsia="宋体"/>
          <w:sz w:val="18"/>
        </w:rPr>
        <w:t>图 3  两种遮蔽距离随时间的变化</w:t>
      </w:r>
    </w:p>
    <w:p>
      <w:r>
        <w:rPr>
          <w:rFonts w:ascii="Times New Roman" w:hAnsi="Times New Roman" w:eastAsia="宋体"/>
          <w:sz w:val="21"/>
        </w:rPr>
        <w:t>对结束时刻还进行了不依赖圆柱离散的解析复核。此时线段投影参数已到达端点，遮蔽终止由 M1 离开烟幕球决定，独立求解 ||M_1(t)−C(t)||=10 得到离开时刻 9.448088 s，与数值区间右端点一致。开始时刻则由最不利圆柱边界视线控制，完整圆柱结果 8.056445 s 晚于中心视线的 8.013006 s，这也解释了两种判据为何只改变左端点。</w:t>
      </w:r>
    </w:p>
    <w:p>
      <w:pPr>
        <w:pStyle w:val="Heading1"/>
      </w:pPr>
      <w:r>
        <w:t>5 问题 2：FY1 单弹最优策略</w:t>
      </w:r>
    </w:p>
    <w:p>
      <w:pPr>
        <w:pStyle w:val="Heading2"/>
      </w:pPr>
      <w:r>
        <w:t>5.1 优化变量与分层求解</w:t>
      </w:r>
    </w:p>
    <w:p>
      <w:r>
        <w:rPr>
          <w:rFonts w:ascii="Times New Roman" w:hAnsi="Times New Roman" w:eastAsia="宋体"/>
          <w:sz w:val="21"/>
        </w:rPr>
        <w:t>原始决策变量为航向 φ、速度 v、投放时刻 t_d 和引信延迟 τ，约束包括 70≤v≤140、t_d≥0、τ≥0、起爆高度非负且起爆早于 M1 到达。若直接搜索这四个物理变量，优化器会反复生成“投放时刻为负”或“引信过长导致地下起爆”的不可行点，使非零有效区间更难被发现。</w:t>
      </w:r>
    </w:p>
    <w:p>
      <w:r>
        <w:rPr>
          <w:rFonts w:ascii="Times New Roman" w:hAnsi="Times New Roman" w:eastAsia="宋体"/>
          <w:sz w:val="21"/>
        </w:rPr>
        <w:t>为把硬约束转化为变量边界，实际搜索 q=(φ,v,t_b,ρ)，其中 0≤ρ≤1，并令</w:t>
      </w:r>
    </w:p>
    <w:p>
      <w:pPr>
        <w:pStyle w:val="EquationCN"/>
        <w:keepLines/>
      </w:pPr>
      <w:r>
        <w:drawing>
          <wp:inline xmlns:a="http://schemas.openxmlformats.org/drawingml/2006/main" xmlns:pic="http://schemas.openxmlformats.org/drawingml/2006/picture">
            <wp:extent cx="2700528" cy="262128"/>
            <wp:docPr id="18" name="Picture 18"/>
            <wp:cNvGraphicFramePr>
              <a:graphicFrameLocks noChangeAspect="1"/>
            </wp:cNvGraphicFramePr>
            <a:graphic>
              <a:graphicData uri="http://schemas.openxmlformats.org/drawingml/2006/picture">
                <pic:pic>
                  <pic:nvPicPr>
                    <pic:cNvPr id="0" name="equation-25aa3c94bbab715e.png"/>
                    <pic:cNvPicPr/>
                  </pic:nvPicPr>
                  <pic:blipFill>
                    <a:blip r:embed="rId27"/>
                    <a:stretch>
                      <a:fillRect/>
                    </a:stretch>
                  </pic:blipFill>
                  <pic:spPr>
                    <a:xfrm>
                      <a:off x="0" y="0"/>
                      <a:ext cx="2700528" cy="262128"/>
                    </a:xfrm>
                    <a:prstGeom prst="rect"/>
                  </pic:spPr>
                </pic:pic>
              </a:graphicData>
            </a:graphic>
          </wp:inline>
        </w:drawing>
      </w:r>
    </w:p>
    <w:p>
      <w:r>
        <w:rPr>
          <w:rFonts w:ascii="Times New Roman" w:hAnsi="Times New Roman" w:eastAsia="宋体"/>
          <w:sz w:val="21"/>
        </w:rPr>
        <w:t>从而自动满足非负投放时刻和非负起爆高度。目标函数为完整圆柱有效集合的测度 J(q)=μ(E)。</w:t>
      </w:r>
    </w:p>
    <w:p>
      <w:r>
        <w:rPr>
          <w:rFonts w:ascii="Times New Roman" w:hAnsi="Times New Roman" w:eastAsia="宋体"/>
          <w:sz w:val="21"/>
        </w:rPr>
        <w:t>这里 t_b−τ=t_d≥0，且 τ≤√(2h/g) 保证起爆点不低于地面。该参数化没有删去任何原问题可行解，却显著减少了罚函数调参。</w:t>
      </w:r>
    </w:p>
    <w:p>
      <w:r>
        <w:rPr>
          <w:rFonts w:ascii="Times New Roman" w:hAnsi="Times New Roman" w:eastAsia="宋体"/>
          <w:sz w:val="21"/>
        </w:rPr>
        <w:t>由于 J 在区间出现、消失和合并处不光滑，且大量策略完全无效、目标值为 0，梯度法既难计算导数，也容易停在零值平台。因此先以目标中心视线构造低成本代理，用差分进化在全局范围寻找非零盆地；再用完整圆柱判据重排候选、坐标精化，并用二分法确定端点。差分进化通过个体差向量产生搜索方向，不要求目标连续可导，适合本题的区间测度目标。</w:t>
      </w:r>
    </w:p>
    <w:p>
      <w:r>
        <w:rPr>
          <w:rFonts w:ascii="Times New Roman" w:hAnsi="Times New Roman" w:eastAsia="宋体"/>
          <w:sz w:val="21"/>
        </w:rPr>
        <w:t>正式计算采用 3 个随机种子、每组 96 个个体和 180 代，变异系数 0.78、交叉率 0.88。三组代理最优值均约为 4.83249 s，并集中到 v=140 m/s、t_d=0 的同一主盆地。随后从每组保留前 8 个候选，以低分辨率完整圆柱重排，再对前 3 个候选做坐标模式搜索，最后用 1440 个周向点复算。缩减为 72 个个体、120 代的试跑曾落入完整圆柱时长约 3.954 s 的次优盆地，这一失败实验说明“单次搜索收敛”并不等于找到了最佳盆地。</w:t>
      </w:r>
    </w:p>
    <w:p>
      <w:pPr>
        <w:keepNext/>
        <w:spacing w:before="60" w:after="0"/>
        <w:ind w:firstLine="0"/>
        <w:jc w:val="center"/>
      </w:pPr>
      <w:r>
        <w:drawing>
          <wp:inline xmlns:a="http://schemas.openxmlformats.org/drawingml/2006/main" xmlns:pic="http://schemas.openxmlformats.org/drawingml/2006/picture">
            <wp:extent cx="5328000" cy="3931535"/>
            <wp:docPr id="19" name="Picture 19"/>
            <wp:cNvGraphicFramePr>
              <a:graphicFrameLocks noChangeAspect="1"/>
            </wp:cNvGraphicFramePr>
            <a:graphic>
              <a:graphicData uri="http://schemas.openxmlformats.org/drawingml/2006/picture">
                <pic:pic>
                  <pic:nvPicPr>
                    <pic:cNvPr id="0" name="problem2_fig2_objective_landscape-e5017e7eb9398ab6.jpg"/>
                    <pic:cNvPicPr/>
                  </pic:nvPicPr>
                  <pic:blipFill>
                    <a:blip r:embed="rId28"/>
                    <a:stretch>
                      <a:fillRect/>
                    </a:stretch>
                  </pic:blipFill>
                  <pic:spPr>
                    <a:xfrm>
                      <a:off x="0" y="0"/>
                      <a:ext cx="5328000" cy="3931535"/>
                    </a:xfrm>
                    <a:prstGeom prst="rect"/>
                  </pic:spPr>
                </pic:pic>
              </a:graphicData>
            </a:graphic>
          </wp:inline>
        </w:drawing>
      </w:r>
    </w:p>
    <w:p>
      <w:pPr>
        <w:pStyle w:val="CaptionCN"/>
      </w:pPr>
      <w:r>
        <w:rPr>
          <w:rFonts w:ascii="Times New Roman" w:hAnsi="Times New Roman" w:eastAsia="宋体"/>
          <w:sz w:val="18"/>
        </w:rPr>
        <w:t>图 4  航向与起爆时刻附近的目标函数地形</w:t>
      </w:r>
    </w:p>
    <w:p>
      <w:pPr>
        <w:pStyle w:val="Heading2"/>
      </w:pPr>
      <w:r>
        <w:t>5.2 结果</w:t>
      </w:r>
    </w:p>
    <w:tbl>
      <w:tblPr>
        <w:tblStyle w:val="TableGrid"/>
        <w:tblW w:type="auto" w:w="0"/>
        <w:jc w:val="center"/>
        <w:tblLayout w:type="autofit"/>
        <w:tblLook w:firstColumn="1" w:firstRow="1" w:lastColumn="0" w:lastRow="0" w:noHBand="0" w:noVBand="1" w:val="04A0"/>
      </w:tblPr>
      <w:tblGrid>
        <w:gridCol w:w="4536"/>
        <w:gridCol w:w="4536"/>
      </w:tblGrid>
      <w:tr>
        <w:trPr>
          <w:cantSplit/>
          <w:tblHeader w:val="true"/>
        </w:trPr>
        <w:tc>
          <w:tcPr>
            <w:tcW w:type="dxa" w:w="4536"/>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参数</w:t>
            </w:r>
          </w:p>
        </w:tc>
        <w:tc>
          <w:tcPr>
            <w:tcW w:type="dxa" w:w="4536"/>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最优值</w:t>
            </w:r>
          </w:p>
        </w:tc>
      </w:tr>
      <w:tr>
        <w:trPr>
          <w:cantSplit/>
        </w:trPr>
        <w:tc>
          <w:tcPr>
            <w:tcW w:type="dxa" w:w="4536"/>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航向角</w:t>
            </w:r>
          </w:p>
        </w:tc>
        <w:tc>
          <w:tcPr>
            <w:tcW w:type="dxa" w:w="453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6.946063°</w:t>
            </w:r>
          </w:p>
        </w:tc>
      </w:tr>
      <w:tr>
        <w:trPr>
          <w:cantSplit/>
        </w:trPr>
        <w:tc>
          <w:tcPr>
            <w:tcW w:type="dxa" w:w="4536"/>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速度</w:t>
            </w:r>
          </w:p>
        </w:tc>
        <w:tc>
          <w:tcPr>
            <w:tcW w:type="dxa" w:w="453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140.000000 m/s</w:t>
            </w:r>
          </w:p>
        </w:tc>
      </w:tr>
      <w:tr>
        <w:trPr>
          <w:cantSplit/>
        </w:trPr>
        <w:tc>
          <w:tcPr>
            <w:tcW w:type="dxa" w:w="4536"/>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投放时刻</w:t>
            </w:r>
          </w:p>
        </w:tc>
        <w:tc>
          <w:tcPr>
            <w:tcW w:type="dxa" w:w="453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0.000000 s</w:t>
            </w:r>
          </w:p>
        </w:tc>
      </w:tr>
      <w:tr>
        <w:trPr>
          <w:cantSplit/>
        </w:trPr>
        <w:tc>
          <w:tcPr>
            <w:tcW w:type="dxa" w:w="4536"/>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引信延迟 / 起爆时刻</w:t>
            </w:r>
          </w:p>
        </w:tc>
        <w:tc>
          <w:tcPr>
            <w:tcW w:type="dxa" w:w="453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0.739042 s</w:t>
            </w:r>
          </w:p>
        </w:tc>
      </w:tr>
      <w:tr>
        <w:trPr>
          <w:cantSplit/>
        </w:trPr>
        <w:tc>
          <w:tcPr>
            <w:tcW w:type="dxa" w:w="4536"/>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投放点</w:t>
            </w:r>
          </w:p>
        </w:tc>
        <w:tc>
          <w:tcPr>
            <w:tcW w:type="dxa" w:w="453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(17800.000, 0.000, 1800.000) m</w:t>
            </w:r>
          </w:p>
        </w:tc>
      </w:tr>
      <w:tr>
        <w:trPr>
          <w:cantSplit/>
        </w:trPr>
        <w:tc>
          <w:tcPr>
            <w:tcW w:type="dxa" w:w="4536"/>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起爆点</w:t>
            </w:r>
          </w:p>
        </w:tc>
        <w:tc>
          <w:tcPr>
            <w:tcW w:type="dxa" w:w="453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(17902.706, 12.513, 1797.324) m</w:t>
            </w:r>
          </w:p>
        </w:tc>
      </w:tr>
      <w:tr>
        <w:trPr>
          <w:cantSplit/>
        </w:trPr>
        <w:tc>
          <w:tcPr>
            <w:tcW w:type="dxa" w:w="4536"/>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有效区间</w:t>
            </w:r>
          </w:p>
        </w:tc>
        <w:tc>
          <w:tcPr>
            <w:tcW w:type="dxa" w:w="453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[0.739073, 5.326745] s</w:t>
            </w:r>
          </w:p>
        </w:tc>
      </w:tr>
      <w:tr>
        <w:trPr>
          <w:cantSplit/>
        </w:trPr>
        <w:tc>
          <w:tcPr>
            <w:tcW w:type="dxa" w:w="4536"/>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b/>
                <w:sz w:val="17"/>
              </w:rPr>
              <w:t>有效时长</w:t>
            </w:r>
          </w:p>
        </w:tc>
        <w:tc>
          <w:tcPr>
            <w:tcW w:type="dxa" w:w="453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b/>
                <w:sz w:val="17"/>
              </w:rPr>
              <w:t>4.587672 s</w:t>
            </w:r>
          </w:p>
        </w:tc>
      </w:tr>
    </w:tbl>
    <w:p>
      <w:pPr>
        <w:spacing w:after="0" w:line="120" w:lineRule="auto"/>
      </w:pPr>
    </w:p>
    <w:p>
      <w:r>
        <w:rPr>
          <w:rFonts w:ascii="Times New Roman" w:hAnsi="Times New Roman" w:eastAsia="宋体"/>
          <w:sz w:val="21"/>
        </w:rPr>
        <w:t>速度和投放时刻均取约束边界：无人机迅速向来袭方向移动并立即投放，使烟幕尽早形成于 M1 与真目标之间。与问题 1 相比，时长增加 3.196029 s，达到基准的 3.2966 倍。</w:t>
      </w:r>
    </w:p>
    <w:p>
      <w:pPr>
        <w:keepNext/>
        <w:spacing w:before="60" w:after="0"/>
        <w:ind w:firstLine="0"/>
        <w:jc w:val="center"/>
      </w:pPr>
      <w:r>
        <w:drawing>
          <wp:inline xmlns:a="http://schemas.openxmlformats.org/drawingml/2006/main" xmlns:pic="http://schemas.openxmlformats.org/drawingml/2006/picture">
            <wp:extent cx="5328000" cy="2268164"/>
            <wp:docPr id="20" name="Picture 20"/>
            <wp:cNvGraphicFramePr>
              <a:graphicFrameLocks noChangeAspect="1"/>
            </wp:cNvGraphicFramePr>
            <a:graphic>
              <a:graphicData uri="http://schemas.openxmlformats.org/drawingml/2006/picture">
                <pic:pic>
                  <pic:nvPicPr>
                    <pic:cNvPr id="0" name="problem2_fig3_convergence-170d9e5b0f3375aa.jpg"/>
                    <pic:cNvPicPr/>
                  </pic:nvPicPr>
                  <pic:blipFill>
                    <a:blip r:embed="rId29"/>
                    <a:stretch>
                      <a:fillRect/>
                    </a:stretch>
                  </pic:blipFill>
                  <pic:spPr>
                    <a:xfrm>
                      <a:off x="0" y="0"/>
                      <a:ext cx="5328000" cy="2268164"/>
                    </a:xfrm>
                    <a:prstGeom prst="rect"/>
                  </pic:spPr>
                </pic:pic>
              </a:graphicData>
            </a:graphic>
          </wp:inline>
        </w:drawing>
      </w:r>
    </w:p>
    <w:p>
      <w:pPr>
        <w:pStyle w:val="CaptionCN"/>
      </w:pPr>
      <w:r>
        <w:rPr>
          <w:rFonts w:ascii="Times New Roman" w:hAnsi="Times New Roman" w:eastAsia="宋体"/>
          <w:sz w:val="18"/>
        </w:rPr>
        <w:t>图 5  三组差分进化收敛与完整圆柱复算</w:t>
      </w:r>
    </w:p>
    <w:p>
      <w:r>
        <w:rPr>
          <w:rFonts w:ascii="Times New Roman" w:hAnsi="Times New Roman" w:eastAsia="宋体"/>
          <w:sz w:val="21"/>
        </w:rPr>
        <w:t>最优航向约为 6.95° 而不是精确沿 x 轴，是因为真目标圆柱中心位于 y=200 m，烟幕需要同时匹配导弹—目标视线在水平面内的侧向偏移。速度取上界并不是人为固定：在保持其余最优参数时，速度从 100 m/s 增至 140 m/s，遮蔽时长单调增加。立即投放则使起爆前抛体有更早的时间窗；若固定其余变量而延迟投放约 0.73 s，快速完整圆柱扫描已不再产生有效遮蔽。</w:t>
      </w:r>
    </w:p>
    <w:p>
      <w:pPr>
        <w:keepNext/>
        <w:spacing w:before="60" w:after="0"/>
        <w:ind w:firstLine="0"/>
        <w:jc w:val="center"/>
      </w:pPr>
      <w:r>
        <w:drawing>
          <wp:inline xmlns:a="http://schemas.openxmlformats.org/drawingml/2006/main" xmlns:pic="http://schemas.openxmlformats.org/drawingml/2006/picture">
            <wp:extent cx="5328000" cy="3870935"/>
            <wp:docPr id="21" name="Picture 21"/>
            <wp:cNvGraphicFramePr>
              <a:graphicFrameLocks noChangeAspect="1"/>
            </wp:cNvGraphicFramePr>
            <a:graphic>
              <a:graphicData uri="http://schemas.openxmlformats.org/drawingml/2006/picture">
                <pic:pic>
                  <pic:nvPicPr>
                    <pic:cNvPr id="0" name="problem2_fig5_sensitivity-ee6ef2b9f107a69f.jpg"/>
                    <pic:cNvPicPr/>
                  </pic:nvPicPr>
                  <pic:blipFill>
                    <a:blip r:embed="rId30"/>
                    <a:stretch>
                      <a:fillRect/>
                    </a:stretch>
                  </pic:blipFill>
                  <pic:spPr>
                    <a:xfrm>
                      <a:off x="0" y="0"/>
                      <a:ext cx="5328000" cy="3870935"/>
                    </a:xfrm>
                    <a:prstGeom prst="rect"/>
                  </pic:spPr>
                </pic:pic>
              </a:graphicData>
            </a:graphic>
          </wp:inline>
        </w:drawing>
      </w:r>
    </w:p>
    <w:p>
      <w:pPr>
        <w:pStyle w:val="CaptionCN"/>
      </w:pPr>
      <w:r>
        <w:rPr>
          <w:rFonts w:ascii="Times New Roman" w:hAnsi="Times New Roman" w:eastAsia="宋体"/>
          <w:sz w:val="18"/>
        </w:rPr>
        <w:t>图 6  问题2关键决策变量的单因素灵敏度</w:t>
      </w:r>
    </w:p>
    <w:p>
      <w:r>
        <w:rPr>
          <w:rFonts w:ascii="Times New Roman" w:hAnsi="Times New Roman" w:eastAsia="宋体"/>
          <w:sz w:val="21"/>
        </w:rPr>
        <w:t>航向是最敏感变量，正向偏差 1.5° 时快速复算约降至 4.086 s；引信延迟超过最优值后也快速下降。由此可见，最优值附近不是宽阔平台，实际执行时应优先保证航向和起爆时刻精度，而不是仅追求速度达到理论上界。</w:t>
      </w:r>
    </w:p>
    <w:p>
      <w:pPr>
        <w:spacing w:before="60" w:after="60"/>
        <w:ind w:firstLine="0" w:left="283" w:right="283"/>
      </w:pPr>
      <w:r>
        <w:rPr>
          <w:rFonts w:ascii="Times New Roman" w:hAnsi="Times New Roman" w:eastAsia="宋体"/>
          <w:i/>
          <w:color w:val="595959"/>
          <w:sz w:val="18"/>
        </w:rPr>
        <w:t>AI辅助标注：问题 2 的参数化、差分进化程序、完整圆柱复算、图表与文字由 OpenAI Codex 辅助生成；用户已完成人工复核。</w:t>
      </w:r>
    </w:p>
    <w:p>
      <w:pPr>
        <w:pStyle w:val="Heading1"/>
      </w:pPr>
      <w:r>
        <w:t>6 问题 3：FY1 三弹联合排程</w:t>
      </w:r>
    </w:p>
    <w:p>
      <w:pPr>
        <w:pStyle w:val="Heading2"/>
      </w:pPr>
      <w:r>
        <w:t>6.1 并集目标与约束</w:t>
      </w:r>
    </w:p>
    <w:p>
      <w:r>
        <w:rPr>
          <w:rFonts w:ascii="Times New Roman" w:hAnsi="Times New Roman" w:eastAsia="宋体"/>
          <w:sz w:val="21"/>
        </w:rPr>
        <w:t>三枚弹共用航向和速度，各自具有投放时刻与引信延迟，并满足</w:t>
      </w:r>
    </w:p>
    <w:p>
      <w:pPr>
        <w:pStyle w:val="EquationCN"/>
        <w:keepLines/>
      </w:pPr>
      <w:r>
        <w:drawing>
          <wp:inline xmlns:a="http://schemas.openxmlformats.org/drawingml/2006/main" xmlns:pic="http://schemas.openxmlformats.org/drawingml/2006/picture">
            <wp:extent cx="2417064" cy="201168"/>
            <wp:docPr id="22" name="Picture 22"/>
            <wp:cNvGraphicFramePr>
              <a:graphicFrameLocks noChangeAspect="1"/>
            </wp:cNvGraphicFramePr>
            <a:graphic>
              <a:graphicData uri="http://schemas.openxmlformats.org/drawingml/2006/picture">
                <pic:pic>
                  <pic:nvPicPr>
                    <pic:cNvPr id="0" name="equation-9d1c4f48b3dcfeb3.png"/>
                    <pic:cNvPicPr/>
                  </pic:nvPicPr>
                  <pic:blipFill>
                    <a:blip r:embed="rId31"/>
                    <a:stretch>
                      <a:fillRect/>
                    </a:stretch>
                  </pic:blipFill>
                  <pic:spPr>
                    <a:xfrm>
                      <a:off x="0" y="0"/>
                      <a:ext cx="2417064" cy="201168"/>
                    </a:xfrm>
                    <a:prstGeom prst="rect"/>
                  </pic:spPr>
                </pic:pic>
              </a:graphicData>
            </a:graphic>
          </wp:inline>
        </w:drawing>
      </w:r>
    </w:p>
    <w:p>
      <w:r>
        <w:rPr>
          <w:rFonts w:ascii="Times New Roman" w:hAnsi="Times New Roman" w:eastAsia="宋体"/>
          <w:sz w:val="21"/>
        </w:rPr>
        <w:t>优化目标为 J=μ(E_1∪E_2∪E_3)。采用三组中心视线代理搜索、完整圆柱直接搜索和坐标精化，最终以高密度圆柱边界复算。</w:t>
      </w:r>
    </w:p>
    <w:p>
      <w:r>
        <w:rPr>
          <w:rFonts w:ascii="Times New Roman" w:hAnsi="Times New Roman" w:eastAsia="宋体"/>
          <w:sz w:val="21"/>
        </w:rPr>
        <w:t>这里不能把问题 2 的单弹最优时长乘以 3。原因有二：首先，一架无人机一旦选定航向和速度，三枚弹的投放点都被限制在同一条空间直线上，三次单弹最优策略通常不可能同时实现；其次，即使每枚弹各自有效，重叠部分也只应计时一次。由容斥关系</w:t>
      </w:r>
    </w:p>
    <w:p>
      <w:pPr>
        <w:pStyle w:val="EquationCN"/>
        <w:keepLines/>
      </w:pPr>
      <w:r>
        <w:drawing>
          <wp:inline xmlns:a="http://schemas.openxmlformats.org/drawingml/2006/main" xmlns:pic="http://schemas.openxmlformats.org/drawingml/2006/picture">
            <wp:extent cx="4093464" cy="384048"/>
            <wp:docPr id="23" name="Picture 23"/>
            <wp:cNvGraphicFramePr>
              <a:graphicFrameLocks noChangeAspect="1"/>
            </wp:cNvGraphicFramePr>
            <a:graphic>
              <a:graphicData uri="http://schemas.openxmlformats.org/drawingml/2006/picture">
                <pic:pic>
                  <pic:nvPicPr>
                    <pic:cNvPr id="0" name="equation-b30885cb74c0b6c2.png"/>
                    <pic:cNvPicPr/>
                  </pic:nvPicPr>
                  <pic:blipFill>
                    <a:blip r:embed="rId32"/>
                    <a:stretch>
                      <a:fillRect/>
                    </a:stretch>
                  </pic:blipFill>
                  <pic:spPr>
                    <a:xfrm>
                      <a:off x="0" y="0"/>
                      <a:ext cx="4093464" cy="384048"/>
                    </a:xfrm>
                    <a:prstGeom prst="rect"/>
                  </pic:spPr>
                </pic:pic>
              </a:graphicData>
            </a:graphic>
          </wp:inline>
        </w:drawing>
      </w:r>
    </w:p>
    <w:p>
      <w:r>
        <w:rPr>
          <w:rFonts w:ascii="Times New Roman" w:hAnsi="Times New Roman" w:eastAsia="宋体"/>
          <w:sz w:val="21"/>
        </w:rPr>
        <w:t>可知排程既要增加单弹时长，也要减少无效重叠。程序实际用前述排序合并算法计算并集，容斥式用于解释目标结构。</w:t>
      </w:r>
    </w:p>
    <w:p>
      <w:r>
        <w:rPr>
          <w:rFonts w:ascii="Times New Roman" w:hAnsi="Times New Roman" w:eastAsia="宋体"/>
          <w:sz w:val="21"/>
        </w:rPr>
        <w:t>求解变量包括 2 个共享航迹变量和 6 个独立时序变量。为始终满足投放间隔，第二、三枚投放时刻不是独立搜索，而写成前一时刻加 1 s 再加非负附加间隔；引信延迟仍以可行比例参数化。先用三组中心视线代理发现高收益航迹，再启动完整圆柱直接搜索，最后对航向、速度和时序逐坐标精化。代理与严格目标同时保留，是为了防止中心线排名较高、但圆柱边缘仍外露的候选进入最终结果。</w:t>
      </w:r>
    </w:p>
    <w:p>
      <w:pPr>
        <w:pStyle w:val="Heading2"/>
      </w:pPr>
      <w:r>
        <w:t>6.2 结果与第三弹退化解释</w:t>
      </w:r>
    </w:p>
    <w:p>
      <w:r>
        <w:rPr>
          <w:rFonts w:ascii="Times New Roman" w:hAnsi="Times New Roman" w:eastAsia="宋体"/>
          <w:sz w:val="21"/>
        </w:rPr>
        <w:t>共同航向为 9.236484°，速度为 103.596493 m/s。三枚弹分别在 0、1、2 s 投放；前两弹区间为 [4.824835,7.401397] s 和 [1.000001,4.824884] s，仅重叠 4.843×10⁻⁵ s，第三弹在严格完整圆柱判据下无有效区间。并集为</w:t>
      </w:r>
    </w:p>
    <w:p>
      <w:pPr>
        <w:pStyle w:val="EquationCN"/>
        <w:keepLines/>
      </w:pPr>
      <w:r>
        <w:drawing>
          <wp:inline xmlns:a="http://schemas.openxmlformats.org/drawingml/2006/main" xmlns:pic="http://schemas.openxmlformats.org/drawingml/2006/picture">
            <wp:extent cx="4431792" cy="204216"/>
            <wp:docPr id="24" name="Picture 24"/>
            <wp:cNvGraphicFramePr>
              <a:graphicFrameLocks noChangeAspect="1"/>
            </wp:cNvGraphicFramePr>
            <a:graphic>
              <a:graphicData uri="http://schemas.openxmlformats.org/drawingml/2006/picture">
                <pic:pic>
                  <pic:nvPicPr>
                    <pic:cNvPr id="0" name="equation-49eb56b2525cb18d.png"/>
                    <pic:cNvPicPr/>
                  </pic:nvPicPr>
                  <pic:blipFill>
                    <a:blip r:embed="rId33"/>
                    <a:stretch>
                      <a:fillRect/>
                    </a:stretch>
                  </pic:blipFill>
                  <pic:spPr>
                    <a:xfrm>
                      <a:off x="0" y="0"/>
                      <a:ext cx="4431792" cy="204216"/>
                    </a:xfrm>
                    <a:prstGeom prst="rect"/>
                  </pic:spPr>
                </pic:pic>
              </a:graphicData>
            </a:graphic>
          </wp:inline>
        </w:drawing>
      </w:r>
    </w:p>
    <w:p>
      <w:r>
        <w:rPr>
          <w:rFonts w:ascii="Times New Roman" w:hAnsi="Times New Roman" w:eastAsia="宋体"/>
          <w:sz w:val="21"/>
        </w:rPr>
        <w:t>第三弹零贡献不是漏投，而是共同航迹、最小投放间隔和严格判据共同造成的数值退化。题目要求投放三枚弹，但未要求每枚均产生正时长，因此在等价解族中采用“最早可行投放、立即起爆”的次级规则。若另加“每枚必须有效”的约束，需重新优化，主目标不会优于当前无附加约束结果。</w:t>
      </w:r>
    </w:p>
    <w:p>
      <w:pPr>
        <w:keepNext/>
        <w:spacing w:before="60" w:after="0"/>
        <w:ind w:firstLine="0"/>
        <w:jc w:val="center"/>
      </w:pPr>
      <w:r>
        <w:drawing>
          <wp:inline xmlns:a="http://schemas.openxmlformats.org/drawingml/2006/main" xmlns:pic="http://schemas.openxmlformats.org/drawingml/2006/picture">
            <wp:extent cx="5328000" cy="2377444"/>
            <wp:docPr id="25" name="Picture 25"/>
            <wp:cNvGraphicFramePr>
              <a:graphicFrameLocks noChangeAspect="1"/>
            </wp:cNvGraphicFramePr>
            <a:graphic>
              <a:graphicData uri="http://schemas.openxmlformats.org/drawingml/2006/picture">
                <pic:pic>
                  <pic:nvPicPr>
                    <pic:cNvPr id="0" name="problem3_fig2_coverage_gantt-d3df714360e8e2d0.jpg"/>
                    <pic:cNvPicPr/>
                  </pic:nvPicPr>
                  <pic:blipFill>
                    <a:blip r:embed="rId34"/>
                    <a:stretch>
                      <a:fillRect/>
                    </a:stretch>
                  </pic:blipFill>
                  <pic:spPr>
                    <a:xfrm>
                      <a:off x="0" y="0"/>
                      <a:ext cx="5328000" cy="2377444"/>
                    </a:xfrm>
                    <a:prstGeom prst="rect"/>
                  </pic:spPr>
                </pic:pic>
              </a:graphicData>
            </a:graphic>
          </wp:inline>
        </w:drawing>
      </w:r>
    </w:p>
    <w:p>
      <w:pPr>
        <w:pStyle w:val="CaptionCN"/>
      </w:pPr>
      <w:r>
        <w:rPr>
          <w:rFonts w:ascii="Times New Roman" w:hAnsi="Times New Roman" w:eastAsia="宋体"/>
          <w:sz w:val="18"/>
        </w:rPr>
        <w:t>图 7  三弹有效区间及并集</w:t>
      </w:r>
    </w:p>
    <w:p>
      <w:r>
        <w:rPr>
          <w:rFonts w:ascii="Times New Roman" w:hAnsi="Times New Roman" w:eastAsia="宋体"/>
          <w:sz w:val="21"/>
        </w:rPr>
        <w:t>前两枚弹的区间重叠仅 4.843×10⁻⁵ s，可视为在数值精度内首尾衔接。第一枚在较晚时段提供 2.576562 s，第二枚从起爆后立即形成 3.824883 s，两者合并为一段连续覆盖。第三枚在 t=2 s 最早可行投放并立即起爆时，其烟幕位置仍无法使完整圆柱全部视线进入 10 m 球内；多起点搜索也未发现牺牲前两枚优势后能增加总并集的三弹均有效盆地。因此报告“第三枚零新增时长”比人为选择一个中心线有效方案更符合主判据。</w:t>
      </w:r>
    </w:p>
    <w:p>
      <w:pPr>
        <w:keepNext/>
        <w:spacing w:before="60" w:after="0"/>
        <w:ind w:firstLine="0"/>
        <w:jc w:val="center"/>
      </w:pPr>
      <w:r>
        <w:drawing>
          <wp:inline xmlns:a="http://schemas.openxmlformats.org/drawingml/2006/main" xmlns:pic="http://schemas.openxmlformats.org/drawingml/2006/picture">
            <wp:extent cx="5328000" cy="2377444"/>
            <wp:docPr id="26" name="Picture 26"/>
            <wp:cNvGraphicFramePr>
              <a:graphicFrameLocks noChangeAspect="1"/>
            </wp:cNvGraphicFramePr>
            <a:graphic>
              <a:graphicData uri="http://schemas.openxmlformats.org/drawingml/2006/picture">
                <pic:pic>
                  <pic:nvPicPr>
                    <pic:cNvPr id="0" name="problem3_fig4_convergence-ba19a05509b9fac9.jpg"/>
                    <pic:cNvPicPr/>
                  </pic:nvPicPr>
                  <pic:blipFill>
                    <a:blip r:embed="rId35"/>
                    <a:stretch>
                      <a:fillRect/>
                    </a:stretch>
                  </pic:blipFill>
                  <pic:spPr>
                    <a:xfrm>
                      <a:off x="0" y="0"/>
                      <a:ext cx="5328000" cy="2377444"/>
                    </a:xfrm>
                    <a:prstGeom prst="rect"/>
                  </pic:spPr>
                </pic:pic>
              </a:graphicData>
            </a:graphic>
          </wp:inline>
        </w:drawing>
      </w:r>
    </w:p>
    <w:p>
      <w:pPr>
        <w:pStyle w:val="CaptionCN"/>
      </w:pPr>
      <w:r>
        <w:rPr>
          <w:rFonts w:ascii="Times New Roman" w:hAnsi="Times New Roman" w:eastAsia="宋体"/>
          <w:sz w:val="18"/>
        </w:rPr>
        <w:t>图 8  三组代理搜索与完整圆柱直接搜索的收敛</w:t>
      </w:r>
    </w:p>
    <w:p>
      <w:pPr>
        <w:keepNext/>
        <w:spacing w:before="60" w:after="0"/>
        <w:ind w:firstLine="0"/>
        <w:jc w:val="center"/>
      </w:pPr>
      <w:r>
        <w:drawing>
          <wp:inline xmlns:a="http://schemas.openxmlformats.org/drawingml/2006/main" xmlns:pic="http://schemas.openxmlformats.org/drawingml/2006/picture">
            <wp:extent cx="5328000" cy="2122458"/>
            <wp:docPr id="27" name="Picture 27"/>
            <wp:cNvGraphicFramePr>
              <a:graphicFrameLocks noChangeAspect="1"/>
            </wp:cNvGraphicFramePr>
            <a:graphic>
              <a:graphicData uri="http://schemas.openxmlformats.org/drawingml/2006/picture">
                <pic:pic>
                  <pic:nvPicPr>
                    <pic:cNvPr id="0" name="problem3_fig5_sensitivity-ebe93c9420f7afdf.jpg"/>
                    <pic:cNvPicPr/>
                  </pic:nvPicPr>
                  <pic:blipFill>
                    <a:blip r:embed="rId36"/>
                    <a:stretch>
                      <a:fillRect/>
                    </a:stretch>
                  </pic:blipFill>
                  <pic:spPr>
                    <a:xfrm>
                      <a:off x="0" y="0"/>
                      <a:ext cx="5328000" cy="2122458"/>
                    </a:xfrm>
                    <a:prstGeom prst="rect"/>
                  </pic:spPr>
                </pic:pic>
              </a:graphicData>
            </a:graphic>
          </wp:inline>
        </w:drawing>
      </w:r>
    </w:p>
    <w:p>
      <w:pPr>
        <w:pStyle w:val="CaptionCN"/>
      </w:pPr>
      <w:r>
        <w:rPr>
          <w:rFonts w:ascii="Times New Roman" w:hAnsi="Times New Roman" w:eastAsia="宋体"/>
          <w:sz w:val="18"/>
        </w:rPr>
        <w:t>图 9  航向、速度和第二枚投放时刻的灵敏度</w:t>
      </w:r>
    </w:p>
    <w:p>
      <w:r>
        <w:rPr>
          <w:rFonts w:ascii="Times New Roman" w:hAnsi="Times New Roman" w:eastAsia="宋体"/>
          <w:sz w:val="21"/>
        </w:rPr>
        <w:t>收敛曲线显示不同随机种子最终进入同一收益区间；单因素扰动则表明第二枚投放时刻的主要作用是填补第一枚之前的空窗，一旦偏离 1 s 边界，连续覆盖会出现缺口或重叠损失。共同航向和速度也存在尖锐最优区，说明多弹排程的敏感性不仅来自单弹几何，还来自两个区间端点的衔接。</w:t>
      </w:r>
    </w:p>
    <w:p>
      <w:pPr>
        <w:spacing w:before="60" w:after="60"/>
        <w:ind w:firstLine="0" w:left="283" w:right="283"/>
      </w:pPr>
      <w:r>
        <w:rPr>
          <w:rFonts w:ascii="Times New Roman" w:hAnsi="Times New Roman" w:eastAsia="宋体"/>
          <w:i/>
          <w:color w:val="595959"/>
          <w:sz w:val="18"/>
        </w:rPr>
        <w:t>AI辅助标注：问题 3 的区间并集模型、搜索程序、第三弹退化诊断和图表由 OpenAI Codex 辅助生成；用户已确认保留零新增时长的真实结果。</w:t>
      </w:r>
    </w:p>
    <w:p>
      <w:pPr>
        <w:pStyle w:val="Heading1"/>
      </w:pPr>
      <w:r>
        <w:t>7 问题 4：三机单弹协同优化</w:t>
      </w:r>
    </w:p>
    <w:p>
      <w:pPr>
        <w:pStyle w:val="Heading2"/>
      </w:pPr>
      <w:r>
        <w:t>7.1 可分解模型</w:t>
      </w:r>
    </w:p>
    <w:p>
      <w:r>
        <w:rPr>
          <w:rFonts w:ascii="Times New Roman" w:hAnsi="Times New Roman" w:eastAsia="宋体"/>
          <w:sz w:val="21"/>
        </w:rPr>
        <w:t>FY1、FY2、FY3 各投放一枚弹干扰 M1。每架无人机的航向、速度、投放时刻和引信延迟彼此独立，联合目标为三段有效集合的并集。由于联合时长不超过三个单机时长之和，先分别求三个单机数值上界；所得三段区间互不重叠时，其和即达到该可分解数值上界。</w:t>
      </w:r>
    </w:p>
    <w:p>
      <w:r>
        <w:rPr>
          <w:rFonts w:ascii="Times New Roman" w:hAnsi="Times New Roman" w:eastAsia="宋体"/>
          <w:sz w:val="21"/>
        </w:rPr>
        <w:t>设第 k 架无人机单独可达到的最大数值时长为 U_k。由集合测度的次可加性，对任意联合策略都有</w:t>
      </w:r>
    </w:p>
    <w:p>
      <w:pPr>
        <w:pStyle w:val="EquationCN"/>
        <w:keepLines/>
      </w:pPr>
      <w:r>
        <w:drawing>
          <wp:inline xmlns:a="http://schemas.openxmlformats.org/drawingml/2006/main" xmlns:pic="http://schemas.openxmlformats.org/drawingml/2006/picture">
            <wp:extent cx="2596896" cy="475488"/>
            <wp:docPr id="28" name="Picture 28"/>
            <wp:cNvGraphicFramePr>
              <a:graphicFrameLocks noChangeAspect="1"/>
            </wp:cNvGraphicFramePr>
            <a:graphic>
              <a:graphicData uri="http://schemas.openxmlformats.org/drawingml/2006/picture">
                <pic:pic>
                  <pic:nvPicPr>
                    <pic:cNvPr id="0" name="equation-8743c1286b31f124.png"/>
                    <pic:cNvPicPr/>
                  </pic:nvPicPr>
                  <pic:blipFill>
                    <a:blip r:embed="rId37"/>
                    <a:stretch>
                      <a:fillRect/>
                    </a:stretch>
                  </pic:blipFill>
                  <pic:spPr>
                    <a:xfrm>
                      <a:off x="0" y="0"/>
                      <a:ext cx="2596896" cy="475488"/>
                    </a:xfrm>
                    <a:prstGeom prst="rect"/>
                  </pic:spPr>
                </pic:pic>
              </a:graphicData>
            </a:graphic>
          </wp:inline>
        </w:drawing>
      </w:r>
    </w:p>
    <w:p>
      <w:r>
        <w:rPr>
          <w:rFonts w:ascii="Times New Roman" w:hAnsi="Times New Roman" w:eastAsia="宋体"/>
          <w:sz w:val="21"/>
        </w:rPr>
        <w:t>第一处等号成立的条件是三个区间互不重叠，第二处等号要求各机都达到自己的单机最好值。因此问题 4 不必盲目做 12 维联合搜索：先分别寻找 U_k，再检查所得区间是否重叠即可。计算结果恰好满足两处等号，故达到由三个单机数值最优值构成的可分解上界。需要强调，U_k 本身仍由多起点数值搜索获得，所以这是数值上界闭合，而不是解析全局最优证明。</w:t>
      </w:r>
    </w:p>
    <w:p>
      <w:r>
        <w:rPr>
          <w:rFonts w:ascii="Times New Roman" w:hAnsi="Times New Roman" w:eastAsia="宋体"/>
          <w:sz w:val="21"/>
        </w:rPr>
        <w:t>严格遮蔽时长在多数参数区域恒为 0，尤其 FY2、FY3 距目标视线较远，随机种群很难偶然命中有效盆地。为给优化器提供连续方向信息，先最小化整个烟幕有效期内的最小中心视线距离</w:t>
      </w:r>
    </w:p>
    <w:p>
      <w:pPr>
        <w:pStyle w:val="EquationCN"/>
        <w:keepLines/>
      </w:pPr>
      <w:r>
        <w:drawing>
          <wp:inline xmlns:a="http://schemas.openxmlformats.org/drawingml/2006/main" xmlns:pic="http://schemas.openxmlformats.org/drawingml/2006/picture">
            <wp:extent cx="2560319" cy="274320"/>
            <wp:docPr id="29" name="Picture 29"/>
            <wp:cNvGraphicFramePr>
              <a:graphicFrameLocks noChangeAspect="1"/>
            </wp:cNvGraphicFramePr>
            <a:graphic>
              <a:graphicData uri="http://schemas.openxmlformats.org/drawingml/2006/picture">
                <pic:pic>
                  <pic:nvPicPr>
                    <pic:cNvPr id="0" name="equation-52b561f538b0f794.png"/>
                    <pic:cNvPicPr/>
                  </pic:nvPicPr>
                  <pic:blipFill>
                    <a:blip r:embed="rId38"/>
                    <a:stretch>
                      <a:fillRect/>
                    </a:stretch>
                  </pic:blipFill>
                  <pic:spPr>
                    <a:xfrm>
                      <a:off x="0" y="0"/>
                      <a:ext cx="2560319" cy="274320"/>
                    </a:xfrm>
                    <a:prstGeom prst="rect"/>
                  </pic:spPr>
                </pic:pic>
              </a:graphicData>
            </a:graphic>
          </wp:inline>
        </w:drawing>
      </w:r>
    </w:p>
    <w:p>
      <w:r>
        <w:rPr>
          <w:rFonts w:ascii="Times New Roman" w:hAnsi="Times New Roman" w:eastAsia="宋体"/>
          <w:sz w:val="21"/>
        </w:rPr>
        <w:t>把“0 秒和另一个 0 秒”区分成离视线近或远。接近度优化得到种子后，再依次执行中心视线时长搜索、完整圆柱重排、坐标精化和高分辨率复算。这个辅助目标只用于跨越零值平台，不参与最终计时。</w:t>
      </w:r>
    </w:p>
    <w:p>
      <w:pPr>
        <w:keepNext/>
        <w:spacing w:before="60" w:after="0"/>
        <w:ind w:firstLine="0"/>
        <w:jc w:val="center"/>
      </w:pPr>
      <w:r>
        <w:drawing>
          <wp:inline xmlns:a="http://schemas.openxmlformats.org/drawingml/2006/main" xmlns:pic="http://schemas.openxmlformats.org/drawingml/2006/picture">
            <wp:extent cx="5328000" cy="2702645"/>
            <wp:docPr id="30" name="Picture 30"/>
            <wp:cNvGraphicFramePr>
              <a:graphicFrameLocks noChangeAspect="1"/>
            </wp:cNvGraphicFramePr>
            <a:graphic>
              <a:graphicData uri="http://schemas.openxmlformats.org/drawingml/2006/picture">
                <pic:pic>
                  <pic:nvPicPr>
                    <pic:cNvPr id="0" name="problem4_fig1_multi_drone_geometry-886e11c32f71073f.jpg"/>
                    <pic:cNvPicPr/>
                  </pic:nvPicPr>
                  <pic:blipFill>
                    <a:blip r:embed="rId39"/>
                    <a:stretch>
                      <a:fillRect/>
                    </a:stretch>
                  </pic:blipFill>
                  <pic:spPr>
                    <a:xfrm>
                      <a:off x="0" y="0"/>
                      <a:ext cx="5328000" cy="2702645"/>
                    </a:xfrm>
                    <a:prstGeom prst="rect"/>
                  </pic:spPr>
                </pic:pic>
              </a:graphicData>
            </a:graphic>
          </wp:inline>
        </w:drawing>
      </w:r>
    </w:p>
    <w:p>
      <w:pPr>
        <w:pStyle w:val="CaptionCN"/>
      </w:pPr>
      <w:r>
        <w:rPr>
          <w:rFonts w:ascii="Times New Roman" w:hAnsi="Times New Roman" w:eastAsia="宋体"/>
          <w:sz w:val="18"/>
        </w:rPr>
        <w:t>图 10  三机最优航迹与烟幕空间关系</w:t>
      </w:r>
    </w:p>
    <w:p>
      <w:pPr>
        <w:pStyle w:val="Heading2"/>
      </w:pPr>
      <w:r>
        <w:t>7.2 结果</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rPr>
          <w:cantSplit/>
          <w:tblHeader w:val="true"/>
        </w:trPr>
        <w:tc>
          <w:tcPr>
            <w:tcW w:type="dxa" w:w="1296"/>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无人机</w:t>
            </w:r>
          </w:p>
        </w:tc>
        <w:tc>
          <w:tcPr>
            <w:tcW w:type="dxa" w:w="1296"/>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航向角</w:t>
            </w:r>
          </w:p>
        </w:tc>
        <w:tc>
          <w:tcPr>
            <w:tcW w:type="dxa" w:w="1296"/>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速度/(m/s)</w:t>
            </w:r>
          </w:p>
        </w:tc>
        <w:tc>
          <w:tcPr>
            <w:tcW w:type="dxa" w:w="1296"/>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投放时刻/s</w:t>
            </w:r>
          </w:p>
        </w:tc>
        <w:tc>
          <w:tcPr>
            <w:tcW w:type="dxa" w:w="1296"/>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引信延迟/s</w:t>
            </w:r>
          </w:p>
        </w:tc>
        <w:tc>
          <w:tcPr>
            <w:tcW w:type="dxa" w:w="1296"/>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有效区间/s</w:t>
            </w:r>
          </w:p>
        </w:tc>
        <w:tc>
          <w:tcPr>
            <w:tcW w:type="dxa" w:w="1296"/>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时长/s</w:t>
            </w:r>
          </w:p>
        </w:tc>
      </w:tr>
      <w:tr>
        <w:trPr>
          <w:cantSplit/>
        </w:trPr>
        <w:tc>
          <w:tcPr>
            <w:tcW w:type="dxa" w:w="1296"/>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FY1</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6.945852°</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140.000000</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0.000000</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0.739046</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[0.739113,5.326785]</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4.587672</w:t>
            </w:r>
          </w:p>
        </w:tc>
      </w:tr>
      <w:tr>
        <w:trPr>
          <w:cantSplit/>
        </w:trPr>
        <w:tc>
          <w:tcPr>
            <w:tcW w:type="dxa" w:w="1296"/>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FY2</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280.191921°</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119.746503</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5.612726</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5.869072</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[11.482244,15.409344]</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3.927100</w:t>
            </w:r>
          </w:p>
        </w:tc>
      </w:tr>
      <w:tr>
        <w:trPr>
          <w:cantSplit/>
        </w:trPr>
        <w:tc>
          <w:tcPr>
            <w:tcW w:type="dxa" w:w="1296"/>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FY3</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78.248916°</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132.669175</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21.390227</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2.422909</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[23.813432,26.931513]</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3.118081</w:t>
            </w:r>
          </w:p>
        </w:tc>
      </w:tr>
    </w:tbl>
    <w:p>
      <w:pPr>
        <w:spacing w:after="0" w:line="120" w:lineRule="auto"/>
      </w:pPr>
    </w:p>
    <w:p>
      <w:r>
        <w:rPr>
          <w:rFonts w:ascii="Times New Roman" w:hAnsi="Times New Roman" w:eastAsia="宋体"/>
          <w:sz w:val="21"/>
        </w:rPr>
        <w:t>三段区间互不重叠，因此联合时长为</w:t>
      </w:r>
    </w:p>
    <w:p>
      <w:pPr>
        <w:pStyle w:val="EquationCN"/>
        <w:keepLines/>
      </w:pPr>
      <w:r>
        <w:drawing>
          <wp:inline xmlns:a="http://schemas.openxmlformats.org/drawingml/2006/main" xmlns:pic="http://schemas.openxmlformats.org/drawingml/2006/picture">
            <wp:extent cx="4114800" cy="201168"/>
            <wp:docPr id="31" name="Picture 31"/>
            <wp:cNvGraphicFramePr>
              <a:graphicFrameLocks noChangeAspect="1"/>
            </wp:cNvGraphicFramePr>
            <a:graphic>
              <a:graphicData uri="http://schemas.openxmlformats.org/drawingml/2006/picture">
                <pic:pic>
                  <pic:nvPicPr>
                    <pic:cNvPr id="0" name="equation-46c9accf13f7f36c.png"/>
                    <pic:cNvPicPr/>
                  </pic:nvPicPr>
                  <pic:blipFill>
                    <a:blip r:embed="rId40"/>
                    <a:stretch>
                      <a:fillRect/>
                    </a:stretch>
                  </pic:blipFill>
                  <pic:spPr>
                    <a:xfrm>
                      <a:off x="0" y="0"/>
                      <a:ext cx="4114800" cy="201168"/>
                    </a:xfrm>
                    <a:prstGeom prst="rect"/>
                  </pic:spPr>
                </pic:pic>
              </a:graphicData>
            </a:graphic>
          </wp:inline>
        </w:drawing>
      </w:r>
    </w:p>
    <w:p>
      <w:pPr>
        <w:keepNext/>
        <w:spacing w:before="60" w:after="0"/>
        <w:ind w:firstLine="0"/>
        <w:jc w:val="center"/>
      </w:pPr>
      <w:r>
        <w:drawing>
          <wp:inline xmlns:a="http://schemas.openxmlformats.org/drawingml/2006/main" xmlns:pic="http://schemas.openxmlformats.org/drawingml/2006/picture">
            <wp:extent cx="5328000" cy="2413871"/>
            <wp:docPr id="32" name="Picture 32"/>
            <wp:cNvGraphicFramePr>
              <a:graphicFrameLocks noChangeAspect="1"/>
            </wp:cNvGraphicFramePr>
            <a:graphic>
              <a:graphicData uri="http://schemas.openxmlformats.org/drawingml/2006/picture">
                <pic:pic>
                  <pic:nvPicPr>
                    <pic:cNvPr id="0" name="problem4_fig2_coverage_gantt-344a561410ea99c3.jpg"/>
                    <pic:cNvPicPr/>
                  </pic:nvPicPr>
                  <pic:blipFill>
                    <a:blip r:embed="rId41"/>
                    <a:stretch>
                      <a:fillRect/>
                    </a:stretch>
                  </pic:blipFill>
                  <pic:spPr>
                    <a:xfrm>
                      <a:off x="0" y="0"/>
                      <a:ext cx="5328000" cy="2413871"/>
                    </a:xfrm>
                    <a:prstGeom prst="rect"/>
                  </pic:spPr>
                </pic:pic>
              </a:graphicData>
            </a:graphic>
          </wp:inline>
        </w:drawing>
      </w:r>
    </w:p>
    <w:p>
      <w:pPr>
        <w:pStyle w:val="CaptionCN"/>
      </w:pPr>
      <w:r>
        <w:rPr>
          <w:rFonts w:ascii="Times New Roman" w:hAnsi="Times New Roman" w:eastAsia="宋体"/>
          <w:sz w:val="18"/>
        </w:rPr>
        <w:t>图 11  三机单弹有效区间及并集</w:t>
      </w:r>
    </w:p>
    <w:p>
      <w:pPr>
        <w:keepNext/>
        <w:spacing w:before="60" w:after="0"/>
        <w:ind w:firstLine="0"/>
        <w:jc w:val="center"/>
      </w:pPr>
      <w:r>
        <w:drawing>
          <wp:inline xmlns:a="http://schemas.openxmlformats.org/drawingml/2006/main" xmlns:pic="http://schemas.openxmlformats.org/drawingml/2006/picture">
            <wp:extent cx="5328000" cy="2341017"/>
            <wp:docPr id="33" name="Picture 33"/>
            <wp:cNvGraphicFramePr>
              <a:graphicFrameLocks noChangeAspect="1"/>
            </wp:cNvGraphicFramePr>
            <a:graphic>
              <a:graphicData uri="http://schemas.openxmlformats.org/drawingml/2006/picture">
                <pic:pic>
                  <pic:nvPicPr>
                    <pic:cNvPr id="0" name="problem4_fig4_optimization-626a916b14eca56d.jpg"/>
                    <pic:cNvPicPr/>
                  </pic:nvPicPr>
                  <pic:blipFill>
                    <a:blip r:embed="rId42"/>
                    <a:stretch>
                      <a:fillRect/>
                    </a:stretch>
                  </pic:blipFill>
                  <pic:spPr>
                    <a:xfrm>
                      <a:off x="0" y="0"/>
                      <a:ext cx="5328000" cy="2341017"/>
                    </a:xfrm>
                    <a:prstGeom prst="rect"/>
                  </pic:spPr>
                </pic:pic>
              </a:graphicData>
            </a:graphic>
          </wp:inline>
        </w:drawing>
      </w:r>
    </w:p>
    <w:p>
      <w:pPr>
        <w:pStyle w:val="CaptionCN"/>
      </w:pPr>
      <w:r>
        <w:rPr>
          <w:rFonts w:ascii="Times New Roman" w:hAnsi="Times New Roman" w:eastAsia="宋体"/>
          <w:sz w:val="18"/>
        </w:rPr>
        <w:t>图 12  三机单弹搜索收敛与可分解数值上界</w:t>
      </w:r>
    </w:p>
    <w:p>
      <w:r>
        <w:rPr>
          <w:rFonts w:ascii="Times New Roman" w:hAnsi="Times New Roman" w:eastAsia="宋体"/>
          <w:sz w:val="21"/>
        </w:rPr>
        <w:t>FY1 在最早时段形成遮蔽，FY2 和 FY3 因初始位置不同，分别在约 11.48 s 和 23.81 s 后才进入合适视线区域。三个单机最优区间自然错开，使“分别最优”和“联合最优”没有发生重叠冲突；若未来增加第四架无人机并出现区间重叠，就必须在单机收益与重叠损失之间再次联合协调。</w:t>
      </w:r>
    </w:p>
    <w:p>
      <w:pPr>
        <w:spacing w:before="60" w:after="60"/>
        <w:ind w:firstLine="0" w:left="283" w:right="283"/>
      </w:pPr>
      <w:r>
        <w:rPr>
          <w:rFonts w:ascii="Times New Roman" w:hAnsi="Times New Roman" w:eastAsia="宋体"/>
          <w:i/>
          <w:color w:val="595959"/>
          <w:sz w:val="18"/>
        </w:rPr>
        <w:t>AI辅助标注：问题 4 的可分解上界思路、逐机优化、结果表与图表由 OpenAI Codex 辅助生成；用户已完成阶段复核。</w:t>
      </w:r>
    </w:p>
    <w:p>
      <w:pPr>
        <w:pStyle w:val="Heading1"/>
      </w:pPr>
      <w:r>
        <w:t>8 问题 5：五机三导弹联合分配</w:t>
      </w:r>
    </w:p>
    <w:p>
      <w:pPr>
        <w:pStyle w:val="Heading2"/>
      </w:pPr>
      <w:r>
        <w:t>8.1 离散—连续分层优化</w:t>
      </w:r>
    </w:p>
    <w:p>
      <w:r>
        <w:rPr>
          <w:rFonts w:ascii="Times New Roman" w:hAnsi="Times New Roman" w:eastAsia="宋体"/>
          <w:sz w:val="21"/>
        </w:rPr>
        <w:t>问题 5 要同时确定每架无人机的固定航迹、最多三枚弹的投放/起爆时序以及目标导弹。令 x_ijm∈{0,1} 表示无人机 i 的第 j 枚弹是否分配给导弹 m，并规定每枚弹至多服务一个目标：</w:t>
      </w:r>
    </w:p>
    <w:p>
      <w:pPr>
        <w:pStyle w:val="EquationCN"/>
        <w:keepLines/>
      </w:pPr>
      <w:r>
        <w:drawing>
          <wp:inline xmlns:a="http://schemas.openxmlformats.org/drawingml/2006/main" xmlns:pic="http://schemas.openxmlformats.org/drawingml/2006/picture">
            <wp:extent cx="2121408" cy="496824"/>
            <wp:docPr id="34" name="Picture 34"/>
            <wp:cNvGraphicFramePr>
              <a:graphicFrameLocks noChangeAspect="1"/>
            </wp:cNvGraphicFramePr>
            <a:graphic>
              <a:graphicData uri="http://schemas.openxmlformats.org/drawingml/2006/picture">
                <pic:pic>
                  <pic:nvPicPr>
                    <pic:cNvPr id="0" name="equation-6aa6a9c93b07759a.png"/>
                    <pic:cNvPicPr/>
                  </pic:nvPicPr>
                  <pic:blipFill>
                    <a:blip r:embed="rId43"/>
                    <a:stretch>
                      <a:fillRect/>
                    </a:stretch>
                  </pic:blipFill>
                  <pic:spPr>
                    <a:xfrm>
                      <a:off x="0" y="0"/>
                      <a:ext cx="2121408" cy="496824"/>
                    </a:xfrm>
                    <a:prstGeom prst="rect"/>
                  </pic:spPr>
                </pic:pic>
              </a:graphicData>
            </a:graphic>
          </wp:inline>
        </w:drawing>
      </w:r>
    </w:p>
    <w:p>
      <w:r>
        <w:rPr>
          <w:rFonts w:ascii="Times New Roman" w:hAnsi="Times New Roman" w:eastAsia="宋体"/>
          <w:sz w:val="21"/>
        </w:rPr>
        <w:t>若 E_ijm 是该弹对导弹 m 的有效区间，则第 m 枚导弹获得的覆盖为</w:t>
      </w:r>
    </w:p>
    <w:p>
      <w:pPr>
        <w:pStyle w:val="EquationCN"/>
        <w:keepLines/>
      </w:pPr>
      <w:r>
        <w:drawing>
          <wp:inline xmlns:a="http://schemas.openxmlformats.org/drawingml/2006/main" xmlns:pic="http://schemas.openxmlformats.org/drawingml/2006/picture">
            <wp:extent cx="2636520" cy="505968"/>
            <wp:docPr id="35" name="Picture 35"/>
            <wp:cNvGraphicFramePr>
              <a:graphicFrameLocks noChangeAspect="1"/>
            </wp:cNvGraphicFramePr>
            <a:graphic>
              <a:graphicData uri="http://schemas.openxmlformats.org/drawingml/2006/picture">
                <pic:pic>
                  <pic:nvPicPr>
                    <pic:cNvPr id="0" name="equation-24f2604486b3fda9.png"/>
                    <pic:cNvPicPr/>
                  </pic:nvPicPr>
                  <pic:blipFill>
                    <a:blip r:embed="rId44"/>
                    <a:stretch>
                      <a:fillRect/>
                    </a:stretch>
                  </pic:blipFill>
                  <pic:spPr>
                    <a:xfrm>
                      <a:off x="0" y="0"/>
                      <a:ext cx="2636520" cy="505968"/>
                    </a:xfrm>
                    <a:prstGeom prst="rect"/>
                  </pic:spPr>
                </pic:pic>
              </a:graphicData>
            </a:graphic>
          </wp:inline>
        </w:drawing>
      </w:r>
    </w:p>
    <w:p>
      <w:r>
        <w:rPr>
          <w:rFonts w:ascii="Times New Roman" w:hAnsi="Times New Roman" w:eastAsia="宋体"/>
          <w:sz w:val="21"/>
        </w:rPr>
        <w:t>同一无人机所有弹共享 φ_i、v_i，并满足相邻投放间隔不少于 1 s。不同导弹的覆盖可以分别计入总目标，但同一导弹上的重叠区间只能计一次。为避免优化器只集中保护容易获得收益的 M1，候选组合阶段还要求三个 μ(E_m) 均为正。</w:t>
      </w:r>
    </w:p>
    <w:p>
      <w:r>
        <w:rPr>
          <w:rFonts w:ascii="Times New Roman" w:hAnsi="Times New Roman" w:eastAsia="宋体"/>
          <w:sz w:val="21"/>
        </w:rPr>
        <w:t>若直接对全部变量做一次高维启发式搜索，除 10 个航迹变量外，15 枚弹还各有投放、引信和离散目标变量，且严格判据造成大量零值平台。离散目标编号的微小变化也不会产生可用于连续搜索的梯度。本文采用四层求解：</w:t>
      </w:r>
    </w:p>
    <w:p>
      <w:pPr>
        <w:spacing w:line="276" w:lineRule="auto"/>
        <w:ind w:left="420" w:hanging="210"/>
      </w:pPr>
      <w:r>
        <w:rPr>
          <w:rFonts w:ascii="Times New Roman" w:hAnsi="Times New Roman" w:eastAsia="宋体"/>
          <w:sz w:val="21"/>
        </w:rPr>
        <w:t>1. 对 15 个“无人机—导弹”组合进行连续路径搜索，形成可行航迹种子；</w:t>
      </w:r>
    </w:p>
    <w:p>
      <w:pPr>
        <w:spacing w:line="276" w:lineRule="auto"/>
        <w:ind w:left="420" w:hanging="210"/>
      </w:pPr>
      <w:r>
        <w:rPr>
          <w:rFonts w:ascii="Times New Roman" w:hAnsi="Times New Roman" w:eastAsia="宋体"/>
          <w:sz w:val="21"/>
        </w:rPr>
        <w:t>2. 在固定航迹上生成单弹原子候选库；</w:t>
      </w:r>
    </w:p>
    <w:p>
      <w:pPr>
        <w:spacing w:line="276" w:lineRule="auto"/>
        <w:ind w:left="420" w:hanging="210"/>
      </w:pPr>
      <w:r>
        <w:rPr>
          <w:rFonts w:ascii="Times New Roman" w:hAnsi="Times New Roman" w:eastAsia="宋体"/>
          <w:sz w:val="21"/>
        </w:rPr>
        <w:t>3. 对每架无人机筛选满足 1 s 投放间隔的 1—3 弹组合；</w:t>
      </w:r>
    </w:p>
    <w:p>
      <w:pPr>
        <w:spacing w:line="276" w:lineRule="auto"/>
        <w:ind w:left="420" w:hanging="210"/>
      </w:pPr>
      <w:r>
        <w:rPr>
          <w:rFonts w:ascii="Times New Roman" w:hAnsi="Times New Roman" w:eastAsia="宋体"/>
          <w:sz w:val="21"/>
        </w:rPr>
        <w:t>4. 枚举五架无人机组合，要求 M1、M2、M3 均获得正覆盖，最大化三枚导弹各自区间并集时长之和。</w:t>
      </w:r>
    </w:p>
    <w:p>
      <w:r>
        <w:rPr>
          <w:rFonts w:ascii="Times New Roman" w:hAnsi="Times New Roman" w:eastAsia="宋体"/>
          <w:sz w:val="21"/>
        </w:rPr>
        <w:t>第一层共处理 5×3=15 个机—弹组合；每个组合先用连续接近度找到非零区域，再做中心视线和完整圆柱搜索。第二层在固定航迹上改变投放与引信，所得原子候选保存目标编号、时序和完整圆柱有效区间。第三层只枚举满足 1 s 间隔的机内组合，并用“各目标区间并集收益”去除明显劣势方案。第四层再组合五架无人机的代表方案。FY1 候选库额外加入问题 3 已验证的连续覆盖航迹，使早期 M1 区间不会因单弹筛选而丢失。</w:t>
      </w:r>
    </w:p>
    <w:p>
      <w:r>
        <w:rPr>
          <w:rFonts w:ascii="Times New Roman" w:hAnsi="Times New Roman" w:eastAsia="宋体"/>
          <w:sz w:val="21"/>
        </w:rPr>
        <w:t>这种分解的本质是用可复算的候选集合替代不可承受的全连续组合空间。任何输出方案都满足原问题约束，因此目标值是连续原问题的可行下界；但候选筛选可能漏掉某条在单弹上一般、与其他弹组合后却更优的航迹，所以不能将 30.325721 s 宣称为全局最优。</w:t>
      </w:r>
    </w:p>
    <w:p>
      <w:pPr>
        <w:keepNext/>
        <w:spacing w:before="60" w:after="0"/>
        <w:ind w:firstLine="0"/>
        <w:jc w:val="center"/>
      </w:pPr>
      <w:r>
        <w:drawing>
          <wp:inline xmlns:a="http://schemas.openxmlformats.org/drawingml/2006/main" xmlns:pic="http://schemas.openxmlformats.org/drawingml/2006/picture">
            <wp:extent cx="5328000" cy="2215560"/>
            <wp:docPr id="36" name="Picture 36"/>
            <wp:cNvGraphicFramePr>
              <a:graphicFrameLocks noChangeAspect="1"/>
            </wp:cNvGraphicFramePr>
            <a:graphic>
              <a:graphicData uri="http://schemas.openxmlformats.org/drawingml/2006/picture">
                <pic:pic>
                  <pic:nvPicPr>
                    <pic:cNvPr id="0" name="problem5_fig2_allocation_matrix-d0d53da5fd72b0d3.jpg"/>
                    <pic:cNvPicPr/>
                  </pic:nvPicPr>
                  <pic:blipFill>
                    <a:blip r:embed="rId45"/>
                    <a:stretch>
                      <a:fillRect/>
                    </a:stretch>
                  </pic:blipFill>
                  <pic:spPr>
                    <a:xfrm>
                      <a:off x="0" y="0"/>
                      <a:ext cx="5328000" cy="2215560"/>
                    </a:xfrm>
                    <a:prstGeom prst="rect"/>
                  </pic:spPr>
                </pic:pic>
              </a:graphicData>
            </a:graphic>
          </wp:inline>
        </w:drawing>
      </w:r>
    </w:p>
    <w:p>
      <w:pPr>
        <w:pStyle w:val="CaptionCN"/>
      </w:pPr>
      <w:r>
        <w:rPr>
          <w:rFonts w:ascii="Times New Roman" w:hAnsi="Times New Roman" w:eastAsia="宋体"/>
          <w:sz w:val="18"/>
        </w:rPr>
        <w:t>图 13  五机三导弹的任务分配矩阵</w:t>
      </w:r>
    </w:p>
    <w:p>
      <w:pPr>
        <w:pStyle w:val="Heading2"/>
      </w:pPr>
      <w:r>
        <w:t>8.2 最终方案</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cantSplit/>
          <w:tblHeader w:val="true"/>
        </w:trPr>
        <w:tc>
          <w:tcPr>
            <w:tcW w:type="dxa" w:w="181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无人机</w:t>
            </w:r>
          </w:p>
        </w:tc>
        <w:tc>
          <w:tcPr>
            <w:tcW w:type="dxa" w:w="181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航向角</w:t>
            </w:r>
          </w:p>
        </w:tc>
        <w:tc>
          <w:tcPr>
            <w:tcW w:type="dxa" w:w="181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速度/(m/s)</w:t>
            </w:r>
          </w:p>
        </w:tc>
        <w:tc>
          <w:tcPr>
            <w:tcW w:type="dxa" w:w="181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投弹数</w:t>
            </w:r>
          </w:p>
        </w:tc>
        <w:tc>
          <w:tcPr>
            <w:tcW w:type="dxa" w:w="181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目标分配</w:t>
            </w:r>
          </w:p>
        </w:tc>
      </w:tr>
      <w:tr>
        <w:trPr>
          <w:cantSplit/>
        </w:trPr>
        <w:tc>
          <w:tcPr>
            <w:tcW w:type="dxa" w:w="181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FY1</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9.236484°</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103.596493</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2</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M1×2</w:t>
            </w:r>
          </w:p>
        </w:tc>
      </w:tr>
      <w:tr>
        <w:trPr>
          <w:cantSplit/>
        </w:trPr>
        <w:tc>
          <w:tcPr>
            <w:tcW w:type="dxa" w:w="181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FY2</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280.191921°</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119.746503</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2</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M2×1，M1×1</w:t>
            </w:r>
          </w:p>
        </w:tc>
      </w:tr>
      <w:tr>
        <w:trPr>
          <w:cantSplit/>
        </w:trPr>
        <w:tc>
          <w:tcPr>
            <w:tcW w:type="dxa" w:w="181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FY3</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88.902583°</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124.824214</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3</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M3、M1、M2 各 1</w:t>
            </w:r>
          </w:p>
        </w:tc>
      </w:tr>
      <w:tr>
        <w:trPr>
          <w:cantSplit/>
        </w:trPr>
        <w:tc>
          <w:tcPr>
            <w:tcW w:type="dxa" w:w="181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FY4</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306.510863°</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138.778282</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M2×1</w:t>
            </w:r>
          </w:p>
        </w:tc>
      </w:tr>
      <w:tr>
        <w:trPr>
          <w:cantSplit/>
        </w:trPr>
        <w:tc>
          <w:tcPr>
            <w:tcW w:type="dxa" w:w="181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FY5</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115.190248°</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138.899763</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M3×1</w:t>
            </w:r>
          </w:p>
        </w:tc>
      </w:tr>
    </w:tbl>
    <w:p>
      <w:pPr>
        <w:spacing w:after="0" w:line="120" w:lineRule="auto"/>
      </w:pPr>
    </w:p>
    <w:p>
      <w:r>
        <w:rPr>
          <w:rFonts w:ascii="Times New Roman" w:hAnsi="Times New Roman" w:eastAsia="宋体"/>
          <w:sz w:val="21"/>
        </w:rPr>
        <w:t>具体投放时序如下。表中每一行均对应结果模板中的一枚有效弹，空余 6 个投弹名额不使用。</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rPr>
          <w:cantSplit/>
          <w:tblHeader w:val="true"/>
        </w:trPr>
        <w:tc>
          <w:tcPr>
            <w:tcW w:type="dxa" w:w="1512"/>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弹号</w:t>
            </w:r>
          </w:p>
        </w:tc>
        <w:tc>
          <w:tcPr>
            <w:tcW w:type="dxa" w:w="1512"/>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目标</w:t>
            </w:r>
          </w:p>
        </w:tc>
        <w:tc>
          <w:tcPr>
            <w:tcW w:type="dxa" w:w="1512"/>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投放时刻/s</w:t>
            </w:r>
          </w:p>
        </w:tc>
        <w:tc>
          <w:tcPr>
            <w:tcW w:type="dxa" w:w="1512"/>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引信延迟/s</w:t>
            </w:r>
          </w:p>
        </w:tc>
        <w:tc>
          <w:tcPr>
            <w:tcW w:type="dxa" w:w="1512"/>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有效区间/s</w:t>
            </w:r>
          </w:p>
        </w:tc>
        <w:tc>
          <w:tcPr>
            <w:tcW w:type="dxa" w:w="1512"/>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时长/s</w:t>
            </w:r>
          </w:p>
        </w:tc>
      </w:tr>
      <w:tr>
        <w:trPr>
          <w:cantSplit/>
        </w:trPr>
        <w:tc>
          <w:tcPr>
            <w:tcW w:type="dxa" w:w="1512"/>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FY1-1</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M1</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0.000000</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0.005102</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[4.824835,7.401397]</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2.576562</w:t>
            </w:r>
          </w:p>
        </w:tc>
      </w:tr>
      <w:tr>
        <w:trPr>
          <w:cantSplit/>
        </w:trPr>
        <w:tc>
          <w:tcPr>
            <w:tcW w:type="dxa" w:w="1512"/>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FY1-2</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M1</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1.000000</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0.000000</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[1.000001,4.824884]</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3.824883</w:t>
            </w:r>
          </w:p>
        </w:tc>
      </w:tr>
      <w:tr>
        <w:trPr>
          <w:cantSplit/>
        </w:trPr>
        <w:tc>
          <w:tcPr>
            <w:tcW w:type="dxa" w:w="1512"/>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FY2-1</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M2</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5.143517</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3.079829</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[8.595608,12.508738]</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3.913130</w:t>
            </w:r>
          </w:p>
        </w:tc>
      </w:tr>
      <w:tr>
        <w:trPr>
          <w:cantSplit/>
        </w:trPr>
        <w:tc>
          <w:tcPr>
            <w:tcW w:type="dxa" w:w="1512"/>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FY2-2</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M1</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6.183406</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5.497307</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[18.678242,22.447948]</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3.769707</w:t>
            </w:r>
          </w:p>
        </w:tc>
      </w:tr>
      <w:tr>
        <w:trPr>
          <w:cantSplit/>
        </w:trPr>
        <w:tc>
          <w:tcPr>
            <w:tcW w:type="dxa" w:w="1512"/>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FY3-1</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M3</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19.792127</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3.321241</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[23.173809,26.109488]</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2.935678</w:t>
            </w:r>
          </w:p>
        </w:tc>
      </w:tr>
      <w:tr>
        <w:trPr>
          <w:cantSplit/>
        </w:trPr>
        <w:tc>
          <w:tcPr>
            <w:tcW w:type="dxa" w:w="1512"/>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FY3-2</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M1</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21.052144</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3.597930</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[32.788956,35.618788]</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2.829832</w:t>
            </w:r>
          </w:p>
        </w:tc>
      </w:tr>
      <w:tr>
        <w:trPr>
          <w:cantSplit/>
        </w:trPr>
        <w:tc>
          <w:tcPr>
            <w:tcW w:type="dxa" w:w="1512"/>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FY3-3</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M2</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24.108707</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2.153404</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[26.540972,29.468152]</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2.927180</w:t>
            </w:r>
          </w:p>
        </w:tc>
      </w:tr>
      <w:tr>
        <w:trPr>
          <w:cantSplit/>
        </w:trPr>
        <w:tc>
          <w:tcPr>
            <w:tcW w:type="dxa" w:w="1512"/>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FY4-1</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M2</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4.666304</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9.563953</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[14.244630,18.042023]</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3.797393</w:t>
            </w:r>
          </w:p>
        </w:tc>
      </w:tr>
      <w:tr>
        <w:trPr>
          <w:cantSplit/>
        </w:trPr>
        <w:tc>
          <w:tcPr>
            <w:tcW w:type="dxa" w:w="1512"/>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FY5-1</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M3</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12.246622</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0.576730</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[12.903942,16.655346]</w:t>
            </w:r>
          </w:p>
        </w:tc>
        <w:tc>
          <w:tcPr>
            <w:tcW w:type="dxa" w:w="1512"/>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3.751405</w:t>
            </w:r>
          </w:p>
        </w:tc>
      </w:tr>
    </w:tbl>
    <w:p>
      <w:pPr>
        <w:spacing w:after="0" w:line="120" w:lineRule="auto"/>
      </w:pP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导弹</w:t>
            </w:r>
          </w:p>
        </w:tc>
        <w:tc>
          <w:tcPr>
            <w:tcW w:type="dxa" w:w="302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有效区间并集 / s</w:t>
            </w:r>
          </w:p>
        </w:tc>
        <w:tc>
          <w:tcPr>
            <w:tcW w:type="dxa" w:w="302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并集时长 / s</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M1</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[1.000001,7.401397]；[18.678242,22.447948]；[32.788956,35.618788]</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b/>
                <w:sz w:val="17"/>
              </w:rPr>
              <w:t>13.000935</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M2</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[8.595608,12.508738]；[14.244630,18.042023]；[26.540972,29.468152]</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b/>
                <w:sz w:val="17"/>
              </w:rPr>
              <w:t>10.637703</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M3</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[12.903942,16.655346]；[23.173809,26.109488]</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b/>
                <w:sz w:val="17"/>
              </w:rPr>
              <w:t>6.687083</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b/>
                <w:sz w:val="17"/>
              </w:rPr>
              <w:t>总计</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b/>
                <w:sz w:val="17"/>
              </w:rPr>
              <w:t>30.325721</w:t>
            </w:r>
          </w:p>
        </w:tc>
      </w:tr>
    </w:tbl>
    <w:p>
      <w:pPr>
        <w:spacing w:after="0" w:line="120" w:lineRule="auto"/>
      </w:pPr>
    </w:p>
    <w:p>
      <w:pPr>
        <w:keepNext/>
        <w:spacing w:before="60" w:after="0"/>
        <w:ind w:firstLine="0"/>
        <w:jc w:val="center"/>
      </w:pPr>
      <w:r>
        <w:drawing>
          <wp:inline xmlns:a="http://schemas.openxmlformats.org/drawingml/2006/main" xmlns:pic="http://schemas.openxmlformats.org/drawingml/2006/picture">
            <wp:extent cx="5328000" cy="3041400"/>
            <wp:docPr id="37" name="Picture 37"/>
            <wp:cNvGraphicFramePr>
              <a:graphicFrameLocks noChangeAspect="1"/>
            </wp:cNvGraphicFramePr>
            <a:graphic>
              <a:graphicData uri="http://schemas.openxmlformats.org/drawingml/2006/picture">
                <pic:pic>
                  <pic:nvPicPr>
                    <pic:cNvPr id="0" name="problem5_fig3_coverage_gantt-5c4965285727c1de.jpg"/>
                    <pic:cNvPicPr/>
                  </pic:nvPicPr>
                  <pic:blipFill>
                    <a:blip r:embed="rId46"/>
                    <a:stretch>
                      <a:fillRect/>
                    </a:stretch>
                  </pic:blipFill>
                  <pic:spPr>
                    <a:xfrm>
                      <a:off x="0" y="0"/>
                      <a:ext cx="5328000" cy="3041400"/>
                    </a:xfrm>
                    <a:prstGeom prst="rect"/>
                  </pic:spPr>
                </pic:pic>
              </a:graphicData>
            </a:graphic>
          </wp:inline>
        </w:drawing>
      </w:r>
    </w:p>
    <w:p>
      <w:pPr>
        <w:pStyle w:val="CaptionCN"/>
      </w:pPr>
      <w:r>
        <w:rPr>
          <w:rFonts w:ascii="Times New Roman" w:hAnsi="Times New Roman" w:eastAsia="宋体"/>
          <w:sz w:val="18"/>
        </w:rPr>
        <w:t>图 14  九枚干扰弹的投放、起爆与有效区间</w:t>
      </w:r>
    </w:p>
    <w:p>
      <w:pPr>
        <w:keepNext/>
        <w:spacing w:before="60" w:after="0"/>
        <w:ind w:firstLine="0"/>
        <w:jc w:val="center"/>
      </w:pPr>
      <w:r>
        <w:drawing>
          <wp:inline xmlns:a="http://schemas.openxmlformats.org/drawingml/2006/main" xmlns:pic="http://schemas.openxmlformats.org/drawingml/2006/picture">
            <wp:extent cx="5328000" cy="3409920"/>
            <wp:docPr id="38" name="Picture 38"/>
            <wp:cNvGraphicFramePr>
              <a:graphicFrameLocks noChangeAspect="1"/>
            </wp:cNvGraphicFramePr>
            <a:graphic>
              <a:graphicData uri="http://schemas.openxmlformats.org/drawingml/2006/picture">
                <pic:pic>
                  <pic:nvPicPr>
                    <pic:cNvPr id="0" name="problem5_fig4_coverage_timeline-c105a8a979c82475.jpg"/>
                    <pic:cNvPicPr/>
                  </pic:nvPicPr>
                  <pic:blipFill>
                    <a:blip r:embed="rId47"/>
                    <a:stretch>
                      <a:fillRect/>
                    </a:stretch>
                  </pic:blipFill>
                  <pic:spPr>
                    <a:xfrm>
                      <a:off x="0" y="0"/>
                      <a:ext cx="5328000" cy="3409920"/>
                    </a:xfrm>
                    <a:prstGeom prst="rect"/>
                  </pic:spPr>
                </pic:pic>
              </a:graphicData>
            </a:graphic>
          </wp:inline>
        </w:drawing>
      </w:r>
    </w:p>
    <w:p>
      <w:pPr>
        <w:pStyle w:val="CaptionCN"/>
      </w:pPr>
      <w:r>
        <w:rPr>
          <w:rFonts w:ascii="Times New Roman" w:hAnsi="Times New Roman" w:eastAsia="宋体"/>
          <w:sz w:val="18"/>
        </w:rPr>
        <w:t>图 15  三枚导弹的联合覆盖状态与累计时长</w:t>
      </w:r>
    </w:p>
    <w:p>
      <w:r>
        <w:rPr>
          <w:rFonts w:ascii="Times New Roman" w:hAnsi="Times New Roman" w:eastAsia="宋体"/>
          <w:sz w:val="21"/>
        </w:rPr>
        <w:t>FY1 的两枚弹负责形成 M1 的早期连续覆盖；FY2、FY4 分别填充 M2 的前两段，FY3 在后期同时向三个目标分配不同弹，FY5 补充 M3 的早期区间。各无人机的固定航迹约束均在机内候选阶段检查：FY2 两次投放相隔 1.039890 s，FY3 两段间隔为 1.260017 s 和 3.056563 s，其余多弹航迹也不小于 1 s。三枚导弹的有效区间均为正，说明目标平衡约束没有被牺牲。</w:t>
      </w:r>
    </w:p>
    <w:p>
      <w:pPr>
        <w:spacing w:before="60" w:after="60"/>
        <w:ind w:firstLine="0" w:left="283" w:right="283"/>
      </w:pPr>
      <w:r>
        <w:rPr>
          <w:rFonts w:ascii="Times New Roman" w:hAnsi="Times New Roman" w:eastAsia="宋体"/>
          <w:i/>
          <w:color w:val="595959"/>
          <w:sz w:val="18"/>
        </w:rPr>
        <w:t>AI辅助标注：问题 5 的候选库分层算法、程序、结果表、图表和结论边界由 OpenAI Codex 辅助生成；用户已完成阶段 F 人工复核。</w:t>
      </w:r>
    </w:p>
    <w:p>
      <w:pPr>
        <w:pStyle w:val="Heading1"/>
      </w:pPr>
      <w:r>
        <w:t>9 模型检验与敏感性分析</w:t>
      </w:r>
    </w:p>
    <w:p>
      <w:pPr>
        <w:pStyle w:val="Heading2"/>
      </w:pPr>
      <w:r>
        <w:t>9.1 空间离散收敛</w:t>
      </w:r>
    </w:p>
    <w:p>
      <w:r>
        <w:rPr>
          <w:rFonts w:ascii="Times New Roman" w:hAnsi="Times New Roman" w:eastAsia="宋体"/>
          <w:sz w:val="21"/>
        </w:rPr>
        <w:t>完整圆柱判据由离散边界点近似，必须确认点数不会主导结论。逐步增加周向点数后得到：</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问题</w:t>
            </w:r>
          </w:p>
        </w:tc>
        <w:tc>
          <w:tcPr>
            <w:tcW w:type="dxa" w:w="2268"/>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低分辨率结果/s</w:t>
            </w:r>
          </w:p>
        </w:tc>
        <w:tc>
          <w:tcPr>
            <w:tcW w:type="dxa" w:w="2268"/>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高分辨率结果/s</w:t>
            </w:r>
          </w:p>
        </w:tc>
        <w:tc>
          <w:tcPr>
            <w:tcW w:type="dxa" w:w="2268"/>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最大差值/s</w:t>
            </w:r>
          </w:p>
        </w:tc>
      </w:tr>
      <w:tr>
        <w:trPr>
          <w:cantSplit/>
        </w:trPr>
        <w:tc>
          <w:tcPr>
            <w:tcW w:type="dxa" w:w="2268"/>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1：360→2880 点</w:t>
            </w:r>
          </w:p>
        </w:tc>
        <w:tc>
          <w:tcPr>
            <w:tcW w:type="dxa" w:w="2268"/>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1.391643</w:t>
            </w:r>
          </w:p>
        </w:tc>
        <w:tc>
          <w:tcPr>
            <w:tcW w:type="dxa" w:w="2268"/>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1.391643</w:t>
            </w:r>
          </w:p>
        </w:tc>
        <w:tc>
          <w:tcPr>
            <w:tcW w:type="dxa" w:w="2268"/>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&lt;5×10⁻⁷</w:t>
            </w:r>
          </w:p>
        </w:tc>
      </w:tr>
      <w:tr>
        <w:trPr>
          <w:cantSplit/>
        </w:trPr>
        <w:tc>
          <w:tcPr>
            <w:tcW w:type="dxa" w:w="2268"/>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2：180→1440 点</w:t>
            </w:r>
          </w:p>
        </w:tc>
        <w:tc>
          <w:tcPr>
            <w:tcW w:type="dxa" w:w="2268"/>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4.587672319</w:t>
            </w:r>
          </w:p>
        </w:tc>
        <w:tc>
          <w:tcPr>
            <w:tcW w:type="dxa" w:w="2268"/>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4.587671681</w:t>
            </w:r>
          </w:p>
        </w:tc>
        <w:tc>
          <w:tcPr>
            <w:tcW w:type="dxa" w:w="2268"/>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6.38×10⁻⁷</w:t>
            </w:r>
          </w:p>
        </w:tc>
      </w:tr>
      <w:tr>
        <w:trPr>
          <w:cantSplit/>
        </w:trPr>
        <w:tc>
          <w:tcPr>
            <w:tcW w:type="dxa" w:w="2268"/>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3：180→1440 点</w:t>
            </w:r>
          </w:p>
        </w:tc>
        <w:tc>
          <w:tcPr>
            <w:tcW w:type="dxa" w:w="2268"/>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6.401396146</w:t>
            </w:r>
          </w:p>
        </w:tc>
        <w:tc>
          <w:tcPr>
            <w:tcW w:type="dxa" w:w="2268"/>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6.401395959</w:t>
            </w:r>
          </w:p>
        </w:tc>
        <w:tc>
          <w:tcPr>
            <w:tcW w:type="dxa" w:w="2268"/>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1.87×10⁻⁷</w:t>
            </w:r>
          </w:p>
        </w:tc>
      </w:tr>
      <w:tr>
        <w:trPr>
          <w:cantSplit/>
        </w:trPr>
        <w:tc>
          <w:tcPr>
            <w:tcW w:type="dxa" w:w="2268"/>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4：180→1440 点</w:t>
            </w:r>
          </w:p>
        </w:tc>
        <w:tc>
          <w:tcPr>
            <w:tcW w:type="dxa" w:w="2268"/>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11.632869908</w:t>
            </w:r>
          </w:p>
        </w:tc>
        <w:tc>
          <w:tcPr>
            <w:tcW w:type="dxa" w:w="2268"/>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11.632852718</w:t>
            </w:r>
          </w:p>
        </w:tc>
        <w:tc>
          <w:tcPr>
            <w:tcW w:type="dxa" w:w="2268"/>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1.72×10⁻⁵</w:t>
            </w:r>
          </w:p>
        </w:tc>
      </w:tr>
      <w:tr>
        <w:trPr>
          <w:cantSplit/>
        </w:trPr>
        <w:tc>
          <w:tcPr>
            <w:tcW w:type="dxa" w:w="2268"/>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5：360→720 点</w:t>
            </w:r>
          </w:p>
        </w:tc>
        <w:tc>
          <w:tcPr>
            <w:tcW w:type="dxa" w:w="2268"/>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30.325751405</w:t>
            </w:r>
          </w:p>
        </w:tc>
        <w:tc>
          <w:tcPr>
            <w:tcW w:type="dxa" w:w="2268"/>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30.325720665</w:t>
            </w:r>
          </w:p>
        </w:tc>
        <w:tc>
          <w:tcPr>
            <w:tcW w:type="dxa" w:w="2268"/>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3.07×10⁻⁵</w:t>
            </w:r>
          </w:p>
        </w:tc>
      </w:tr>
    </w:tbl>
    <w:p>
      <w:pPr>
        <w:spacing w:after="0" w:line="120" w:lineRule="auto"/>
      </w:pPr>
    </w:p>
    <w:p>
      <w:r>
        <w:rPr>
          <w:rFonts w:ascii="Times New Roman" w:hAnsi="Times New Roman" w:eastAsia="宋体"/>
          <w:sz w:val="21"/>
        </w:rPr>
        <w:t>全部差异均远小于正文保留 0.001 s 的报告精度，故最终数值的前三位小数不受圆柱周向离散影响。问题 5 从 90 点到 720 点的总时长依次为 30.327004、30.325924、30.325751、30.325721 s，呈稳定收敛趋势，也未出现粗网格下有效、细网格下完全失效的伪解。</w:t>
      </w:r>
    </w:p>
    <w:p>
      <w:pPr>
        <w:pStyle w:val="Heading2"/>
      </w:pPr>
      <w:r>
        <w:t>9.2 多起点与边界复核</w:t>
      </w:r>
    </w:p>
    <w:p>
      <w:r>
        <w:rPr>
          <w:rFonts w:ascii="Times New Roman" w:hAnsi="Times New Roman" w:eastAsia="宋体"/>
          <w:sz w:val="21"/>
        </w:rPr>
        <w:t>问题 2、3 使用多随机种子重复全局搜索，并保留代理目标与严格目标两套排名。问题 2 的缩减搜索稳定落入 3.954 s 次优盆地，而正式规模三组搜索均回到 4.588 s 主盆地，这一对照证明搜索规模会实际影响答案。问题 4、5 先以连续接近度寻找非零盆地，再用完整圆柱判据排序和精化，防止严格目标的零值平台吞没有效方向。</w:t>
      </w:r>
    </w:p>
    <w:p>
      <w:r>
        <w:rPr>
          <w:rFonts w:ascii="Times New Roman" w:hAnsi="Times New Roman" w:eastAsia="宋体"/>
          <w:sz w:val="21"/>
        </w:rPr>
        <w:t>所有有效区间端点均由时间扫描定位后二分求根。问题 1 的解析球面交点独立复核了 9.448088 s 的右端点；其余问题把复算后的 D(t)−10 在端点两侧分别检查为异号，确保区间不是由时间采样点“拼出来”的。</w:t>
      </w:r>
    </w:p>
    <w:p>
      <w:pPr>
        <w:pStyle w:val="Heading2"/>
      </w:pPr>
      <w:r>
        <w:t>9.3 物理与程序约束</w:t>
      </w:r>
    </w:p>
    <w:p>
      <w:r>
        <w:rPr>
          <w:rFonts w:ascii="Times New Roman" w:hAnsi="Times New Roman" w:eastAsia="宋体"/>
          <w:sz w:val="21"/>
        </w:rPr>
        <w:t>代码显式检查速度范围、非负投放/起爆时刻、起爆高度、20 s 烟幕寿命、同机投放间隔、固定航迹和导弹到达时刻。问题 1—5 共 39 个自动化测试全部通过，覆盖轨迹初值与连续性、抛体起爆点、烟幕下沉、线段投影截断、区间合并、参数双向转换、结果回归和模板输出。</w:t>
      </w:r>
    </w:p>
    <w:p>
      <w:r>
        <w:rPr>
          <w:rFonts w:ascii="Times New Roman" w:hAnsi="Times New Roman" w:eastAsia="宋体"/>
          <w:sz w:val="21"/>
        </w:rPr>
        <w:t>检验不是只比较最终时长：运动层检查 t=0 位置和投放前后连续性；几何层检查投影参数被正确限制在 [0,1]；集合层用人工构造的重叠区间检查并集合并；优化层检查解码后所有物理约束；输出层核对三个派生结果表与 JSON 数值一致。原始题目和原始模板的哈希保持不变，排除了结果写回时误改原始数据的风险。</w:t>
      </w:r>
    </w:p>
    <w:p>
      <w:pPr>
        <w:pStyle w:val="Heading2"/>
      </w:pPr>
      <w:r>
        <w:t>9.4 灵敏度与稳健性</w:t>
      </w:r>
    </w:p>
    <w:p>
      <w:r>
        <w:rPr>
          <w:rFonts w:ascii="Times New Roman" w:hAnsi="Times New Roman" w:eastAsia="宋体"/>
          <w:sz w:val="21"/>
        </w:rPr>
        <w:t>问题 2 对航向最敏感，偏差约 1.5° 即会明显缩短遮蔽；速度在当前范围内趋向上界，投放延迟也会快速损失时长。问题 3 的第二枚投放时刻需精确衔接第一枚区间。问题 4 中 FY2、FY3 的有效盆地比 FY1 更窄，说明远距离机动策略对航向和起爆时机的执行误差更敏感。</w:t>
      </w:r>
    </w:p>
    <w:p>
      <w:r>
        <w:rPr>
          <w:rFonts w:ascii="Times New Roman" w:hAnsi="Times New Roman" w:eastAsia="宋体"/>
          <w:sz w:val="21"/>
        </w:rPr>
        <w:t>这些单因素扫描回答的是“在其他参数保持不变时，某个参数偏差会怎样”，不能替代联合不确定性分析。若用于真实部署，可令航向误差、速度误差、响应延迟和风偏分别落在给定区间或概率分布内，最大化最坏情形或期望并集时长。本文未虚构这些误差分布，因此只把确定性灵敏度作为执行风险提示。</w:t>
      </w:r>
    </w:p>
    <w:p>
      <w:pPr>
        <w:pStyle w:val="Heading2"/>
      </w:pPr>
      <w:r>
        <w:t>9.5 检验结论与可证伪条件</w:t>
      </w:r>
    </w:p>
    <w:p>
      <w:r>
        <w:rPr>
          <w:rFonts w:ascii="Times New Roman" w:hAnsi="Times New Roman" w:eastAsia="宋体"/>
          <w:sz w:val="21"/>
        </w:rPr>
        <w:t>综合解析、数值和程序三类证据，本文按 0.001 s 报告的主要结果具有足够数值稳定性。但若出现以下任一情况，模型结论应重新计算：题意要求“部分轮廓被遮挡”而非完整圆柱；烟幕在风场中存在显著水平漂移；导弹不是匀速直线飞向原点；无人机存在最小转向或响应时间；或烟幕有效半径随浓度衰减。明确这些可证伪条件，有助于区分“程序算错”和“模型口径改变”。</w:t>
      </w:r>
    </w:p>
    <w:p>
      <w:pPr>
        <w:pStyle w:val="Heading1"/>
      </w:pPr>
      <w:r>
        <w:t>10 模型评价与改进</w:t>
      </w:r>
    </w:p>
    <w:p>
      <w:r>
        <w:rPr>
          <w:rFonts w:ascii="Times New Roman" w:hAnsi="Times New Roman" w:eastAsia="宋体"/>
          <w:sz w:val="21"/>
        </w:rPr>
        <w:t>本模型的优点是：统一处理五问；完整利用真目标圆柱尺寸；用线段而非无限直线避免几何误判；以区间并集消除重复计时；通过代理筛选、严格复算和收敛检查兼顾计算量与可信度；图表直接对应空间几何、目标地形、调度区间和算法收敛。</w:t>
      </w:r>
    </w:p>
    <w:p>
      <w:r>
        <w:rPr>
          <w:rFonts w:ascii="Times New Roman" w:hAnsi="Times New Roman" w:eastAsia="宋体"/>
          <w:sz w:val="21"/>
        </w:rPr>
        <w:t>局限在于：烟幕被理想化为无风、均匀、固定半径球体；完整圆柱边界仍是确定性离散；启发式算法不能给出连续原问题的解析全局最优证明；未建立执行误差和观测误差模型。后续可引入风场下的椭球烟幕、概率识别阈值、鲁棒/随机优化及区间算术上界，形成“期望收益—最坏情形—资源消耗”的多目标模型。</w:t>
      </w:r>
    </w:p>
    <w:p>
      <w:pPr>
        <w:pStyle w:val="Heading1"/>
      </w:pPr>
      <w:r>
        <w:t>11 结论</w:t>
      </w:r>
    </w:p>
    <w:p>
      <w:r>
        <w:rPr>
          <w:rFonts w:ascii="Times New Roman" w:hAnsi="Times New Roman" w:eastAsia="宋体"/>
          <w:sz w:val="21"/>
        </w:rPr>
        <w:t>完整圆柱视线判据给出了比目标中心近似更保守且与题面尺寸一致的口径。固定策略时长为 1.391643 s；FY1 单弹优化提升至 4.587672 s；同机三弹联合为 6.401396 s；FY1—FY3 三机单弹协同为 11.632853 s；五机三导弹方案以 9 枚有效弹获得 30.325721 s 的总有效遮蔽。结果表明，提高单弹布设质量、减少区间重叠并对离散任务与连续时序分层求解，是提升烟幕干扰效率的关键。</w:t>
      </w:r>
    </w:p>
    <w:p>
      <w:pPr>
        <w:pStyle w:val="Heading1"/>
      </w:pPr>
      <w:r>
        <w:t>参考文献</w:t>
      </w:r>
    </w:p>
    <w:p>
      <w:r>
        <w:rPr>
          <w:rFonts w:ascii="Times New Roman" w:hAnsi="Times New Roman" w:eastAsia="宋体"/>
          <w:sz w:val="21"/>
        </w:rPr>
        <w:t>[1] 全国大学生数学建模竞赛组委会. 2025 年全国大学生数学建模竞赛 A 题：烟幕干扰弹的投放策略[EB/OL]. 2025.</w:t>
      </w:r>
    </w:p>
    <w:p>
      <w:r>
        <w:rPr>
          <w:rFonts w:ascii="Times New Roman" w:hAnsi="Times New Roman" w:eastAsia="宋体"/>
          <w:sz w:val="21"/>
        </w:rPr>
        <w:t>[2] 全国大学生数学建模竞赛组委会. 全国大学生数学建模竞赛论文格式规范（2013 年 8 月 26 日修改）[EB/OL]. https://www.mcm.edu.cn/html_cn/node/7a3db051b4bfcfb21cf53f847463ad84.html.</w:t>
      </w:r>
    </w:p>
    <w:p>
      <w:r>
        <w:rPr>
          <w:rFonts w:ascii="Times New Roman" w:hAnsi="Times New Roman" w:eastAsia="宋体"/>
          <w:sz w:val="21"/>
        </w:rPr>
        <w:t>[3] 全国大学生数学建模竞赛组委会. 2025 年全国大学生数学建模竞赛参赛规则与提交说明[EB/OL]. https://www.mcm.edu.cn/upload_cn/node/745/ogFWOgXVc36c27bb3ee3adf21e06f53146b03585.pdf.</w:t>
      </w:r>
    </w:p>
    <w:p>
      <w:r>
        <w:rPr>
          <w:rFonts w:ascii="Times New Roman" w:hAnsi="Times New Roman" w:eastAsia="宋体"/>
          <w:sz w:val="21"/>
        </w:rPr>
        <w:t>[4] 全国大学生数学建模竞赛组委会. 关于在竞赛中使用 AI 工具的规定[EB/OL]. https://www.mcm.edu.cn/html_cn/node/eebcfb6dc37fd2de9603dc16026fdf01.html.</w:t>
      </w:r>
    </w:p>
    <w:p>
      <w:r>
        <w:rPr>
          <w:rFonts w:ascii="Times New Roman" w:hAnsi="Times New Roman" w:eastAsia="宋体"/>
          <w:sz w:val="21"/>
        </w:rPr>
        <w:t>[5] STORN R, PRICE K. Differential Evolution—A Simple and Efficient Heuristic for Global Optimization over Continuous Spaces[J]. Journal of Global Optimization, 1997, 11: 341–359.</w:t>
      </w:r>
    </w:p>
    <w:p>
      <w:r>
        <w:rPr>
          <w:rFonts w:ascii="Times New Roman" w:hAnsi="Times New Roman" w:eastAsia="宋体"/>
          <w:sz w:val="21"/>
        </w:rPr>
        <w:t>[6] OpenAI. OpenAI Codex（实际模型标识待从会话界面核对）[CP/OL]. 使用日期：2026-07-30—2026-07-31.</w:t>
      </w:r>
    </w:p>
    <w:p>
      <w:pPr>
        <w:pStyle w:val="Heading1"/>
      </w:pPr>
      <w:r>
        <w:t>附录 A 复现说明</w:t>
      </w:r>
    </w:p>
    <w:p>
      <w:r>
        <w:rPr>
          <w:rFonts w:ascii="Times New Roman" w:hAnsi="Times New Roman" w:eastAsia="宋体"/>
          <w:sz w:val="21"/>
        </w:rPr>
        <w:t>项目在 Windows 11、Python 3.12.5、NumPy 2.4.3、Matplotlib 3.10.8 环境完成。支撑材料包含问题 1—5 的全部 Python 源代码、自动化测试、JSON/CSV 数值结果、三个官方结果表派生副本和 AI 工具使用详情。核心复现命令为：</w:t>
      </w:r>
    </w:p>
    <w:p>
      <w:pPr>
        <w:spacing w:before="60" w:after="60"/>
        <w:ind w:firstLine="0" w:left="340" w:right="227"/>
      </w:pPr>
      <w:r>
        <w:rPr>
          <w:rFonts w:ascii="Consolas" w:hAnsi="Consolas" w:eastAsia="等线"/>
          <w:sz w:val="16"/>
        </w:rPr>
        <w:t>python -m unittest discover -s Code/tests -p "test_*.py" -v</w:t>
      </w:r>
      <w:r>
        <w:br/>
      </w:r>
      <w:r>
        <w:rPr>
          <w:rFonts w:ascii="Consolas" w:hAnsi="Consolas" w:eastAsia="等线"/>
          <w:sz w:val="16"/>
        </w:rPr>
        <w:t>python Code/src/run_problem1.py --output-dir Code/outputs --figure-dir Paper/figures</w:t>
      </w:r>
      <w:r>
        <w:br/>
      </w:r>
      <w:r>
        <w:rPr>
          <w:rFonts w:ascii="Consolas" w:hAnsi="Consolas" w:eastAsia="等线"/>
          <w:sz w:val="16"/>
        </w:rPr>
        <w:t>...</w:t>
      </w:r>
      <w:r>
        <w:br/>
      </w:r>
      <w:r>
        <w:rPr>
          <w:rFonts w:ascii="Consolas" w:hAnsi="Consolas" w:eastAsia="等线"/>
          <w:sz w:val="16"/>
        </w:rPr>
        <w:t>python Code/src/run_problem5.py --output-dir Code/outputs --figure-dir Paper/figures</w:t>
      </w:r>
    </w:p>
    <w:p>
      <w:pPr>
        <w:spacing w:before="60" w:after="60"/>
        <w:ind w:firstLine="0" w:left="283" w:right="283"/>
      </w:pPr>
      <w:r>
        <w:rPr>
          <w:rFonts w:ascii="Times New Roman" w:hAnsi="Times New Roman" w:eastAsia="宋体"/>
          <w:i/>
          <w:color w:val="595959"/>
          <w:sz w:val="18"/>
        </w:rPr>
        <w:t>AI辅助标注：本文摘要、正文整合、公式排版、图表选择与附录说明由 OpenAI Codex 辅助生成；全部数值来自项目内可复现程序和机器可读结果，用户已逐问题复核，阶段 G 终稿仍需进行最终版面人工确认。</w:t>
      </w:r>
    </w:p>
    <w:sectPr>
      <w:footerReference w:type="default" r:id="rId9"/>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Rule="auto" w:line="283" w:after="0"/>
      <w:ind w:firstLine="420"/>
      <w:jc w:val="both"/>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ind w:firstLine="0"/>
      <w:outlineLvl w:val="0"/>
    </w:pPr>
    <w:rPr>
      <w:rFonts w:asciiTheme="majorHAnsi" w:eastAsiaTheme="majorEastAsia" w:hAnsiTheme="majorHAnsi" w:cstheme="majorBidi" w:ascii="Times New Roman" w:hAnsi="Times New Roman"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60" w:after="80"/>
      <w:ind w:firstLine="0"/>
      <w:outlineLvl w:val="1"/>
    </w:pPr>
    <w:rPr>
      <w:rFonts w:asciiTheme="majorHAnsi" w:eastAsiaTheme="majorEastAsia" w:hAnsiTheme="majorHAnsi" w:cstheme="majorBidi" w:ascii="Times New Roman" w:hAnsi="Times New Roman" w:eastAsia="黑体"/>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120" w:after="60"/>
      <w:ind w:firstLine="0"/>
      <w:outlineLvl w:val="2"/>
    </w:pPr>
    <w:rPr>
      <w:rFonts w:asciiTheme="majorHAnsi" w:eastAsiaTheme="majorEastAsia" w:hAnsiTheme="majorHAnsi" w:cstheme="majorBidi" w:ascii="Times New Roman" w:hAnsi="Times New Roman" w:eastAsia="黑体"/>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0" w:line="276" w:lineRule="auto"/>
      <w:ind w:left="420" w:hanging="210"/>
      <w:contextualSpacing/>
    </w:pPr>
    <w:rPr>
      <w:rFonts w:ascii="Times New Roman" w:hAnsi="Times New Roman" w:eastAsia="宋体"/>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0" w:line="276" w:lineRule="auto"/>
      <w:ind w:left="420" w:hanging="210"/>
      <w:contextualSpacing/>
    </w:pPr>
    <w:rPr>
      <w:rFonts w:ascii="Times New Roman" w:hAnsi="Times New Roman" w:eastAsia="宋体"/>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N">
    <w:name w:val="Caption CN"/>
    <w:pPr>
      <w:keepNext/>
      <w:spacing w:before="40" w:after="100"/>
      <w:ind w:firstLine="0"/>
      <w:jc w:val="center"/>
    </w:pPr>
    <w:rPr>
      <w:rFonts w:ascii="Times New Roman" w:hAnsi="Times New Roman" w:eastAsia="宋体"/>
      <w:sz w:val="18"/>
    </w:rPr>
  </w:style>
  <w:style w:type="paragraph" w:customStyle="1" w:styleId="EquationCN">
    <w:name w:val="Equation CN"/>
    <w:pPr>
      <w:keepLines/>
      <w:spacing w:before="60" w:after="60"/>
      <w:ind w:firstLine="0"/>
      <w:jc w:val="center"/>
    </w:pPr>
    <w:rPr>
      <w:rFonts w:ascii="Cambria Math" w:hAnsi="Cambria Math" w:eastAsia="Cambria Math"/>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jp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jpg"/><Relationship Id="rId27" Type="http://schemas.openxmlformats.org/officeDocument/2006/relationships/image" Target="media/image18.pn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jpg"/><Relationship Id="rId40" Type="http://schemas.openxmlformats.org/officeDocument/2006/relationships/image" Target="media/image31.pn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烟幕干扰弹协同投放策略研究</dc:title>
  <dc:subject>2025 全国大学生数学建模竞赛 A 题赛后复现</dc:subject>
  <dc:creator/>
  <cp:keywords/>
  <dc:description/>
  <cp:lastModifiedBy/>
  <cp:revision>1</cp:revision>
  <dcterms:created xsi:type="dcterms:W3CDTF">2013-12-23T23:15:00Z</dcterms:created>
  <dcterms:modified xsi:type="dcterms:W3CDTF">2013-12-23T23:15:00Z</dcterms:modified>
  <cp:category/>
</cp:coreProperties>
</file>