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X8af63214cbc3626a3ab02d2b546a1c816ec7acf"/>
    <w:p>
      <w:pPr>
        <w:pStyle w:val="Heading1"/>
      </w:pPr>
      <w:r>
        <w:t xml:space="preserve">Aviso de Privacidad y Tratamiento por Inteligencia Artificial — Multi OCR Tool</w:t>
      </w:r>
    </w:p>
    <w:p>
      <w:r>
        <w:pict>
          <v:rect style="width:0;height:1.5pt" o:hralign="center" o:hrstd="t" o:hr="t"/>
        </w:pict>
      </w:r>
    </w:p>
    <w:bookmarkStart w:id="9" w:name="objeto-y-alcance"/>
    <w:p>
      <w:pPr>
        <w:pStyle w:val="Heading2"/>
      </w:pPr>
      <w:r>
        <w:t xml:space="preserve">1. Objeto y alcance</w:t>
      </w:r>
    </w:p>
    <w:p>
      <w:pPr>
        <w:pStyle w:val="FirstParagraph"/>
      </w:pPr>
      <w:r>
        <w:t xml:space="preserve">Este Aviso explica, de forma clara y previa a la carga de cualquier documento, cómo</w:t>
      </w:r>
      <w:r>
        <w:t xml:space="preserve"> </w:t>
      </w:r>
      <w:r>
        <w:rPr>
          <w:b/>
          <w:bCs/>
        </w:rPr>
        <w:t xml:space="preserve">Multi OCR Tool</w:t>
      </w:r>
      <w:r>
        <w:t xml:space="preserve"> </w:t>
      </w:r>
      <w:r>
        <w:t xml:space="preserve">trata los documentos (facturas, remisiones, contratos y archivos afines) que los usuarios suben</w:t>
      </w:r>
      <w:r>
        <w:t xml:space="preserve"> </w:t>
      </w:r>
      <w:r>
        <w:rPr>
          <w:b/>
          <w:bCs/>
        </w:rPr>
        <w:t xml:space="preserve">para extracción de datos con modelos de inteligencia artificial (IA)</w:t>
      </w:r>
      <w:r>
        <w:t xml:space="preserve">.</w:t>
      </w:r>
    </w:p>
    <w:p>
      <w:pPr>
        <w:pStyle w:val="BodyText"/>
      </w:pPr>
      <w:r>
        <w:t xml:space="preserve">Aplica a todas las cuentas y modalidades de procesamiento: modelos en la nube (API de terceros) y modelos locales (on-premise). Se actualizará cuando cambie el proveedor, la política de retención de un proveedor o la arquitectura del servicio.</w:t>
      </w:r>
    </w:p>
    <w:bookmarkEnd w:id="9"/>
    <w:bookmarkStart w:id="10" w:name="definiciones"/>
    <w:p>
      <w:pPr>
        <w:pStyle w:val="Heading2"/>
      </w:pPr>
      <w:r>
        <w:t xml:space="preserve">2. Definiciones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Documento:</w:t>
      </w:r>
      <w:r>
        <w:t xml:space="preserve"> </w:t>
      </w:r>
      <w:r>
        <w:t xml:space="preserve">factura, remisión, contrato o comprobante subido por el usuario para extracción de datos.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Datos personales:</w:t>
      </w:r>
      <w:r>
        <w:t xml:space="preserve"> </w:t>
      </w:r>
      <w:r>
        <w:t xml:space="preserve">información referida a personas físicas o de existencia ideal determinadas o determinables (art. 2º, Ley 25.326).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Datos personales sensibles:</w:t>
      </w:r>
      <w:r>
        <w:t xml:space="preserve"> </w:t>
      </w:r>
      <w:r>
        <w:t xml:space="preserve">datos que revelan origen racial o étnico, opiniones políticas, convicciones religiosas, filosóficas o morales, afiliación sindical, información de salud o de vida sexual (art. 2º, Ley 25.326).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Proveedor LLM:</w:t>
      </w:r>
      <w:r>
        <w:t xml:space="preserve"> </w:t>
      </w:r>
      <w:r>
        <w:t xml:space="preserve">tercero que ejecuta el modelo de IA (OpenAI, Google, Mistral u otro) en la nube o localmente.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Procesamiento:</w:t>
      </w:r>
      <w:r>
        <w:t xml:space="preserve"> </w:t>
      </w:r>
      <w:r>
        <w:t xml:space="preserve">envío del documento al modelo de IA y recepción del resultado de extracción.</w:t>
      </w:r>
    </w:p>
    <w:bookmarkEnd w:id="10"/>
    <w:bookmarkStart w:id="11" w:name="qué-hace-la-plataforma-con-el-documento"/>
    <w:p>
      <w:pPr>
        <w:pStyle w:val="Heading2"/>
      </w:pPr>
      <w:r>
        <w:t xml:space="preserve">3. Qué hace la plataforma con el documento</w:t>
      </w:r>
    </w:p>
    <w:p>
      <w:pPr>
        <w:pStyle w:val="FirstParagraph"/>
      </w:pPr>
      <w:r>
        <w:t xml:space="preserve">Para prestar el servicio, el contenido del documento</w:t>
      </w:r>
      <w:r>
        <w:t xml:space="preserve"> </w:t>
      </w:r>
      <w:r>
        <w:rPr>
          <w:b/>
          <w:bCs/>
        </w:rPr>
        <w:t xml:space="preserve">se envía al proveedor LLM</w:t>
      </w:r>
      <w:r>
        <w:t xml:space="preserve"> </w:t>
      </w:r>
      <w:r>
        <w:t xml:space="preserve">configurado según la cuenta, y el resultado de extracción es devuelto al usuario. El procesamiento se realiza</w:t>
      </w:r>
      <w:r>
        <w:t xml:space="preserve"> </w:t>
      </w:r>
      <w:r>
        <w:rPr>
          <w:b/>
          <w:bCs/>
        </w:rPr>
        <w:t xml:space="preserve">únicamente</w:t>
      </w:r>
      <w:r>
        <w:t xml:space="preserve"> </w:t>
      </w:r>
      <w:r>
        <w:t xml:space="preserve">para cumplir la finalidad declarada de extracción de datos del documento.</w:t>
      </w:r>
    </w:p>
    <w:bookmarkEnd w:id="11"/>
    <w:bookmarkStart w:id="12" w:name="Xab0a67d19a769469b85559e5daa44ce135167b9"/>
    <w:p>
      <w:pPr>
        <w:pStyle w:val="Heading2"/>
      </w:pPr>
      <w:r>
        <w:t xml:space="preserve">4. Naturaleza de los datos contenidos en los documentos</w:t>
      </w:r>
    </w:p>
    <w:p>
      <w:pPr>
        <w:pStyle w:val="FirstParagraph"/>
      </w:pPr>
      <w:r>
        <w:t xml:space="preserve">Conforme a la Ley 25.326 y los criterios de la AAIP, los documentos típicamente procesados (facturas, remisiones, contratos) contienen</w:t>
      </w:r>
      <w:r>
        <w:t xml:space="preserve"> </w:t>
      </w:r>
      <w:r>
        <w:rPr>
          <w:b/>
          <w:bCs/>
        </w:rPr>
        <w:t xml:space="preserve">datos personales de carácter intermedio</w:t>
      </w:r>
      <w:r>
        <w:t xml:space="preserve"> </w:t>
      </w:r>
      <w:r>
        <w:t xml:space="preserve">(identificación, CUIT, domicilio, datos patrimoniales).</w:t>
      </w:r>
      <w:r>
        <w:t xml:space="preserve"> </w:t>
      </w:r>
      <w:r>
        <w:rPr>
          <w:b/>
          <w:bCs/>
        </w:rPr>
        <w:t xml:space="preserve">No son, por regla general, datos sensibles</w:t>
      </w:r>
      <w:r>
        <w:t xml:space="preserve"> </w:t>
      </w:r>
      <w:r>
        <w:t xml:space="preserve">en los términos del art. 2º. Si un documento contuviera datos que revelen salud, religión, ideología, afiliación sindical u origen racial, regirá lo dispuesto en el art. 7º de la Ley 25.326 y</w:t>
      </w:r>
      <w:r>
        <w:t xml:space="preserve"> </w:t>
      </w:r>
      <w:r>
        <w:rPr>
          <w:b/>
          <w:bCs/>
        </w:rPr>
        <w:t xml:space="preserve">el usuario no deberá cargarlo</w:t>
      </w:r>
      <w:r>
        <w:t xml:space="preserve"> </w:t>
      </w:r>
      <w:r>
        <w:t xml:space="preserve">salvo que cuente con el consentimiento explícito del titular o base legal válida.</w:t>
      </w:r>
    </w:p>
    <w:bookmarkEnd w:id="12"/>
    <w:bookmarkStart w:id="13" w:name="X15fc818be8d3278e4580d6ac00efcbd145e4866"/>
    <w:p>
      <w:pPr>
        <w:pStyle w:val="Heading2"/>
      </w:pPr>
      <w:r>
        <w:t xml:space="preserve">5. Manera en que el proveedor trata los datos (retención y entrenamiento)</w:t>
      </w:r>
    </w:p>
    <w:p>
      <w:pPr>
        <w:pStyle w:val="FirstParagraph"/>
      </w:pPr>
      <w:r>
        <w:t xml:space="preserve">El tratamiento que realiza cada proveedor depende del</w:t>
      </w:r>
      <w:r>
        <w:t xml:space="preserve"> </w:t>
      </w:r>
      <w:r>
        <w:rPr>
          <w:b/>
          <w:bCs/>
        </w:rPr>
        <w:t xml:space="preserve">tipo de cuenta</w:t>
      </w:r>
      <w:r>
        <w:t xml:space="preserve"> </w:t>
      </w:r>
      <w:r>
        <w:t xml:space="preserve">y de las condiciones contractuales del proveedor, no de esta plataforma. Resumen vigente a la fecha de este Aviso: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Escenario</w:t>
            </w:r>
          </w:p>
        </w:tc>
        <w:tc>
          <w:tcPr/>
          <w:p>
            <w:pPr>
              <w:pStyle w:val="Compact"/>
            </w:pPr>
            <w:r>
              <w:t xml:space="preserve">¿El proveedor entrena con los documentos?</w:t>
            </w:r>
          </w:p>
        </w:tc>
        <w:tc>
          <w:tcPr/>
          <w:p>
            <w:pPr>
              <w:pStyle w:val="Compact"/>
            </w:pPr>
            <w:r>
              <w:t xml:space="preserve">Retención por defecto</w:t>
            </w:r>
          </w:p>
        </w:tc>
        <w:tc>
          <w:tcPr/>
          <w:p>
            <w:pPr>
              <w:pStyle w:val="Compact"/>
            </w:pPr>
            <w:r>
              <w:t xml:space="preserve">Mitigación disponible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 API</w:t>
            </w:r>
          </w:p>
        </w:tc>
        <w:tc>
          <w:tcPr/>
          <w:p>
            <w:pPr>
              <w:pStyle w:val="Compact"/>
            </w:pPr>
            <w:r>
              <w:t xml:space="preserve">No (toda la API, desde 2023)</w:t>
            </w:r>
          </w:p>
        </w:tc>
        <w:tc>
          <w:tcPr/>
          <w:p>
            <w:pPr>
              <w:pStyle w:val="Compact"/>
            </w:pPr>
            <w:r>
              <w:t xml:space="preserve">Logs de abuso hasta 30 días</w:t>
            </w:r>
          </w:p>
        </w:tc>
        <w:tc>
          <w:tcPr/>
          <w:p>
            <w:pPr>
              <w:pStyle w:val="Compact"/>
            </w:pPr>
            <w:r>
              <w:t xml:space="preserve">ZDR (Enterprise, aprobación previa)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Gemini API</w:t>
            </w:r>
          </w:p>
        </w:tc>
        <w:tc>
          <w:tcPr/>
          <w:p>
            <w:pPr>
              <w:pStyle w:val="Compact"/>
            </w:pPr>
            <w:r>
              <w:t xml:space="preserve">No si hay cuenta pagada (billing activo)</w:t>
            </w:r>
          </w:p>
        </w:tc>
        <w:tc>
          <w:tcPr/>
          <w:p>
            <w:pPr>
              <w:pStyle w:val="Compact"/>
            </w:pPr>
            <w:r>
              <w:t xml:space="preserve">Logs limitados (detección de abuso)</w:t>
            </w:r>
          </w:p>
        </w:tc>
        <w:tc>
          <w:tcPr/>
          <w:p>
            <w:pPr>
              <w:pStyle w:val="Compact"/>
            </w:pPr>
            <w:r>
              <w:t xml:space="preserve">Vertex AI (región, VPC-SC, no entrenamiento)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Mistral API</w:t>
            </w:r>
          </w:p>
        </w:tc>
        <w:tc>
          <w:tcPr/>
          <w:p>
            <w:pPr>
              <w:pStyle w:val="Compact"/>
            </w:pPr>
            <w:r>
              <w:t xml:space="preserve">No por defecto</w:t>
            </w:r>
          </w:p>
        </w:tc>
        <w:tc>
          <w:tcPr/>
          <w:p>
            <w:pPr>
              <w:pStyle w:val="Compact"/>
            </w:pPr>
            <w:r>
              <w:t xml:space="preserve">Según DPA (30 días post-terminación)</w:t>
            </w:r>
          </w:p>
        </w:tc>
        <w:tc>
          <w:tcPr/>
          <w:p>
            <w:pPr>
              <w:pStyle w:val="Compact"/>
            </w:pPr>
            <w:r>
              <w:t xml:space="preserve">ZDR en planes pagos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Modelo local (on-premise)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Sin envío a terceros</w:t>
            </w:r>
          </w:p>
        </w:tc>
        <w:tc>
          <w:tcPr/>
          <w:p>
            <w:pPr>
              <w:pStyle w:val="Compact"/>
            </w:pPr>
            <w:r>
              <w:t xml:space="preserve">Aislamiento de red; cifrado local</w:t>
            </w:r>
          </w:p>
        </w:tc>
      </w:tr>
    </w:tbl>
    <w:p>
      <w:pPr>
        <w:pStyle w:val="BlockText"/>
      </w:pPr>
      <w:r>
        <w:t xml:space="preserve">Fuente: políticas y términos vigentes de OpenAI, Google y Mistral a la fecha. Se actualizan sin cambios contractuales que requieran aviso.</w:t>
      </w:r>
    </w:p>
    <w:bookmarkEnd w:id="13"/>
    <w:bookmarkStart w:id="14" w:name="transferencia-internacional-de-datos"/>
    <w:p>
      <w:pPr>
        <w:pStyle w:val="Heading2"/>
      </w:pPr>
      <w:r>
        <w:t xml:space="preserve">6. Transferencia internacional de datos</w:t>
      </w:r>
    </w:p>
    <w:p>
      <w:pPr>
        <w:pStyle w:val="FirstParagraph"/>
      </w:pPr>
      <w:r>
        <w:t xml:space="preserve">Cuando el procesamiento utiliza un proveedor en la nube, los datos pueden salir de la República Argentina y transferirse a un tercer país (art. 12, Ley 25.326). La plataforma:</w:t>
      </w:r>
      <w:r>
        <w:t xml:space="preserve"> </w:t>
      </w:r>
      <w:r>
        <w:t xml:space="preserve">- informa previamente esta transferencia en este Aviso;</w:t>
      </w:r>
      <w:r>
        <w:t xml:space="preserve"> </w:t>
      </w:r>
      <w:r>
        <w:t xml:space="preserve">- exige a sus proveedores condiciones de protección mediante acuerdos de procesamiento de datos (DPA) y, cuando corresponda, cláusulas contractuales modelo aprobadas por la AAIP (Disp. 60-E/2016 y Res. AAIP 198/2023);</w:t>
      </w:r>
      <w:r>
        <w:t xml:space="preserve"> </w:t>
      </w:r>
      <w:r>
        <w:t xml:space="preserve">- cuando el modelo corre en forma local,</w:t>
      </w:r>
      <w:r>
        <w:t xml:space="preserve"> </w:t>
      </w:r>
      <w:r>
        <w:rPr>
          <w:b/>
          <w:bCs/>
        </w:rPr>
        <w:t xml:space="preserve">no se produce transferencia internacional</w:t>
      </w:r>
      <w:r>
        <w:t xml:space="preserve"> </w:t>
      </w:r>
      <w:r>
        <w:t xml:space="preserve">porque el documento no abandona el entorno del usuario.</w:t>
      </w:r>
    </w:p>
    <w:bookmarkEnd w:id="14"/>
    <w:bookmarkStart w:id="15" w:name="base-legal-y-consentimiento"/>
    <w:p>
      <w:pPr>
        <w:pStyle w:val="Heading2"/>
      </w:pPr>
      <w:r>
        <w:t xml:space="preserve">7. Base legal y consentimiento</w:t>
      </w:r>
    </w:p>
    <w:p>
      <w:pPr>
        <w:pStyle w:val="FirstParagraph"/>
      </w:pPr>
      <w:r>
        <w:t xml:space="preserve">El tratamiento de los datos contenidos en los documentos se apoya en:</w:t>
      </w:r>
      <w:r>
        <w:t xml:space="preserve"> </w:t>
      </w:r>
      <w:r>
        <w:t xml:space="preserve">- el</w:t>
      </w:r>
      <w:r>
        <w:t xml:space="preserve"> </w:t>
      </w:r>
      <w:r>
        <w:rPr>
          <w:b/>
          <w:bCs/>
        </w:rPr>
        <w:t xml:space="preserve">consentimiento libre, expreso e informado</w:t>
      </w:r>
      <w:r>
        <w:t xml:space="preserve"> </w:t>
      </w:r>
      <w:r>
        <w:t xml:space="preserve">del usuario al cargar el documento en la plataforma (art. 5º, Ley 25.326), prestado mediante la aceptación de este Aviso; y/o</w:t>
      </w:r>
      <w:r>
        <w:t xml:space="preserve"> </w:t>
      </w:r>
      <w:r>
        <w:t xml:space="preserve">- las excepciones legales aplicables (art. 5º incs. c y d, Ley 25.326) cuando los datos derivan de una relación contractual.</w:t>
      </w:r>
    </w:p>
    <w:p>
      <w:pPr>
        <w:pStyle w:val="BodyText"/>
      </w:pPr>
      <w:r>
        <w:rPr>
          <w:b/>
          <w:bCs/>
        </w:rPr>
        <w:t xml:space="preserve">Responsabilidad del usuario:</w:t>
      </w:r>
      <w:r>
        <w:t xml:space="preserve"> </w:t>
      </w:r>
      <w:r>
        <w:t xml:space="preserve">al subir un documento, el usuario declara contar con base legal o consentimiento para procesar los datos personales contenidos,</w:t>
      </w:r>
      <w:r>
        <w:t xml:space="preserve"> </w:t>
      </w:r>
      <w:r>
        <w:rPr>
          <w:b/>
          <w:bCs/>
        </w:rPr>
        <w:t xml:space="preserve">incluidos los de terceros</w:t>
      </w:r>
      <w:r>
        <w:t xml:space="preserve"> </w:t>
      </w:r>
      <w:r>
        <w:t xml:space="preserve">(clientes, proveedores, firmantes). La plataforma no verifica el contenido de cada documento ni asume la responsabilidad del usuario por datos de terceros cargados sin la base legal correspondiente.</w:t>
      </w:r>
    </w:p>
    <w:bookmarkEnd w:id="15"/>
    <w:bookmarkStart w:id="16" w:name="datos-sensibles-reglas-de-uso"/>
    <w:p>
      <w:pPr>
        <w:pStyle w:val="Heading2"/>
      </w:pPr>
      <w:r>
        <w:t xml:space="preserve">8. Datos sensibles: reglas de uso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Regla general:</w:t>
      </w:r>
      <w:r>
        <w:t xml:space="preserve"> </w:t>
      </w:r>
      <w:r>
        <w:t xml:space="preserve">no cargue documentos que contengan datos personales sensibles (art. 2º, Ley 25.326).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Excepción:</w:t>
      </w:r>
      <w:r>
        <w:t xml:space="preserve"> </w:t>
      </w:r>
      <w:r>
        <w:t xml:space="preserve">si el caso lo exige, solo con el consentimiento explícito, previo y documentado del titular, y restringido a la finalidad declarada.</w:t>
      </w:r>
    </w:p>
    <w:p>
      <w:pPr>
        <w:pStyle w:val="Compact"/>
        <w:numPr>
          <w:ilvl w:val="0"/>
          <w:numId w:val="1002"/>
        </w:numPr>
      </w:pPr>
      <w:r>
        <w:t xml:space="preserve">La plataforma puede</w:t>
      </w:r>
      <w:r>
        <w:t xml:space="preserve"> </w:t>
      </w:r>
      <w:r>
        <w:rPr>
          <w:b/>
          <w:bCs/>
        </w:rPr>
        <w:t xml:space="preserve">bloquear la carga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advertir</w:t>
      </w:r>
      <w:r>
        <w:t xml:space="preserve"> </w:t>
      </w:r>
      <w:r>
        <w:t xml:space="preserve">en función de la configuración de cuenta y de los controles de seguridad activados.</w:t>
      </w:r>
    </w:p>
    <w:bookmarkEnd w:id="16"/>
    <w:bookmarkStart w:id="17" w:name="medidas-de-seguridad-y-minimización"/>
    <w:p>
      <w:pPr>
        <w:pStyle w:val="Heading2"/>
      </w:pPr>
      <w:r>
        <w:t xml:space="preserve">9. Medidas de seguridad y minimización</w:t>
      </w:r>
    </w:p>
    <w:p>
      <w:pPr>
        <w:pStyle w:val="FirstParagraph"/>
      </w:pPr>
      <w:r>
        <w:t xml:space="preserve">La plataforma aplica medidas técnicas y organizativas razonables para proteger los documentos (confidencialidad, integridad y disponibilidad, art. 9º, Ley 25.326), incluida la</w:t>
      </w:r>
      <w:r>
        <w:t xml:space="preserve"> </w:t>
      </w:r>
      <w:r>
        <w:rPr>
          <w:b/>
          <w:bCs/>
        </w:rPr>
        <w:t xml:space="preserve">minimización de datos</w:t>
      </w:r>
      <w:r>
        <w:t xml:space="preserve"> </w:t>
      </w:r>
      <w:r>
        <w:t xml:space="preserve">(art. 4º, inc. 3): solo se envían al proveedor los datos necesarios para la extracción. Se recomienda al usuario: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anonimizar/seudonimizar</w:t>
      </w:r>
      <w:r>
        <w:t xml:space="preserve"> </w:t>
      </w:r>
      <w:r>
        <w:t xml:space="preserve">identificadores (DNI, CUIT, IBAN, teléfonos) cuando la extracción no los requiera;</w:t>
      </w:r>
      <w:r>
        <w:t xml:space="preserve"> </w:t>
      </w:r>
      <w:r>
        <w:t xml:space="preserve">- contratar la modalidad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para documentos con máxima confidencialidad; y</w:t>
      </w:r>
      <w:r>
        <w:t xml:space="preserve"> </w:t>
      </w:r>
      <w:r>
        <w:t xml:space="preserve">- conservar la</w:t>
      </w:r>
      <w:r>
        <w:t xml:space="preserve"> </w:t>
      </w:r>
      <w:r>
        <w:rPr>
          <w:b/>
          <w:bCs/>
        </w:rPr>
        <w:t xml:space="preserve">revisión humana</w:t>
      </w:r>
      <w:r>
        <w:t xml:space="preserve"> </w:t>
      </w:r>
      <w:r>
        <w:t xml:space="preserve">del resultado antes de su uso comercial o legal.</w:t>
      </w:r>
    </w:p>
    <w:bookmarkEnd w:id="17"/>
    <w:bookmarkStart w:id="18" w:name="derechos-del-titular-de-los-datos-arco"/>
    <w:p>
      <w:pPr>
        <w:pStyle w:val="Heading2"/>
      </w:pPr>
      <w:r>
        <w:t xml:space="preserve">10. Derechos del titular de los datos (ARCO)</w:t>
      </w:r>
    </w:p>
    <w:p>
      <w:pPr>
        <w:pStyle w:val="FirstParagraph"/>
      </w:pPr>
      <w:r>
        <w:t xml:space="preserve">Todo titular puede ejercer los derechos de</w:t>
      </w:r>
      <w:r>
        <w:t xml:space="preserve"> </w:t>
      </w:r>
      <w:r>
        <w:rPr>
          <w:b/>
          <w:bCs/>
        </w:rPr>
        <w:t xml:space="preserve">Acceso, Rectificación, Supresión y Oposición</w:t>
      </w:r>
      <w:r>
        <w:t xml:space="preserve"> </w:t>
      </w:r>
      <w:r>
        <w:t xml:space="preserve">(arts. 14, 16 y 27, Ley 25.326) ante:</w:t>
      </w:r>
      <w:r>
        <w:t xml:space="preserve"> </w:t>
      </w:r>
      <w:r>
        <w:t xml:space="preserve">- la plataforma, en la dirección de contacto indicada al pie; y/o</w:t>
      </w:r>
      <w:r>
        <w:t xml:space="preserve"> </w:t>
      </w:r>
      <w:r>
        <w:t xml:space="preserve">- el proveedor LLM, conforme a sus propias políticas.</w:t>
      </w:r>
    </w:p>
    <w:p>
      <w:pPr>
        <w:pStyle w:val="BodyText"/>
      </w:pPr>
      <w:r>
        <w:t xml:space="preserve">La plataforma atenderá las solicitudes dentro de los plazos legales y dará traslado a los proveedores cuando el dato esté en su poder.</w:t>
      </w:r>
    </w:p>
    <w:bookmarkEnd w:id="18"/>
    <w:bookmarkStart w:id="19" w:name="exactitud-de-los-resultados"/>
    <w:p>
      <w:pPr>
        <w:pStyle w:val="Heading2"/>
      </w:pPr>
      <w:r>
        <w:t xml:space="preserve">11. Exactitud de los resultados</w:t>
      </w:r>
    </w:p>
    <w:p>
      <w:pPr>
        <w:pStyle w:val="FirstParagraph"/>
      </w:pPr>
      <w:r>
        <w:t xml:space="preserve">El resultado de la extracción se genera mediante modelos de IA y, por su naturaleza probabilística,</w:t>
      </w:r>
      <w:r>
        <w:t xml:space="preserve"> </w:t>
      </w:r>
      <w:r>
        <w:rPr>
          <w:b/>
          <w:bCs/>
        </w:rPr>
        <w:t xml:space="preserve">puede contener errores u omisiones</w:t>
      </w:r>
      <w:r>
        <w:t xml:space="preserve">. No constituye asesoramiento legal, contable ni financiero. El usuario es el único responsable de revisar, validar y utilizar el resultado con criterio profesional.</w:t>
      </w:r>
    </w:p>
    <w:bookmarkEnd w:id="19"/>
    <w:bookmarkStart w:id="20" w:name="vigencia-y-cambios"/>
    <w:p>
      <w:pPr>
        <w:pStyle w:val="Heading2"/>
      </w:pPr>
      <w:r>
        <w:t xml:space="preserve">12. Vigencia y cambios</w:t>
      </w:r>
    </w:p>
    <w:p>
      <w:pPr>
        <w:pStyle w:val="FirstParagraph"/>
      </w:pPr>
      <w:r>
        <w:t xml:space="preserve">Este Aviso entra en vigencia el [FECHA] y se revisará ante cualquier cambio en: proveedores LLM utilizados, políticas de retención de proveedores, arquitectura del servicio o normativa aplicable. Las modificaciones se publicarán con aviso previo en la plataforma.</w:t>
      </w:r>
    </w:p>
    <w:bookmarkEnd w:id="20"/>
    <w:bookmarkStart w:id="21" w:name="contacto-y-responsable"/>
    <w:p>
      <w:pPr>
        <w:pStyle w:val="Heading2"/>
      </w:pPr>
      <w:r>
        <w:t xml:space="preserve">13. Contacto y responsable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Responsable del tratamiento:</w:t>
      </w:r>
      <w:r>
        <w:t xml:space="preserve"> </w:t>
      </w:r>
      <w:r>
        <w:t xml:space="preserve">[NOMBRE / RAZÓN SOCIAL — pendiente de definición]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Domicilio:</w:t>
      </w:r>
      <w:r>
        <w:t xml:space="preserve"> </w:t>
      </w:r>
      <w:r>
        <w:t xml:space="preserve">[DOMICILIO — pendiente]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Contacto:</w:t>
      </w:r>
      <w:r>
        <w:t xml:space="preserve"> </w:t>
      </w:r>
      <w:r>
        <w:t xml:space="preserve">[EMAIL / TEL — pendiente]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Referencias normativas:</w:t>
      </w:r>
      <w:r>
        <w:t xml:space="preserve"> </w:t>
      </w:r>
      <w:r>
        <w:t xml:space="preserve">Ley 25.326 y Decreto 1558/2001 · Disp. AAIP 60-E/2016 · Res. AAIP 159/2018 · Res. AAIP 198/2023 · Res. AAIP 47/2018 · Ley 26.388 · CCyC art. 1106.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2026-09-14T14:49:14Z</dcterms:created>
  <dcterms:modified xsi:type="dcterms:W3CDTF">2026-09-14T14:49:14Z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