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0e284069f8c00abe9a72f044b56ae9480d4452c"/>
    <w:p>
      <w:pPr>
        <w:pStyle w:val="Heading1"/>
      </w:pPr>
      <w:r>
        <w:t xml:space="preserve">Disclaimer de manejo de datos sensibles — Multi OCR Tool</w:t>
      </w:r>
    </w:p>
    <w:p>
      <w:pPr>
        <w:pStyle w:val="BlockText"/>
      </w:pPr>
      <w:r>
        <w:rPr>
          <w:b/>
          <w:bCs/>
        </w:rPr>
        <w:t xml:space="preserve">Ticket ARG-597</w:t>
      </w:r>
      <w:r>
        <w:t xml:space="preserve"> </w:t>
      </w:r>
      <w:r>
        <w:t xml:space="preserve">· Epic: Seguridad y gestión de datos sensibles</w:t>
      </w:r>
      <w:r>
        <w:t xml:space="preserve"> </w:t>
      </w:r>
      <w:r>
        <w:rPr>
          <w:b/>
          <w:bCs/>
        </w:rPr>
        <w:t xml:space="preserve">Descripción:</w:t>
      </w:r>
      <w:r>
        <w:t xml:space="preserve"> </w:t>
      </w:r>
      <w:r>
        <w:t xml:space="preserve">agregar disclaimers en la plataforma sobre el manejo de datos sensibles y las limitaciones de privacidad según el tipo de cuenta utilizada.</w:t>
      </w:r>
      <w:r>
        <w:t xml:space="preserve"> </w:t>
      </w:r>
      <w:r>
        <w:rPr>
          <w:b/>
          <w:bCs/>
        </w:rPr>
        <w:t xml:space="preserve">Entregable:</w:t>
      </w:r>
      <w:r>
        <w:t xml:space="preserve"> </w:t>
      </w:r>
      <w:r>
        <w:t xml:space="preserve">texto listo para integrar en la plataforma (variantes por proveedor/tipo de cuenta) + evidencia técnica de retención por proveedor para adjuntar en el ticket.</w:t>
      </w:r>
    </w:p>
    <w:p>
      <w:r>
        <w:pict>
          <v:rect style="width:0;height:1.5pt" o:hralign="center" o:hrstd="t" o:hr="t"/>
        </w:pict>
      </w:r>
    </w:p>
    <w:bookmarkStart w:id="9" w:name="Xda94e4a4f5d506f66197479c3b624ce31572ae9"/>
    <w:p>
      <w:pPr>
        <w:pStyle w:val="Heading2"/>
      </w:pPr>
      <w:r>
        <w:t xml:space="preserve">1 · Evidencia técnica: qué proveedores y modelos procesan los documentos hoy</w:t>
      </w:r>
    </w:p>
    <w:p>
      <w:pPr>
        <w:pStyle w:val="FirstParagraph"/>
      </w:pPr>
      <w:r>
        <w:t xml:space="preserve">Basado en datos reales de producción (collection</w:t>
      </w:r>
      <w:r>
        <w:t xml:space="preserve"> </w:t>
      </w:r>
      <w:r>
        <w:rPr>
          <w:rStyle w:val="VerbatimChar"/>
        </w:rPr>
        <w:t xml:space="preserve">ailogs</w:t>
      </w:r>
      <w:r>
        <w:t xml:space="preserve">, 1.374 llamadas, 24/08):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Proveedor</w:t>
            </w:r>
          </w:p>
        </w:tc>
        <w:tc>
          <w:tcPr/>
          <w:p>
            <w:pPr>
              <w:pStyle w:val="Compact"/>
            </w:pPr>
            <w:r>
              <w:t xml:space="preserve">Modelo principal</w:t>
            </w:r>
          </w:p>
        </w:tc>
        <w:tc>
          <w:tcPr/>
          <w:p>
            <w:pPr>
              <w:pStyle w:val="Compact"/>
            </w:pPr>
            <w:r>
              <w:t xml:space="preserve">Llamadas</w:t>
            </w:r>
          </w:p>
        </w:tc>
        <w:tc>
          <w:tcPr/>
          <w:p>
            <w:pPr>
              <w:pStyle w:val="Compact"/>
            </w:pPr>
            <w:r>
              <w:t xml:space="preserve">% del total</w:t>
            </w:r>
          </w:p>
        </w:tc>
        <w:tc>
          <w:tcPr/>
          <w:p>
            <w:pPr>
              <w:pStyle w:val="Compact"/>
            </w:pPr>
            <w:r>
              <w:t xml:space="preserve">API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</w:t>
            </w:r>
          </w:p>
        </w:tc>
        <w:tc>
          <w:tcPr/>
          <w:p>
            <w:pPr>
              <w:pStyle w:val="Compact"/>
            </w:pPr>
            <w:r>
              <w:t xml:space="preserve">gpt-5-mini-2025-08-07</w:t>
            </w:r>
          </w:p>
        </w:tc>
        <w:tc>
          <w:tcPr/>
          <w:p>
            <w:pPr>
              <w:pStyle w:val="Compact"/>
            </w:pPr>
            <w:r>
              <w:t xml:space="preserve">1.349</w:t>
            </w:r>
          </w:p>
        </w:tc>
        <w:tc>
          <w:tcPr/>
          <w:p>
            <w:pPr>
              <w:pStyle w:val="Compact"/>
            </w:pPr>
            <w:r>
              <w:t xml:space="preserve">98,2%</w:t>
            </w:r>
          </w:p>
        </w:tc>
        <w:tc>
          <w:tcPr/>
          <w:p>
            <w:pPr>
              <w:pStyle w:val="Compact"/>
            </w:pPr>
            <w:r>
              <w:t xml:space="preserve">hashes presentes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AI</w:t>
            </w:r>
          </w:p>
        </w:tc>
        <w:tc>
          <w:tcPr/>
          <w:p>
            <w:pPr>
              <w:pStyle w:val="Compact"/>
            </w:pPr>
            <w:r>
              <w:t xml:space="preserve">gemini-3-flash-preview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1,6%</w:t>
            </w:r>
          </w:p>
        </w:tc>
        <w:tc>
          <w:tcPr/>
          <w:p>
            <w:pPr>
              <w:pStyle w:val="Compac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(local híbrido)</w:t>
            </w:r>
          </w:p>
        </w:tc>
        <w:tc>
          <w:tcPr/>
          <w:p>
            <w:pPr>
              <w:pStyle w:val="Compact"/>
            </w:pPr>
            <w:r>
              <w:t xml:space="preserve">paligemma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0,1%</w:t>
            </w:r>
          </w:p>
        </w:tc>
        <w:tc>
          <w:tcPr/>
          <w:p>
            <w:pPr>
              <w:pStyle w:val="Compact"/>
            </w:pPr>
            <w:r>
              <w:t xml:space="preserve">ídem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</w:t>
            </w:r>
          </w:p>
        </w:tc>
        <w:tc>
          <w:tcPr/>
          <w:p>
            <w:pPr>
              <w:pStyle w:val="Compact"/>
            </w:pPr>
            <w:r>
              <w:t xml:space="preserve">mistral-large-3-675b-instruct-2512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0,1%</w:t>
            </w:r>
          </w:p>
        </w:tc>
        <w:tc>
          <w:tcPr/>
          <w:p>
            <w:pPr>
              <w:pStyle w:val="Compact"/>
            </w:pPr>
            <w:r>
              <w:t xml:space="preserve">ídem</w:t>
            </w:r>
          </w:p>
        </w:tc>
      </w:tr>
    </w:tbl>
    <w:p>
      <w:pPr>
        <w:pStyle w:val="BodyText"/>
      </w:pPr>
      <w:r>
        <w:t xml:space="preserve">Hallazgo relevante para el disclaimer: la plataforma envía el</w:t>
      </w:r>
      <w:r>
        <w:t xml:space="preserve"> </w:t>
      </w:r>
      <w:r>
        <w:rPr>
          <w:b/>
          <w:bCs/>
        </w:rPr>
        <w:t xml:space="preserve">contenido del documento (facturas, remisiones, contratos)</w:t>
      </w:r>
      <w:r>
        <w:t xml:space="preserve"> </w:t>
      </w:r>
      <w:r>
        <w:t xml:space="preserve">al proveedor LLM configurado para esa API key.</w:t>
      </w:r>
      <w:r>
        <w:t xml:space="preserve"> </w:t>
      </w:r>
      <w:r>
        <w:rPr>
          <w:b/>
          <w:bCs/>
        </w:rPr>
        <w:t xml:space="preserve">No todo el procesamiento es local.</w:t>
      </w:r>
    </w:p>
    <w:p>
      <w:r>
        <w:pict>
          <v:rect style="width:0;height:1.5pt" o:hralign="center" o:hrstd="t" o:hr="t"/>
        </w:pict>
      </w:r>
    </w:p>
    <w:bookmarkEnd w:id="9"/>
    <w:bookmarkStart w:id="14" w:name="texto-listo-para-la-plataforma"/>
    <w:p>
      <w:pPr>
        <w:pStyle w:val="Heading2"/>
      </w:pPr>
      <w:r>
        <w:t xml:space="preserve">2 · Texto listo para la plataforma</w:t>
      </w:r>
    </w:p>
    <w:bookmarkStart w:id="10" w:name="Xe3a49f68de6803685c3e99b85d254d6b273ac41"/>
    <w:p>
      <w:pPr>
        <w:pStyle w:val="Heading3"/>
      </w:pPr>
      <w:r>
        <w:t xml:space="preserve">2.1 Dislaimer general (banner al subir documento)</w:t>
      </w:r>
    </w:p>
    <w:p>
      <w:pPr>
        <w:pStyle w:val="BlockText"/>
      </w:pPr>
      <w:r>
        <w:rPr>
          <w:b/>
          <w:bCs/>
        </w:rPr>
        <w:t xml:space="preserve">Tratamiento de datos sensibles</w:t>
      </w:r>
    </w:p>
    <w:p>
      <w:pPr>
        <w:pStyle w:val="BlockText"/>
      </w:pPr>
      <w:r>
        <w:t xml:space="preserve">Multi OCR Tool procesa documentos mediante proveedores de inteligencia artificial de terceros (OpenAI, Google, Mistral, entre otros) para extraer la información que tu esquema requiere.</w:t>
      </w:r>
    </w:p>
    <w:p>
      <w:pPr>
        <w:pStyle w:val="BlockText"/>
      </w:pPr>
      <w:r>
        <w:t xml:space="preserve">Al subir un documento declarás que tenés la</w:t>
      </w:r>
      <w:r>
        <w:t xml:space="preserve"> </w:t>
      </w:r>
      <w:r>
        <w:rPr>
          <w:b/>
          <w:bCs/>
        </w:rPr>
        <w:t xml:space="preserve">autoridad para procesar los datos que contiene</w:t>
      </w:r>
      <w:r>
        <w:t xml:space="preserve"> </w:t>
      </w:r>
      <w:r>
        <w:t xml:space="preserve">y que conocés las implicancias de privacidad según el contrato/tipo de cuenta del proveedor configurado. Los documentos pueden ser</w:t>
      </w:r>
      <w:r>
        <w:t xml:space="preserve"> </w:t>
      </w:r>
      <w:r>
        <w:rPr>
          <w:b/>
          <w:bCs/>
        </w:rPr>
        <w:t xml:space="preserve">retenidos, registrados o utilizados por el proveedor</w:t>
      </w:r>
      <w:r>
        <w:t xml:space="preserve"> </w:t>
      </w:r>
      <w:r>
        <w:t xml:space="preserve">para las finalidades previstas en sus términos, conforme a su política de retención.</w:t>
      </w:r>
    </w:p>
    <w:p>
      <w:pPr>
        <w:pStyle w:val="BlockText"/>
      </w:pPr>
      <w:r>
        <w:t xml:space="preserve">Para documentos sujetos a normas de protección de datos personales (ej. Ley 25.326 en Argentina, GDPR en la UE) o con datos sensibles (salud, finanzas, identidad), verificá con tu responsable de datos el proveedor y el</w:t>
      </w:r>
      <w:r>
        <w:t xml:space="preserve"> </w:t>
      </w:r>
      <w:r>
        <w:rPr>
          <w:b/>
          <w:bCs/>
        </w:rPr>
        <w:t xml:space="preserve">tipo de cuenta</w:t>
      </w:r>
      <w:r>
        <w:t xml:space="preserve"> </w:t>
      </w:r>
      <w:r>
        <w:t xml:space="preserve">adecuado</w:t>
      </w:r>
      <w:r>
        <w:t xml:space="preserve"> </w:t>
      </w:r>
      <w:r>
        <w:rPr>
          <w:i/>
          <w:iCs/>
        </w:rPr>
        <w:t xml:space="preserve">(ver</w:t>
      </w:r>
      <w:r>
        <w:rPr>
          <w:i/>
          <w:iCs/>
        </w:rPr>
        <w:t xml:space="preserve"> </w:t>
      </w:r>
      <w:r>
        <w:rPr>
          <w:i/>
          <w:iCs/>
        </w:rPr>
        <w:t xml:space="preserve">“Limitaciones por tipo de cuenta”</w:t>
      </w:r>
      <w:r>
        <w:rPr>
          <w:i/>
          <w:iCs/>
        </w:rPr>
        <w:t xml:space="preserve">).</w:t>
      </w:r>
    </w:p>
    <w:bookmarkEnd w:id="10"/>
    <w:bookmarkStart w:id="11" w:name="Xbecb9847270e20cf670abea50c4481022218446"/>
    <w:p>
      <w:pPr>
        <w:pStyle w:val="Heading3"/>
      </w:pPr>
      <w:r>
        <w:t xml:space="preserve">2.2 Disclaimers según proveedor/tipo de cuenta</w:t>
      </w:r>
    </w:p>
    <w:p>
      <w:pPr>
        <w:pStyle w:val="FirstParagraph"/>
      </w:pPr>
      <w:r>
        <w:t xml:space="preserve">La limitación clave:</w:t>
      </w:r>
      <w:r>
        <w:t xml:space="preserve"> </w:t>
      </w:r>
      <w:r>
        <w:rPr>
          <w:b/>
          <w:bCs/>
        </w:rPr>
        <w:t xml:space="preserve">la retención y el uso de los datos depende de la cuenta de API que la organización configure en la plataforma (Free / Paid / Enterprise / Local).</w:t>
      </w:r>
      <w:r>
        <w:t xml:space="preserve"> </w:t>
      </w:r>
      <w:r>
        <w:t xml:space="preserve">No depende de la plataforma.</w:t>
      </w:r>
    </w:p>
    <w:p>
      <w:pPr>
        <w:pStyle w:val="BodyText"/>
      </w:pPr>
      <w:r>
        <w:rPr>
          <w:b/>
          <w:bCs/>
        </w:rPr>
        <w:t xml:space="preserve">☑️ OpenAI</w:t>
      </w:r>
      <w:r>
        <w:t xml:space="preserve"> </w:t>
      </w:r>
      <w:r>
        <w:t xml:space="preserve">(modelos</w:t>
      </w:r>
      <w:r>
        <w:t xml:space="preserve"> </w:t>
      </w:r>
      <w:r>
        <w:rPr>
          <w:rStyle w:val="VerbatimChar"/>
        </w:rPr>
        <w:t xml:space="preserve">gpt-*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Cuenta API estándar (Paid):</w:t>
      </w:r>
      <w:r>
        <w:t xml:space="preserve"> </w:t>
      </w:r>
      <w:r>
        <w:t xml:space="preserve">los datos se retienen por defecto hasta</w:t>
      </w:r>
      <w:r>
        <w:t xml:space="preserve"> </w:t>
      </w:r>
      <w:r>
        <w:rPr>
          <w:b/>
          <w:bCs/>
        </w:rPr>
        <w:t xml:space="preserve">30 días</w:t>
      </w:r>
      <w:r>
        <w:t xml:space="preserve"> </w:t>
      </w:r>
      <w:r>
        <w:t xml:space="preserve">para auditoría y abuso. OpenAI ofrece</w:t>
      </w:r>
      <w:r>
        <w:t xml:space="preserve"> </w:t>
      </w:r>
      <w:r>
        <w:rPr>
          <w:b/>
          <w:bCs/>
        </w:rPr>
        <w:t xml:space="preserve">Zero Data Retention (ZDR)</w:t>
      </w:r>
      <w:r>
        <w:t xml:space="preserve"> </w:t>
      </w:r>
      <w:r>
        <w:t xml:space="preserve">solo en cuentas Enterprise (no se retienen los inputs/outputs). Sin ZDR, el proveedor puede utilizar los datos para</w:t>
      </w:r>
      <w:r>
        <w:t xml:space="preserve"> </w:t>
      </w:r>
      <w:r>
        <w:rPr>
          <w:b/>
          <w:bCs/>
        </w:rPr>
        <w:t xml:space="preserve">entrenamiento específico del usuario aislado</w:t>
      </w:r>
      <w:r>
        <w:t xml:space="preserve"> </w:t>
      </w:r>
      <w:r>
        <w:t xml:space="preserve">(pero no para entrenar modelos que no sean los del cliente).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Free tier / playground:</w:t>
      </w:r>
      <w:r>
        <w:t xml:space="preserve"> </w:t>
      </w:r>
      <w:r>
        <w:t xml:space="preserve">los datos pueden usarse para</w:t>
      </w:r>
      <w:r>
        <w:t xml:space="preserve"> </w:t>
      </w:r>
      <w:r>
        <w:rPr>
          <w:b/>
          <w:bCs/>
        </w:rPr>
        <w:t xml:space="preserve">entrenamiento general</w:t>
      </w:r>
      <w:r>
        <w:t xml:space="preserve"> </w:t>
      </w:r>
      <w:r>
        <w:t xml:space="preserve">si no se desactiva en la organización.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Disclaimer a mostrar: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“Los datos enviados a OpenAI se procesan bajo los términos del plan {FREE / PAID / ENTERPRISE} de tu organización. El plan estándar retiene los datos hasta 30 días y puede utilizarlos para entrenamiento aislado. El plan Enterprise con Zero Data Retention no retiene los datos. Verificá tu plan y habilitá ZDR antes de procesar datos sensibles.”</w:t>
      </w:r>
    </w:p>
    <w:p>
      <w:pPr>
        <w:pStyle w:val="BodyText"/>
      </w:pPr>
      <w:r>
        <w:rPr>
          <w:b/>
          <w:bCs/>
        </w:rPr>
        <w:t xml:space="preserve">☑️ Google AI (Gemini)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Vertex AI (cuenta enterprise/profesional):</w:t>
      </w:r>
      <w:r>
        <w:t xml:space="preserve"> </w:t>
      </w:r>
      <w:r>
        <w:rPr>
          <w:b/>
          <w:bCs/>
        </w:rPr>
        <w:t xml:space="preserve">sin retención por defecto</w:t>
      </w:r>
      <w:r>
        <w:t xml:space="preserve"> </w:t>
      </w:r>
      <w:r>
        <w:t xml:space="preserve">de los datos de entrenamiento (no usa tus datos para entrenar modelos). Es la configuración recomendable para datos sensibles.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Gemini API / AI Studio (free/dev):</w:t>
      </w:r>
      <w:r>
        <w:t xml:space="preserve"> </w:t>
      </w:r>
      <w:r>
        <w:t xml:space="preserve">los datos pueden</w:t>
      </w:r>
      <w:r>
        <w:t xml:space="preserve"> </w:t>
      </w:r>
      <w:r>
        <w:rPr>
          <w:b/>
          <w:bCs/>
        </w:rPr>
        <w:t xml:space="preserve">retroalimentar el entrenamiento</w:t>
      </w:r>
      <w:r>
        <w:t xml:space="preserve"> </w:t>
      </w:r>
      <w:r>
        <w:t xml:space="preserve">salvo que se desactive la opción de mejora por voz o texto en la consola.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Disclaimer a mostrar: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“Los datos enviados a Google se procesan según tu cuenta. La cuenta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Vertex AI</w:t>
      </w:r>
      <w:r>
        <w:rPr>
          <w:i/>
          <w:iCs/>
        </w:rPr>
        <w:t xml:space="preserve"> </w:t>
      </w:r>
      <w:r>
        <w:rPr>
          <w:i/>
          <w:iCs/>
        </w:rPr>
        <w:t xml:space="preserve">no usa los datos para entrenar modelos. La cuenta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Gemini API/AI Studio (gratuita o de desarrollo)</w:t>
      </w:r>
      <w:r>
        <w:rPr>
          <w:i/>
          <w:iCs/>
        </w:rPr>
        <w:t xml:space="preserve"> </w:t>
      </w:r>
      <w:r>
        <w:rPr>
          <w:i/>
          <w:iCs/>
        </w:rPr>
        <w:t xml:space="preserve">puede utilizarlos; desactivá la recopilación para generar mejores modelos en la consola antes de subir documentos con datos sensibles.”</w:t>
      </w:r>
    </w:p>
    <w:p>
      <w:pPr>
        <w:pStyle w:val="BodyText"/>
      </w:pPr>
      <w:r>
        <w:rPr>
          <w:b/>
          <w:bCs/>
        </w:rPr>
        <w:t xml:space="preserve">☑️ Mistral</w:t>
      </w:r>
      <w:r>
        <w:t xml:space="preserve"> </w:t>
      </w:r>
      <w:r>
        <w:t xml:space="preserve">- Plan Enterprise con retención de datos configurable; estándar mantiene logs de funcionamiento limitados. Validar retención contractual de la cuenta.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Disclaimer a mostrar: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“Los datos enviados a Mistral se procesan según tu cuenta. Validá la política de retención de tu plan (estándar vs enterprise) antes de procesar datos sensibles.”</w:t>
      </w:r>
    </w:p>
    <w:p>
      <w:pPr>
        <w:pStyle w:val="BodyText"/>
      </w:pPr>
      <w:r>
        <w:rPr>
          <w:b/>
          <w:bCs/>
        </w:rPr>
        <w:t xml:space="preserve">☑️ Modelos locales / self-host (ej. Paligemma, Ollama)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hay transferencia a terceros</w:t>
      </w:r>
      <w:r>
        <w:t xml:space="preserve"> </w:t>
      </w:r>
      <w:r>
        <w:t xml:space="preserve">si el modelo corre en infraestructura propia.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Disclaimer a mostrar: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“Esta configuración procesa los documentos con un modelo local en tu infraestructura. Los datos no salen de tu entorno. Esta es la opción recomendada para datos con mayor sensibilidad.”</w:t>
      </w:r>
    </w:p>
    <w:bookmarkEnd w:id="11"/>
    <w:bookmarkStart w:id="12" w:name="X654b229ccb6cb1407f7a13d845f94bcd8c6435b"/>
    <w:p>
      <w:pPr>
        <w:pStyle w:val="Heading3"/>
      </w:pPr>
      <w:r>
        <w:t xml:space="preserve">2.3 Versión corta para UI (toast / checkbox de consentimiento)</w:t>
      </w:r>
    </w:p>
    <w:p>
      <w:pPr>
        <w:pStyle w:val="BlockText"/>
      </w:pPr>
      <w:r>
        <w:rPr>
          <w:i/>
          <w:iCs/>
        </w:rPr>
        <w:t xml:space="preserve">“Los documentos que subás pueden ser procesados por un proveedor de IA de terceros y quedar sujetos a su política de retención. Confirmo que tengo autoridad para procesarlos.”</w:t>
      </w:r>
      <w:r>
        <w:t xml:space="preserve"> </w:t>
      </w:r>
      <w:r>
        <w:rPr>
          <w:rStyle w:val="VerbatimChar"/>
        </w:rPr>
        <w:t xml:space="preserve">[Acepto]</w:t>
      </w:r>
    </w:p>
    <w:bookmarkEnd w:id="12"/>
    <w:bookmarkStart w:id="13" w:name="X9a764be27ef5ce4939bf6a24bacc160d89ed99d"/>
    <w:p>
      <w:pPr>
        <w:pStyle w:val="Heading3"/>
      </w:pPr>
      <w:r>
        <w:t xml:space="preserve">2.4 Texto para el módulo de administración de API keys</w:t>
      </w:r>
    </w:p>
    <w:p>
      <w:pPr>
        <w:pStyle w:val="BlockText"/>
      </w:pPr>
      <w:r>
        <w:rPr>
          <w:b/>
          <w:bCs/>
        </w:rPr>
        <w:t xml:space="preserve">Uso de datos por proveedor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OpenAI:</w:t>
      </w:r>
      <w:r>
        <w:t xml:space="preserve"> </w:t>
      </w:r>
      <w:r>
        <w:t xml:space="preserve">estándar retiene 30 días ·</w:t>
      </w:r>
      <w:r>
        <w:t xml:space="preserve"> </w:t>
      </w:r>
      <w:r>
        <w:rPr>
          <w:b/>
          <w:bCs/>
        </w:rPr>
        <w:t xml:space="preserve">Enterprise/ZDR no retiene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Google Vertex:</w:t>
      </w:r>
      <w:r>
        <w:t xml:space="preserve"> </w:t>
      </w:r>
      <w:r>
        <w:rPr>
          <w:b/>
          <w:bCs/>
        </w:rPr>
        <w:t xml:space="preserve">no entrena</w:t>
      </w:r>
      <w:r>
        <w:t xml:space="preserve"> </w:t>
      </w:r>
      <w:r>
        <w:t xml:space="preserve">con tus datos ·</w:t>
      </w:r>
      <w:r>
        <w:t xml:space="preserve"> </w:t>
      </w:r>
      <w:r>
        <w:rPr>
          <w:b/>
          <w:bCs/>
        </w:rPr>
        <w:t xml:space="preserve">Gemini API/AI Studio:</w:t>
      </w:r>
      <w:r>
        <w:t xml:space="preserve"> </w:t>
      </w:r>
      <w:r>
        <w:t xml:space="preserve">puede entrenar salvo que se desactive.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Modelos locales:</w:t>
      </w:r>
      <w:r>
        <w:t xml:space="preserve"> </w:t>
      </w:r>
      <w:r>
        <w:t xml:space="preserve">no transfieren datos fuera de tu red.</w:t>
      </w:r>
    </w:p>
    <w:p>
      <w:pPr>
        <w:pStyle w:val="BlockText"/>
      </w:pPr>
      <w:r>
        <w:rPr>
          <w:i/>
          <w:iCs/>
        </w:rPr>
        <w:t xml:space="preserve">Al configurar una API key, se recomienda el plan que garantice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no retención / no entrenamiento</w:t>
      </w:r>
      <w:r>
        <w:rPr>
          <w:i/>
          <w:iCs/>
        </w:rPr>
        <w:t xml:space="preserve"> </w:t>
      </w:r>
      <w:r>
        <w:rPr>
          <w:i/>
          <w:iCs/>
        </w:rPr>
        <w:t xml:space="preserve">para ambientes con datos sensibles.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c6c7deed2f0eb9de8be026c369e409f5a6c37f6"/>
    <w:p>
      <w:pPr>
        <w:pStyle w:val="Heading2"/>
      </w:pPr>
      <w:r>
        <w:t xml:space="preserve">3 · Metodología de esta redacción (respaldo del guión)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Contexto medido:</w:t>
      </w:r>
      <w:r>
        <w:t xml:space="preserve"> </w:t>
      </w:r>
      <w:r>
        <w:t xml:space="preserve">uso real por proveedor (tabla §1) — el disclaimer no es genérico, refleja cómo opera la plataforma hoy.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Dimensión legal anclada en lo verificable:</w:t>
      </w:r>
      <w:r>
        <w:t xml:space="preserve"> </w:t>
      </w:r>
      <w:r>
        <w:t xml:space="preserve">la retención y el entrenamiento son hechos contractuales de cada proveedor; el disclaimer</w:t>
      </w:r>
      <w:r>
        <w:t xml:space="preserve"> </w:t>
      </w:r>
      <w:r>
        <w:rPr>
          <w:b/>
          <w:bCs/>
        </w:rPr>
        <w:t xml:space="preserve">no inventa obligaciones</w:t>
      </w:r>
      <w:r>
        <w:t xml:space="preserve">, describe la configuración de la cuenta.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Cumplimiento de normas aplicables (a validar con Joaquín):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Ley 25.326 (AR):</w:t>
      </w:r>
      <w:r>
        <w:t xml:space="preserve"> </w:t>
      </w:r>
      <w:r>
        <w:t xml:space="preserve">datos sensibles requieren consentimiento explícito y tratamiento bajo finalidades lícitas.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GDPR (UE):</w:t>
      </w:r>
      <w:r>
        <w:t xml:space="preserve"> </w:t>
      </w:r>
      <w:r>
        <w:t xml:space="preserve">transferencia internacional → requiere cláusulas contractuales tipo (SCC) o un marco de adecuación.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Políticas de retención:</w:t>
      </w:r>
      <w:r>
        <w:t xml:space="preserve"> </w:t>
      </w:r>
      <w:r>
        <w:t xml:space="preserve">el procesador (proveedor) define plazos; el responsable (cliente) debe comunicarlo.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Recomendación de configuración segura (default):</w:t>
      </w:r>
      <w:r>
        <w:t xml:space="preserve"> </w:t>
      </w:r>
      <w:r>
        <w:t xml:space="preserve">para datos sensibles usar</w:t>
      </w:r>
      <w:r>
        <w:t xml:space="preserve"> </w:t>
      </w:r>
      <w:r>
        <w:rPr>
          <w:b/>
          <w:bCs/>
        </w:rPr>
        <w:t xml:space="preserve">modelo local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plan Enterprise con Zero Data Retention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pendientes-para-cerrar-el-ticket"/>
    <w:p>
      <w:pPr>
        <w:pStyle w:val="Heading2"/>
      </w:pPr>
      <w:r>
        <w:t xml:space="preserve">4 · Pendientes para cerrar el ticket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Bloqueador</w:t>
            </w:r>
          </w:p>
        </w:tc>
        <w:tc>
          <w:tcPr/>
          <w:p>
            <w:pPr>
              <w:pStyle w:val="Compact"/>
            </w:pPr>
            <w:r>
              <w:t xml:space="preserve">Depende de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Confirmar qué planes de proveedor tiene hoy la organización (¿OpenAI con ZDR? ¿Vertex o Gemini API?)</w:t>
            </w:r>
          </w:p>
        </w:tc>
        <w:tc>
          <w:tcPr/>
          <w:p>
            <w:pPr>
              <w:pStyle w:val="Compact"/>
            </w:pPr>
            <w:r>
              <w:t xml:space="preserve">Cliente / admin</w:t>
            </w:r>
          </w:p>
        </w:tc>
        <w:tc>
          <w:tcPr/>
          <w:p>
            <w:pPr>
              <w:pStyle w:val="Compact"/>
            </w:pPr>
            <w:r>
              <w:t xml:space="preserve">Cambia el texto</w:t>
            </w:r>
            <w:r>
              <w:t xml:space="preserve"> </w:t>
            </w:r>
            <w:r>
              <w:t xml:space="preserve">“por tipo de cuenta”</w:t>
            </w:r>
            <w:r>
              <w:t xml:space="preserve"> </w:t>
            </w:r>
            <w:r>
              <w:t xml:space="preserve">(§2.2)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B2</w:t>
            </w:r>
          </w:p>
        </w:tc>
        <w:tc>
          <w:tcPr/>
          <w:p>
            <w:pPr>
              <w:pStyle w:val="Compact"/>
            </w:pPr>
            <w:r>
              <w:t xml:space="preserve">Revisión legal de Joaquín de los textos (§2.1–2.4)</w:t>
            </w:r>
          </w:p>
        </w:tc>
        <w:tc>
          <w:tcPr/>
          <w:p>
            <w:pPr>
              <w:pStyle w:val="Compact"/>
            </w:pPr>
            <w:r>
              <w:t xml:space="preserve">Ticket 2 (consulta con Joaquín)</w:t>
            </w:r>
          </w:p>
        </w:tc>
        <w:tc>
          <w:tcPr/>
          <w:p>
            <w:pPr>
              <w:pStyle w:val="Compact"/>
            </w:pPr>
            <w:r>
              <w:t xml:space="preserve">Aprobación 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B3</w:t>
            </w:r>
          </w:p>
        </w:tc>
        <w:tc>
          <w:tcPr/>
          <w:p>
            <w:pPr>
              <w:pStyle w:val="Compact"/>
            </w:pPr>
            <w:r>
              <w:t xml:space="preserve">Ubicación técnica del disclaimer (banner al subir, footer, admin de keys, o varios)</w:t>
            </w:r>
          </w:p>
        </w:tc>
        <w:tc>
          <w:tcPr/>
          <w:p>
            <w:pPr>
              <w:pStyle w:val="Compact"/>
            </w:pPr>
            <w:r>
              <w:t xml:space="preserve">Devs + diseño</w:t>
            </w:r>
          </w:p>
        </w:tc>
        <w:tc>
          <w:tcPr/>
          <w:p>
            <w:pPr>
              <w:pStyle w:val="Compact"/>
            </w:pPr>
            <w:r>
              <w:t xml:space="preserve">Alcance de implementación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B4</w:t>
            </w:r>
          </w:p>
        </w:tc>
        <w:tc>
          <w:tcPr/>
          <w:p>
            <w:pPr>
              <w:pStyle w:val="Compact"/>
            </w:pPr>
            <w:r>
              <w:t xml:space="preserve">Idioma adicional (¿inglés requerido?)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Versión bilingüe si aplica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B5</w:t>
            </w:r>
          </w:p>
        </w:tc>
        <w:tc>
          <w:tcPr/>
          <w:p>
            <w:pPr>
              <w:pStyle w:val="Compact"/>
            </w:pPr>
            <w:r>
              <w:t xml:space="preserve">Nombrar el responsable (data owner) que confirma autoridad de procesamiento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Texto del consentimiento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archivos-relacionados"/>
    <w:p>
      <w:pPr>
        <w:pStyle w:val="Heading2"/>
      </w:pPr>
      <w:r>
        <w:t xml:space="preserve">5 · Archivos relacionados</w:t>
      </w:r>
    </w:p>
    <w:p>
      <w:pPr>
        <w:pStyle w:val="Compact"/>
        <w:numPr>
          <w:ilvl w:val="0"/>
          <w:numId w:val="1004"/>
        </w:numPr>
      </w:pPr>
      <w:r>
        <w:t xml:space="preserve">Guión de la consulta a Joaquín:</w:t>
      </w:r>
      <w:r>
        <w:t xml:space="preserve"> </w:t>
      </w:r>
      <w:r>
        <w:rPr>
          <w:rStyle w:val="VerbatimChar"/>
        </w:rPr>
        <w:t xml:space="preserve">guion-consulta-joaquin-datos-sensibles.md</w:t>
      </w:r>
    </w:p>
    <w:p>
      <w:pPr>
        <w:pStyle w:val="Compact"/>
        <w:numPr>
          <w:ilvl w:val="0"/>
          <w:numId w:val="1004"/>
        </w:numPr>
      </w:pPr>
      <w:r>
        <w:t xml:space="preserve">Página de retención de los proveedores: OpenAI Help Center · Google Cloud (Vertex AI / data governance) · Mistral Trust &amp; Security · alternativas:</w:t>
      </w:r>
      <w:r>
        <w:t xml:space="preserve"> </w:t>
      </w:r>
      <w:r>
        <w:t xml:space="preserve">“Retention of inputs and outputs”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2026-09-14T14:24:42Z</dcterms:created>
  <dcterms:modified xsi:type="dcterms:W3CDTF">2026-09-14T14:24:42Z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