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95bc6d17226e4dc2e8e79156b3c25afbb6bf439"/>
    <w:p>
      <w:pPr>
        <w:pStyle w:val="Heading1"/>
      </w:pPr>
      <w:r>
        <w:t xml:space="preserve">Guión de consulta — Joaquín (abogado e investigador en IA) · Multi OCR Tool</w:t>
      </w:r>
    </w:p>
    <w:p>
      <w:pPr>
        <w:pStyle w:val="BlockText"/>
      </w:pPr>
      <w:r>
        <w:rPr>
          <w:b/>
          <w:bCs/>
        </w:rPr>
        <w:t xml:space="preserve">Ticket:</w:t>
      </w:r>
      <w:r>
        <w:t xml:space="preserve"> </w:t>
      </w:r>
      <w:r>
        <w:t xml:space="preserve">“Consultar con Joaquín sobre mejores prácticas legales y disclaimers de privacidad”</w:t>
      </w:r>
      <w:r>
        <w:t xml:space="preserve"> </w:t>
      </w:r>
      <w:r>
        <w:t xml:space="preserve">(Épica ARG-597)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validar con Joaquín cómo asegurar que los datos sensibles no sean retenidos por el LLM, y definir mejores prácticas legales y técnicas para el disclaimer de la plataforma.</w:t>
      </w:r>
    </w:p>
    <w:p>
      <w:r>
        <w:pict>
          <v:rect style="width:0;height:1.5pt" o:hralign="center" o:hrstd="t" o:hr="t"/>
        </w:pict>
      </w:r>
    </w:p>
    <w:bookmarkStart w:id="9" w:name="X8d75013dd504b911c4a8b45bbe52ebddbf20a32"/>
    <w:p>
      <w:pPr>
        <w:pStyle w:val="Heading2"/>
      </w:pPr>
      <w:r>
        <w:t xml:space="preserve">1 · Contexto que me llevo (datos reales de la plataforma)</w:t>
      </w:r>
    </w:p>
    <w:p>
      <w:pPr>
        <w:pStyle w:val="Compact"/>
        <w:numPr>
          <w:ilvl w:val="0"/>
          <w:numId w:val="1001"/>
        </w:numPr>
      </w:pPr>
      <w:r>
        <w:t xml:space="preserve">Multi OCR Tool procesa</w:t>
      </w:r>
      <w:r>
        <w:t xml:space="preserve"> </w:t>
      </w:r>
      <w:r>
        <w:rPr>
          <w:b/>
          <w:bCs/>
        </w:rPr>
        <w:t xml:space="preserve">facturas, remisiones y contratos</w:t>
      </w:r>
      <w:r>
        <w:t xml:space="preserve"> </w:t>
      </w:r>
      <w:r>
        <w:t xml:space="preserve">(esquemas de extracción de datos).</w:t>
      </w:r>
    </w:p>
    <w:p>
      <w:pPr>
        <w:pStyle w:val="Compact"/>
        <w:numPr>
          <w:ilvl w:val="0"/>
          <w:numId w:val="1001"/>
        </w:numPr>
      </w:pPr>
      <w:r>
        <w:t xml:space="preserve">El contenido del documento</w:t>
      </w:r>
      <w:r>
        <w:t xml:space="preserve"> </w:t>
      </w:r>
      <w:r>
        <w:rPr>
          <w:b/>
          <w:bCs/>
        </w:rPr>
        <w:t xml:space="preserve">se envía a un proveedor LLM</w:t>
      </w:r>
      <w:r>
        <w:t xml:space="preserve"> </w:t>
      </w:r>
      <w:r>
        <w:t xml:space="preserve">según la API key configurada.</w:t>
      </w:r>
    </w:p>
    <w:p>
      <w:pPr>
        <w:pStyle w:val="Compact"/>
        <w:numPr>
          <w:ilvl w:val="0"/>
          <w:numId w:val="1001"/>
        </w:numPr>
      </w:pPr>
      <w:r>
        <w:t xml:space="preserve">Uso real en producción:</w:t>
      </w:r>
      <w:r>
        <w:t xml:space="preserve"> </w:t>
      </w:r>
      <w:r>
        <w:rPr>
          <w:b/>
          <w:bCs/>
        </w:rPr>
        <w:t xml:space="preserve">OpenAI (gpt-5-mini) ~98% · Gemini gemini-3-flash 1,6% · Paligemma (local) 0,1% · Mistral 0,1%</w:t>
      </w:r>
      <w:r>
        <w:t xml:space="preserve">. 6 API keys distintas.</w:t>
      </w:r>
    </w:p>
    <w:p>
      <w:pPr>
        <w:pStyle w:val="Compact"/>
        <w:numPr>
          <w:ilvl w:val="0"/>
          <w:numId w:val="1001"/>
        </w:numPr>
      </w:pPr>
      <w:r>
        <w:t xml:space="preserve">La retención de datos depende del</w:t>
      </w:r>
      <w:r>
        <w:t xml:space="preserve"> </w:t>
      </w:r>
      <w:r>
        <w:rPr>
          <w:b/>
          <w:bCs/>
        </w:rPr>
        <w:t xml:space="preserve">tipo de cuenta</w:t>
      </w:r>
      <w:r>
        <w:t xml:space="preserve"> </w:t>
      </w:r>
      <w:r>
        <w:t xml:space="preserve">del proveedor (Free / Paid / Enterprise / Local).</w:t>
      </w:r>
    </w:p>
    <w:p>
      <w:r>
        <w:pict>
          <v:rect style="width:0;height:1.5pt" o:hralign="center" o:hrstd="t" o:hr="t"/>
        </w:pict>
      </w:r>
    </w:p>
    <w:bookmarkEnd w:id="9"/>
    <w:bookmarkStart w:id="13" w:name="preguntas-legales-para-joaquín"/>
    <w:p>
      <w:pPr>
        <w:pStyle w:val="Heading2"/>
      </w:pPr>
      <w:r>
        <w:t xml:space="preserve">2 · Preguntas legales (para Joaquín)</w:t>
      </w:r>
    </w:p>
    <w:bookmarkStart w:id="10" w:name="a-retención-por-el-llm"/>
    <w:p>
      <w:pPr>
        <w:pStyle w:val="Heading3"/>
      </w:pPr>
      <w:r>
        <w:t xml:space="preserve">A · Retención por el LLM</w:t>
      </w:r>
    </w:p>
    <w:p>
      <w:pPr>
        <w:pStyle w:val="Compact"/>
        <w:numPr>
          <w:ilvl w:val="0"/>
          <w:numId w:val="1002"/>
        </w:numPr>
      </w:pPr>
      <w:r>
        <w:t xml:space="preserve">¿Qué significa jurídicamente que un proveedor LLM</w:t>
      </w:r>
      <w:r>
        <w:t xml:space="preserve"> </w:t>
      </w:r>
      <w:r>
        <w:rPr>
          <w:b/>
          <w:bCs/>
        </w:rPr>
        <w:t xml:space="preserve">retenga</w:t>
      </w:r>
      <w:r>
        <w:t xml:space="preserve"> </w:t>
      </w:r>
      <w:r>
        <w:t xml:space="preserve">los inputs/outputs por 30 días (OpenAI estándar) o sin retención (Enterprise/ZDR)? ¿Bajo qué norma se analiza la retención (Ley 25.326 AR / GDPR / otras)?</w:t>
      </w:r>
    </w:p>
    <w:p>
      <w:pPr>
        <w:pStyle w:val="Compact"/>
        <w:numPr>
          <w:ilvl w:val="0"/>
          <w:numId w:val="1002"/>
        </w:numPr>
      </w:pPr>
      <w:r>
        <w:t xml:space="preserve">¿Cómo se clasifican estos documentos (facturas, contratos, remisiones) respecto a</w:t>
      </w:r>
      <w:r>
        <w:t xml:space="preserve"> </w:t>
      </w:r>
      <w:r>
        <w:rPr>
          <w:b/>
          <w:bCs/>
        </w:rPr>
        <w:t xml:space="preserve">datos sensibles</w:t>
      </w:r>
      <w:r>
        <w:t xml:space="preserve"> </w:t>
      </w:r>
      <w:r>
        <w:t xml:space="preserve">según Ley 25.326 (art. 2º: origen racial, salud, ideología, hábitos sexuales…)? ¿Cuándo un documento sobrepasa</w:t>
      </w:r>
      <w:r>
        <w:t xml:space="preserve"> </w:t>
      </w:r>
      <w:r>
        <w:t xml:space="preserve">“datos sensibles”</w:t>
      </w:r>
      <w:r>
        <w:t xml:space="preserve"> </w:t>
      </w:r>
      <w:r>
        <w:t xml:space="preserve">y cuándo es solo</w:t>
      </w:r>
      <w:r>
        <w:t xml:space="preserve"> </w:t>
      </w:r>
      <w:r>
        <w:t xml:space="preserve">“dato personal”</w:t>
      </w:r>
      <w:r>
        <w:t xml:space="preserve">? ¿Un contrato con DNI/CUIT es sensible o personal?</w:t>
      </w:r>
    </w:p>
    <w:p>
      <w:pPr>
        <w:pStyle w:val="Compact"/>
        <w:numPr>
          <w:ilvl w:val="0"/>
          <w:numId w:val="1002"/>
        </w:numPr>
      </w:pPr>
      <w:r>
        <w:t xml:space="preserve">Si el proveedor</w:t>
      </w:r>
      <w:r>
        <w:t xml:space="preserve"> </w:t>
      </w:r>
      <w:r>
        <w:rPr>
          <w:b/>
          <w:bCs/>
        </w:rPr>
        <w:t xml:space="preserve">usa los datos para entrenar modelos aislados</w:t>
      </w:r>
      <w:r>
        <w:t xml:space="preserve"> </w:t>
      </w:r>
      <w:r>
        <w:t xml:space="preserve">(ej. OpenAI sin ZDR), ¿eso configura una</w:t>
      </w:r>
      <w:r>
        <w:t xml:space="preserve"> </w:t>
      </w:r>
      <w:r>
        <w:rPr>
          <w:b/>
          <w:bCs/>
        </w:rPr>
        <w:t xml:space="preserve">cesión o transferencia internacional de datos</w:t>
      </w:r>
      <w:r>
        <w:t xml:space="preserve">? ¿Qué consentimiento / base de legitimación se requiere?</w:t>
      </w:r>
    </w:p>
    <w:p>
      <w:pPr>
        <w:pStyle w:val="Compact"/>
        <w:numPr>
          <w:ilvl w:val="0"/>
          <w:numId w:val="1002"/>
        </w:numPr>
      </w:pPr>
      <w:r>
        <w:t xml:space="preserve">¿Es suficiente el consentimiento del usuario que sube el documento, o la plataforma debe garantizar el consentimiento del</w:t>
      </w:r>
      <w:r>
        <w:t xml:space="preserve"> </w:t>
      </w:r>
      <w:r>
        <w:rPr>
          <w:b/>
          <w:bCs/>
        </w:rPr>
        <w:t xml:space="preserve">titular de los datos contenidos</w:t>
      </w:r>
      <w:r>
        <w:t xml:space="preserve"> </w:t>
      </w:r>
      <w:r>
        <w:t xml:space="preserve">(tercera persona de la factura/contrato)?</w:t>
      </w:r>
    </w:p>
    <w:bookmarkEnd w:id="10"/>
    <w:bookmarkStart w:id="11" w:name="b-disclaimer-y-privacidad"/>
    <w:p>
      <w:pPr>
        <w:pStyle w:val="Heading3"/>
      </w:pPr>
      <w:r>
        <w:t xml:space="preserve">B · Disclaimer y privacidad</w:t>
      </w:r>
    </w:p>
    <w:p>
      <w:pPr>
        <w:pStyle w:val="Compact"/>
        <w:numPr>
          <w:ilvl w:val="0"/>
          <w:numId w:val="1003"/>
        </w:numPr>
      </w:pPr>
      <w:r>
        <w:t xml:space="preserve">¿El disclaimer del tipo</w:t>
      </w:r>
      <w:r>
        <w:t xml:space="preserve"> </w:t>
      </w:r>
      <w:r>
        <w:t xml:space="preserve">“los datos pueden ser procesados por un tercero”</w:t>
      </w:r>
      <w:r>
        <w:t xml:space="preserve"> </w:t>
      </w:r>
      <w:r>
        <w:t xml:space="preserve">es suficiente, o qué información mínima debe contener (identidad responsable, finalidad, destino, derechos ARCO, plazo de conservación)?</w:t>
      </w:r>
    </w:p>
    <w:p>
      <w:pPr>
        <w:pStyle w:val="Compact"/>
        <w:numPr>
          <w:ilvl w:val="0"/>
          <w:numId w:val="1003"/>
        </w:numPr>
      </w:pPr>
      <w:r>
        <w:t xml:space="preserve">¿Conviene distinción por</w:t>
      </w:r>
      <w:r>
        <w:t xml:space="preserve"> </w:t>
      </w:r>
      <w:r>
        <w:rPr>
          <w:b/>
          <w:bCs/>
        </w:rPr>
        <w:t xml:space="preserve">tipo de cuenta</w:t>
      </w:r>
      <w:r>
        <w:t xml:space="preserve"> </w:t>
      </w:r>
      <w:r>
        <w:t xml:space="preserve">(Free/Paid/Enterprise/Local) dentro del disclaimer, o eso confunde y expone al cliente? ¿Es obligatorio informar la retención antes de la subida (consentimiento informado)?</w:t>
      </w:r>
    </w:p>
    <w:p>
      <w:pPr>
        <w:pStyle w:val="Compact"/>
        <w:numPr>
          <w:ilvl w:val="0"/>
          <w:numId w:val="1003"/>
        </w:numPr>
      </w:pPr>
      <w:r>
        <w:t xml:space="preserve">¿Qué vigencia tienen los</w:t>
      </w:r>
      <w:r>
        <w:t xml:space="preserve"> </w:t>
      </w:r>
      <w:r>
        <w:rPr>
          <w:b/>
          <w:bCs/>
        </w:rPr>
        <w:t xml:space="preserve">términos de servicio</w:t>
      </w:r>
      <w:r>
        <w:t xml:space="preserve"> </w:t>
      </w:r>
      <w:r>
        <w:t xml:space="preserve">de proveedores (OpenAI/Google/Mistral) como fundamento legal del tratamiento? ¿Decaerá esa defensa con la Ley Argentina de Defensa del Consumidor al usar cuentas free vs enterprise?</w:t>
      </w:r>
    </w:p>
    <w:bookmarkEnd w:id="11"/>
    <w:bookmarkStart w:id="12" w:name="c-práctica-recomendada"/>
    <w:p>
      <w:pPr>
        <w:pStyle w:val="Heading3"/>
      </w:pPr>
      <w:r>
        <w:t xml:space="preserve">C · Práctica recomendada</w:t>
      </w:r>
    </w:p>
    <w:p>
      <w:pPr>
        <w:pStyle w:val="Compact"/>
        <w:numPr>
          <w:ilvl w:val="0"/>
          <w:numId w:val="1004"/>
        </w:numPr>
      </w:pPr>
      <w:r>
        <w:t xml:space="preserve">¿Cuál es la</w:t>
      </w:r>
      <w:r>
        <w:t xml:space="preserve"> </w:t>
      </w:r>
      <w:r>
        <w:rPr>
          <w:b/>
          <w:bCs/>
        </w:rPr>
        <w:t xml:space="preserve">mejor práctica</w:t>
      </w:r>
      <w:r>
        <w:t xml:space="preserve"> </w:t>
      </w:r>
      <w:r>
        <w:t xml:space="preserve">para documentos con datos sensibles: modelo local (sin transferencia) frente a cloud con ZDR? ¿Existe obligación legal de minimización (subir solo lo necesario)?</w:t>
      </w:r>
    </w:p>
    <w:p>
      <w:pPr>
        <w:pStyle w:val="Compact"/>
        <w:numPr>
          <w:ilvl w:val="0"/>
          <w:numId w:val="1004"/>
        </w:numPr>
      </w:pPr>
      <w:r>
        <w:t xml:space="preserve">¿Recomendás algún</w:t>
      </w:r>
      <w:r>
        <w:t xml:space="preserve"> </w:t>
      </w:r>
      <w:r>
        <w:rPr>
          <w:b/>
          <w:bCs/>
        </w:rPr>
        <w:t xml:space="preserve">modelo de cláusula o disclaimer tipo</w:t>
      </w:r>
      <w:r>
        <w:t xml:space="preserve"> </w:t>
      </w:r>
      <w:r>
        <w:t xml:space="preserve">(plantilla)? ¿Qué referencias normativas citaría (25.326, GDPR, ISO/IEC 27701, principios de privacy by design)?</w:t>
      </w:r>
    </w:p>
    <w:p>
      <w:pPr>
        <w:pStyle w:val="Compact"/>
        <w:numPr>
          <w:ilvl w:val="0"/>
          <w:numId w:val="1004"/>
        </w:numPr>
      </w:pPr>
      <w:r>
        <w:t xml:space="preserve">Para la versión</w:t>
      </w:r>
      <w:r>
        <w:t xml:space="preserve"> </w:t>
      </w:r>
      <w:r>
        <w:rPr>
          <w:b/>
          <w:bCs/>
        </w:rPr>
        <w:t xml:space="preserve">internacional</w:t>
      </w:r>
      <w:r>
        <w:t xml:space="preserve"> </w:t>
      </w:r>
      <w:r>
        <w:t xml:space="preserve">(si el producto sale a más países): ¿conviene un único disclaimer genérico o versiones por jurisdicción?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9bf2d1c78700b1cf330502d6e14e6fe1f064e7d"/>
    <w:p>
      <w:pPr>
        <w:pStyle w:val="Heading2"/>
      </w:pPr>
      <w:r>
        <w:t xml:space="preserve">3 · Preguntas técnicas (para validar las afirmaciones del disclaimer)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OpenAI:</w:t>
      </w:r>
      <w:r>
        <w:t xml:space="preserve"> </w:t>
      </w:r>
      <w:r>
        <w:t xml:space="preserve">confirmar que ZDR (Zero Data Retention) existe solo en</w:t>
      </w:r>
      <w:r>
        <w:t xml:space="preserve"> </w:t>
      </w:r>
      <w:r>
        <w:rPr>
          <w:b/>
          <w:bCs/>
        </w:rPr>
        <w:t xml:space="preserve">Enterprise</w:t>
      </w:r>
      <w:r>
        <w:t xml:space="preserve"> </w:t>
      </w:r>
      <w:r>
        <w:t xml:space="preserve">y que el plan estándar retiene 30 días. ¿El endpoint con la cuenta Paid utilizó</w:t>
      </w:r>
      <w:r>
        <w:t xml:space="preserve"> </w:t>
      </w:r>
      <w:r>
        <w:t xml:space="preserve">“training isolation”</w:t>
      </w:r>
      <w:r>
        <w:t xml:space="preserve"> </w:t>
      </w:r>
      <w:r>
        <w:t xml:space="preserve">por defecto?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Google:</w:t>
      </w:r>
      <w:r>
        <w:t xml:space="preserve"> </w:t>
      </w:r>
      <w:r>
        <w:t xml:space="preserve">confirmar que</w:t>
      </w:r>
      <w:r>
        <w:t xml:space="preserve"> </w:t>
      </w:r>
      <w:r>
        <w:rPr>
          <w:b/>
          <w:bCs/>
        </w:rPr>
        <w:t xml:space="preserve">Vertex AI no usa datos para entrenar</w:t>
      </w:r>
      <w:r>
        <w:t xml:space="preserve"> </w:t>
      </w:r>
      <w:r>
        <w:t xml:space="preserve">y que</w:t>
      </w:r>
      <w:r>
        <w:t xml:space="preserve"> </w:t>
      </w:r>
      <w:r>
        <w:rPr>
          <w:b/>
          <w:bCs/>
        </w:rPr>
        <w:t xml:space="preserve">Gemini API / AI Studio puede</w:t>
      </w:r>
      <w:r>
        <w:t xml:space="preserve"> </w:t>
      </w:r>
      <w:r>
        <w:t xml:space="preserve">hacerlo si no se desactiva la preferencia. ¿Qué configuración técnica hay que tocar para desactivar la mejora?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Mistral:</w:t>
      </w:r>
      <w:r>
        <w:t xml:space="preserve"> </w:t>
      </w:r>
      <w:r>
        <w:t xml:space="preserve">plazos de retención de logs según plan (standard vs enterprise).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Local (Paligemma/Ollama):</w:t>
      </w:r>
      <w:r>
        <w:t xml:space="preserve"> </w:t>
      </w:r>
      <w:r>
        <w:t xml:space="preserve">verificada la no transferencia, ¿toda la infraestructura es propia (sin llamadas a telemetría del proveedor de hardware)? También atender el supuesto de modelos locales que hacen</w:t>
      </w:r>
      <w:r>
        <w:t xml:space="preserve"> </w:t>
      </w:r>
      <w:r>
        <w:rPr>
          <w:b/>
          <w:bCs/>
        </w:rPr>
        <w:t xml:space="preserve">telemetría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¿Existe</w:t>
      </w:r>
      <w:r>
        <w:t xml:space="preserve"> </w:t>
      </w:r>
      <w:r>
        <w:rPr>
          <w:b/>
          <w:bCs/>
        </w:rPr>
        <w:t xml:space="preserve">logging de contenido</w:t>
      </w:r>
      <w:r>
        <w:t xml:space="preserve"> </w:t>
      </w:r>
      <w:r>
        <w:t xml:space="preserve">en el lado de la plataforma (ailogs) que esté capturando documentos completos? Si sí, eso es retención propia y debe informarse también.</w:t>
      </w:r>
    </w:p>
    <w:p>
      <w:r>
        <w:pict>
          <v:rect style="width:0;height:1.5pt" o:hralign="center" o:hrstd="t" o:hr="t"/>
        </w:pict>
      </w:r>
    </w:p>
    <w:bookmarkEnd w:id="14"/>
    <w:bookmarkStart w:id="15" w:name="lo-que-espero-llevarme-de-la-reunión"/>
    <w:p>
      <w:pPr>
        <w:pStyle w:val="Heading2"/>
      </w:pPr>
      <w:r>
        <w:t xml:space="preserve">4 · Lo que espero llevarme de la reunión</w:t>
      </w:r>
    </w:p>
    <w:p>
      <w:pPr>
        <w:pStyle w:val="Compact"/>
        <w:numPr>
          <w:ilvl w:val="0"/>
          <w:numId w:val="1006"/>
        </w:numPr>
      </w:pPr>
      <w:r>
        <w:t xml:space="preserve">Respuestas A1–A10 con fundamento (norma citada).</w:t>
      </w:r>
    </w:p>
    <w:p>
      <w:pPr>
        <w:pStyle w:val="Compact"/>
        <w:numPr>
          <w:ilvl w:val="0"/>
          <w:numId w:val="1007"/>
        </w:numPr>
      </w:pPr>
      <w:r>
        <w:t xml:space="preserve">Confirmación/corrección de la tabla</w:t>
      </w:r>
      <w:r>
        <w:t xml:space="preserve"> </w:t>
      </w:r>
      <w:r>
        <w:t xml:space="preserve">“por tipo de cuenta”</w:t>
      </w:r>
      <w:r>
        <w:t xml:space="preserve"> </w:t>
      </w:r>
      <w:r>
        <w:t xml:space="preserve">del disclaimer.</w:t>
      </w:r>
    </w:p>
    <w:p>
      <w:pPr>
        <w:pStyle w:val="Compact"/>
        <w:numPr>
          <w:ilvl w:val="0"/>
          <w:numId w:val="1008"/>
        </w:numPr>
      </w:pPr>
      <w:r>
        <w:t xml:space="preserve">Veredicto sobre si la plataforma debe</w:t>
      </w:r>
      <w:r>
        <w:t xml:space="preserve"> </w:t>
      </w:r>
      <w:r>
        <w:rPr>
          <w:b/>
          <w:bCs/>
        </w:rPr>
        <w:t xml:space="preserve">bloquear</w:t>
      </w:r>
      <w:r>
        <w:t xml:space="preserve"> </w:t>
      </w:r>
      <w:r>
        <w:t xml:space="preserve">la subida de datos sensibles por defecto o solo advertir.</w:t>
      </w:r>
    </w:p>
    <w:p>
      <w:pPr>
        <w:pStyle w:val="Compact"/>
        <w:numPr>
          <w:ilvl w:val="0"/>
          <w:numId w:val="1009"/>
        </w:numPr>
      </w:pPr>
      <w:r>
        <w:t xml:space="preserve">Recomendación de configuración segura para clientes con datos sensibles (mini-guía de una página).</w:t>
      </w:r>
    </w:p>
    <w:p>
      <w:pPr>
        <w:pStyle w:val="Compact"/>
        <w:numPr>
          <w:ilvl w:val="0"/>
          <w:numId w:val="1010"/>
        </w:numPr>
      </w:pPr>
      <w:r>
        <w:t xml:space="preserve">Nombre y evidencia (artículos/docs) para adjuntar al ticket ARG-597.</w:t>
      </w:r>
    </w:p>
    <w:p>
      <w:r>
        <w:pict>
          <v:rect style="width:0;height:1.5pt" o:hralign="center" o:hrstd="t" o:hr="t"/>
        </w:pict>
      </w:r>
    </w:p>
    <w:bookmarkEnd w:id="15"/>
    <w:bookmarkStart w:id="16" w:name="notas-a-llevar-en-la-reunión"/>
    <w:p>
      <w:pPr>
        <w:pStyle w:val="Heading2"/>
      </w:pPr>
      <w:r>
        <w:t xml:space="preserve">5 · Notas a llevar en la reunión</w:t>
      </w:r>
    </w:p>
    <w:p>
      <w:pPr>
        <w:pStyle w:val="Compact"/>
        <w:numPr>
          <w:ilvl w:val="0"/>
          <w:numId w:val="1011"/>
        </w:numPr>
      </w:pPr>
      <w:r>
        <w:t xml:space="preserve">La propuesta no inventa obligaciones: describe la retención contractual real del proveedor.</w:t>
      </w:r>
    </w:p>
    <w:p>
      <w:pPr>
        <w:pStyle w:val="Compact"/>
        <w:numPr>
          <w:ilvl w:val="0"/>
          <w:numId w:val="1011"/>
        </w:numPr>
      </w:pPr>
      <w:r>
        <w:t xml:space="preserve">Algunas cuentas usan nombres de esquema en español y modelos preview (gemini-3-flash-preview) → validar si eso cambia la política de retención (modelos preview pueden tener retención diferente, ej. gemini flash preview de Google).</w:t>
      </w:r>
    </w:p>
    <w:p>
      <w:pPr>
        <w:pStyle w:val="Compact"/>
        <w:numPr>
          <w:ilvl w:val="0"/>
          <w:numId w:val="1011"/>
        </w:numPr>
      </w:pPr>
      <w:r>
        <w:t xml:space="preserve">Decisión de producto pendiente: ¿el modelo local es opción ofrecida por defecto o solo</w:t>
      </w:r>
      <w:r>
        <w:t xml:space="preserve"> </w:t>
      </w:r>
      <w:r>
        <w:t xml:space="preserve">“avanzado”</w:t>
      </w:r>
      <w:r>
        <w:t xml:space="preserve">?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2026-09-14T14:24:42Z</dcterms:created>
  <dcterms:modified xsi:type="dcterms:W3CDTF">2026-09-14T14:24:42Z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