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2d1882ffc0a55f1f34535d842d6def51775703"/>
    <w:p>
      <w:pPr>
        <w:pStyle w:val="Heading1"/>
      </w:pPr>
      <w:r>
        <w:t xml:space="preserve">Mensaje para Joaquín — Consulta legal · Multi OCR Tool</w:t>
      </w:r>
    </w:p>
    <w:p>
      <w:pPr>
        <w:pStyle w:val="BlockText"/>
      </w:pPr>
      <w:r>
        <w:t xml:space="preserve">Listo para copiar/pegar como email o mensaje. Solo completar el saludo final y los datos de contacto.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Asunto:</w:t>
      </w:r>
      <w:r>
        <w:t xml:space="preserve"> </w:t>
      </w:r>
      <w:r>
        <w:t xml:space="preserve">Consulta legal — Aviso de privacidad y tratamiento por IA de una plataforma de extracción de datos con LLMs</w:t>
      </w:r>
    </w:p>
    <w:p>
      <w:pPr>
        <w:pStyle w:val="BodyText"/>
      </w:pPr>
      <w:r>
        <w:rPr>
          <w:b/>
          <w:bCs/>
        </w:rPr>
        <w:t xml:space="preserve">Hola Joaquín,</w:t>
      </w:r>
    </w:p>
    <w:p>
      <w:pPr>
        <w:pStyle w:val="BodyText"/>
      </w:pPr>
      <w:r>
        <w:t xml:space="preserve">Te escribo del equipo que está desarrollando</w:t>
      </w:r>
      <w:r>
        <w:t xml:space="preserve"> </w:t>
      </w:r>
      <w:r>
        <w:rPr>
          <w:b/>
          <w:bCs/>
        </w:rPr>
        <w:t xml:space="preserve">Multi OCR Tool</w:t>
      </w:r>
      <w:r>
        <w:t xml:space="preserve"> </w:t>
      </w:r>
      <w:r>
        <w:t xml:space="preserve">(árbol de trabajo ARG-597). Necesitamos tu criterio legal para cerrar un documento que regirá la privacidad del producto, y en paralelo validar con vos algunas preguntas que la investigación por nuestra cuenta no pudo responder con certeza.</w:t>
      </w:r>
    </w:p>
    <w:bookmarkStart w:id="9" w:name="contexto-del-producto"/>
    <w:p>
      <w:pPr>
        <w:pStyle w:val="Heading2"/>
      </w:pPr>
      <w:r>
        <w:t xml:space="preserve">1 · Contexto del producto</w:t>
      </w:r>
    </w:p>
    <w:p>
      <w:pPr>
        <w:pStyle w:val="FirstParagraph"/>
      </w:pPr>
      <w:r>
        <w:t xml:space="preserve">Multi OCR Tool es una plataforma que</w:t>
      </w:r>
      <w:r>
        <w:t xml:space="preserve"> </w:t>
      </w:r>
      <w:r>
        <w:rPr>
          <w:b/>
          <w:bCs/>
        </w:rPr>
        <w:t xml:space="preserve">extrae datos de documentos</w:t>
      </w:r>
      <w:r>
        <w:t xml:space="preserve"> </w:t>
      </w:r>
      <w:r>
        <w:t xml:space="preserve">(facturas, remisiones, contratos y comprobantes afines) mediante</w:t>
      </w:r>
      <w:r>
        <w:t xml:space="preserve"> </w:t>
      </w:r>
      <w:r>
        <w:rPr>
          <w:b/>
          <w:bCs/>
        </w:rPr>
        <w:t xml:space="preserve">modelos de lenguaje de gran tamaño (LLM)</w:t>
      </w:r>
      <w:r>
        <w:t xml:space="preserve">. Para funcionar, el contenido de cada documento se envía a un proveedor externo (OpenAI, Google o Mistral, según la cuenta configurada) o se procesa con un modelo local (ej. Paligemma/Ollama), y el resultado de extracción se devuelve al usuario.</w:t>
      </w:r>
    </w:p>
    <w:p>
      <w:pPr>
        <w:pStyle w:val="BodyText"/>
      </w:pPr>
      <w:r>
        <w:t xml:space="preserve">El uso real en producción es:</w:t>
      </w:r>
      <w:r>
        <w:t xml:space="preserve"> </w:t>
      </w:r>
      <w:r>
        <w:rPr>
          <w:b/>
          <w:bCs/>
        </w:rPr>
        <w:t xml:space="preserve">~98% OpenAI (gpt-5-mini), ~1,6% Google Gemini, menos de 1% Mistral y modelo local.</w:t>
      </w:r>
      <w:r>
        <w:t xml:space="preserve"> </w:t>
      </w:r>
      <w:r>
        <w:t xml:space="preserve">Todavía no está cerrada la decisión de qué modelo(s) se usarán en definitiva — por eso las preguntas te las organizo generales (por categoría de modelo) y específicas (por proveedor).</w:t>
      </w:r>
    </w:p>
    <w:p>
      <w:pPr>
        <w:pStyle w:val="BodyText"/>
      </w:pPr>
      <w:r>
        <w:t xml:space="preserve">El producto se ofrece a empresas que procesan documentación comercial propia y de sus clientes/proveedores.</w:t>
      </w:r>
    </w:p>
    <w:bookmarkEnd w:id="9"/>
    <w:bookmarkStart w:id="10" w:name="Xec22f97ef91e8f5f2f2d3f73cc386ff54e2693f"/>
    <w:p>
      <w:pPr>
        <w:pStyle w:val="Heading2"/>
      </w:pPr>
      <w:r>
        <w:t xml:space="preserve">2 · Qué ya investigamos por nuestra cuenta (para que no partamos de cero)</w:t>
      </w:r>
    </w:p>
    <w:p>
      <w:pPr>
        <w:pStyle w:val="FirstParagraph"/>
      </w:pPr>
      <w:r>
        <w:t xml:space="preserve">Antes de escribirte hicimos una revisión con fuentes sobre: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Naturaleza legal de los documentos.</w:t>
      </w:r>
      <w:r>
        <w:t xml:space="preserve"> </w:t>
      </w:r>
      <w:r>
        <w:t xml:space="preserve">Según doctrina que cita la Ley 25.326 y criterios de la AAIP, las facturas, remitos y contratos contienen</w:t>
      </w:r>
      <w:r>
        <w:t xml:space="preserve"> </w:t>
      </w:r>
      <w:r>
        <w:rPr>
          <w:b/>
          <w:bCs/>
        </w:rPr>
        <w:t xml:space="preserve">datos personales de carácter</w:t>
      </w:r>
      <w:r>
        <w:rPr>
          <w:b/>
          <w:bCs/>
        </w:rPr>
        <w:t xml:space="preserve"> </w:t>
      </w:r>
      <w:r>
        <w:rPr>
          <w:b/>
          <w:bCs/>
        </w:rPr>
        <w:t xml:space="preserve">“intermedio”</w:t>
      </w:r>
      <w:r>
        <w:rPr>
          <w:b/>
          <w:bCs/>
        </w:rPr>
        <w:t xml:space="preserve"> </w:t>
      </w:r>
      <w:r>
        <w:rPr>
          <w:b/>
          <w:bCs/>
        </w:rPr>
        <w:t xml:space="preserve">y, por regla general, NO sensibles</w:t>
      </w:r>
      <w:r>
        <w:t xml:space="preserve"> </w:t>
      </w:r>
      <w:r>
        <w:t xml:space="preserve">(sensibles son los de origen racial/étnico, ideas políticas, convicciones religiosas, afiliación sindical, salud y vida sexual, según el art. 2º).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Retención y entrenamiento de cada proveedor:</w:t>
      </w:r>
      <w:r>
        <w:t xml:space="preserve"> </w:t>
      </w:r>
      <w:r>
        <w:t xml:space="preserve">OpenAI no entrena con la API y retiene logs hasta 30 días; Google no usa los datos para entrenar cuando hay cuenta pagada; Mistral no entrena por defecto; el modelo local no envía nada a terceros (salvo detalles de telemetría que se pueden desactivar).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Transferencia internacional:</w:t>
      </w:r>
      <w:r>
        <w:t xml:space="preserve"> </w:t>
      </w:r>
      <w:r>
        <w:t xml:space="preserve">enviar documentos a una API en EE.UU. configura una transferencia internacional (art. 12, Ley 25.326) y EE.UU. no está en la lista de países con nivel adecuado → requiere cláusulas contractuales modelo o consentimiento expreso.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Contenido mínimo de un aviso</w:t>
      </w:r>
      <w:r>
        <w:t xml:space="preserve"> </w:t>
      </w:r>
      <w:r>
        <w:t xml:space="preserve">según el art. 6 de la Ley 25.326 (finalidad, destinatarios, responsable, carácter de las respuestas, derechos ARCO).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Precedentes reales</w:t>
      </w:r>
      <w:r>
        <w:t xml:space="preserve"> </w:t>
      </w:r>
      <w:r>
        <w:t xml:space="preserve">que usamos como modelo de redacción: Nino Legal (AR, DPA por proveedor con cláusulas AAIP), ContratoAlquiler (ES, página de transparencia IA + anonimización previa), Docusign y Thomson Reuters (cláusulas de entrenamiento y revisión humana).</w:t>
      </w:r>
    </w:p>
    <w:p>
      <w:pPr>
        <w:pStyle w:val="FirstParagraph"/>
      </w:pPr>
      <w:r>
        <w:t xml:space="preserve">Con eso redactamos el</w:t>
      </w:r>
      <w:r>
        <w:t xml:space="preserve"> </w:t>
      </w:r>
      <w:r>
        <w:rPr>
          <w:b/>
          <w:bCs/>
        </w:rPr>
        <w:t xml:space="preserve">Aviso de Privacidad y Tratamiento por IA v0.1</w:t>
      </w:r>
      <w:r>
        <w:t xml:space="preserve"> </w:t>
      </w:r>
      <w:r>
        <w:t xml:space="preserve">que te adjunto (PDF + Word).</w:t>
      </w:r>
      <w:r>
        <w:t xml:space="preserve"> </w:t>
      </w:r>
      <w:r>
        <w:rPr>
          <w:b/>
          <w:bCs/>
        </w:rPr>
        <w:t xml:space="preserve">No pedimos que lo redactes desde cero: pedimos que lo valides.</w:t>
      </w:r>
    </w:p>
    <w:bookmarkEnd w:id="10"/>
    <w:bookmarkStart w:id="16" w:name="X2ead49ebd1e084f610ce3e207859d53d3b7eca7"/>
    <w:p>
      <w:pPr>
        <w:pStyle w:val="Heading2"/>
      </w:pPr>
      <w:r>
        <w:t xml:space="preserve">3 · Preguntas que necesitamos que respondas (lo que NO pudimos responder por nuestra cuenta)</w:t>
      </w:r>
    </w:p>
    <w:bookmarkStart w:id="11" w:name="p1-consentimiento-para-datos-de-terceros"/>
    <w:p>
      <w:pPr>
        <w:pStyle w:val="Heading3"/>
      </w:pPr>
      <w:r>
        <w:t xml:space="preserve">P1 · Consentimiento para datos de terceros</w:t>
      </w:r>
    </w:p>
    <w:p>
      <w:pPr>
        <w:pStyle w:val="FirstParagraph"/>
      </w:pPr>
      <w:r>
        <w:rPr>
          <w:b/>
          <w:bCs/>
        </w:rPr>
        <w:t xml:space="preserve">Contexto:</w:t>
      </w:r>
      <w:r>
        <w:t xml:space="preserve"> </w:t>
      </w:r>
      <w:r>
        <w:t xml:space="preserve">los documentos que se procesan suelen pertenecer a un</w:t>
      </w:r>
      <w:r>
        <w:t xml:space="preserve"> </w:t>
      </w:r>
      <w:r>
        <w:rPr>
          <w:b/>
          <w:bCs/>
        </w:rPr>
        <w:t xml:space="preserve">tercero</w:t>
      </w:r>
      <w:r>
        <w:t xml:space="preserve"> </w:t>
      </w:r>
      <w:r>
        <w:t xml:space="preserve">(por ejemplo, una factura que un cliente le pasa a su proveedor, o un contrato firmado por otra parte). La Ley 25.326 exige consentimiento del</w:t>
      </w:r>
      <w:r>
        <w:t xml:space="preserve"> </w:t>
      </w:r>
      <w:r>
        <w:rPr>
          <w:b/>
          <w:bCs/>
        </w:rPr>
        <w:t xml:space="preserve">titular</w:t>
      </w:r>
      <w:r>
        <w:t xml:space="preserve"> </w:t>
      </w:r>
      <w:r>
        <w:t xml:space="preserve">de los datos (art. 5º).</w:t>
      </w:r>
      <w:r>
        <w:t xml:space="preserve"> </w:t>
      </w:r>
      <w:r>
        <w:rPr>
          <w:b/>
          <w:bCs/>
        </w:rPr>
        <w:t xml:space="preserve">Lo que encontramos:</w:t>
      </w:r>
      <w:r>
        <w:t xml:space="preserve"> </w:t>
      </w:r>
      <w:r>
        <w:t xml:space="preserve">el art. 5º, inc. d, exime de consentimiento a los datos que</w:t>
      </w:r>
      <w:r>
        <w:t xml:space="preserve"> </w:t>
      </w:r>
      <w:r>
        <w:t xml:space="preserve">“deriven de una relación contractual y resulten necesarios para su desarrollo o cumplimiento”</w:t>
      </w:r>
      <w:r>
        <w:t xml:space="preserve">; y el inc. c, para listados con nombre/identificación tributaria. Un precedente de la competencia (Nino Legal) pone como regla que</w:t>
      </w:r>
      <w:r>
        <w:t xml:space="preserve"> </w:t>
      </w:r>
      <w:r>
        <w:rPr>
          <w:b/>
          <w:bCs/>
        </w:rPr>
        <w:t xml:space="preserve">“el usuario debe contar con base legal o consentimiento para cargar datos de terceros”</w:t>
      </w:r>
      <w:r>
        <w:t xml:space="preserve">.</w:t>
      </w:r>
      <w:r>
        <w:t xml:space="preserve"> </w:t>
      </w:r>
      <w:r>
        <w:rPr>
          <w:b/>
          <w:bCs/>
        </w:rPr>
        <w:t xml:space="preserve">Lo que necesitamos de vos:</w:t>
      </w:r>
      <w:r>
        <w:t xml:space="preserve"> </w:t>
      </w:r>
      <w:r>
        <w:t xml:space="preserve">¿basta con el consentimiento del usuario que sube el documento (más la cláusula de responsabilidad del usuario en el aviso), o la plataforma debe exigir/verificar la base legal para los datos de terceros? ¿Es sólida la excepción del inc. d para el caso de facturas de proveedores, o conviene apoyarse también en el consentimiento del usuario?</w:t>
      </w:r>
    </w:p>
    <w:bookmarkEnd w:id="11"/>
    <w:bookmarkStart w:id="12" w:name="X00c2af522f7380071ee4ca90c5a55c89ef53a7d"/>
    <w:p>
      <w:pPr>
        <w:pStyle w:val="Heading3"/>
      </w:pPr>
      <w:r>
        <w:t xml:space="preserve">P2 · Valor legal de los términos de servicio (ToS) de los proveedores</w:t>
      </w:r>
    </w:p>
    <w:p>
      <w:pPr>
        <w:pStyle w:val="FirstParagraph"/>
      </w:pPr>
      <w:r>
        <w:rPr>
          <w:b/>
          <w:bCs/>
        </w:rPr>
        <w:t xml:space="preserve">Contexto:</w:t>
      </w:r>
      <w:r>
        <w:t xml:space="preserve"> </w:t>
      </w:r>
      <w:r>
        <w:t xml:space="preserve">los acuerdos de procesamiento que tenemos son los</w:t>
      </w:r>
      <w:r>
        <w:t xml:space="preserve"> </w:t>
      </w:r>
      <w:r>
        <w:rPr>
          <w:b/>
          <w:bCs/>
        </w:rPr>
        <w:t xml:space="preserve">términos de servicio generales</w:t>
      </w:r>
      <w:r>
        <w:t xml:space="preserve"> </w:t>
      </w:r>
      <w:r>
        <w:t xml:space="preserve">de OpenAI, Google y Mistral (más sus DPA públicos cuando existen).</w:t>
      </w:r>
      <w:r>
        <w:t xml:space="preserve"> </w:t>
      </w:r>
      <w:r>
        <w:rPr>
          <w:b/>
          <w:bCs/>
        </w:rPr>
        <w:t xml:space="preserve">Lo que encontramos:</w:t>
      </w:r>
      <w:r>
        <w:t xml:space="preserve"> </w:t>
      </w:r>
      <w:r>
        <w:t xml:space="preserve">el art. 25 de la Ley 25.326 exige un</w:t>
      </w:r>
      <w:r>
        <w:t xml:space="preserve"> </w:t>
      </w:r>
      <w:r>
        <w:rPr>
          <w:b/>
          <w:bCs/>
        </w:rPr>
        <w:t xml:space="preserve">contrato de prestación de servicios</w:t>
      </w:r>
      <w:r>
        <w:t xml:space="preserve"> </w:t>
      </w:r>
      <w:r>
        <w:t xml:space="preserve">cuando se encarga a un tercero el tratamiento de datos personales, con condiciones de seguridad mínimas y finalidad delimitada.</w:t>
      </w:r>
      <w:r>
        <w:t xml:space="preserve"> </w:t>
      </w:r>
      <w:r>
        <w:rPr>
          <w:b/>
          <w:bCs/>
        </w:rPr>
        <w:t xml:space="preserve">Lo que necesitamos de vos:</w:t>
      </w:r>
      <w:r>
        <w:t xml:space="preserve"> </w:t>
      </w:r>
      <w:r>
        <w:t xml:space="preserve">¿los ToS de los proveedores alcanzan como fundamento contractual del tratamiento, o es imprescindible firmar un DPA con cada uno (como hace Nino Legal, con cláusulas modelo AAIP Res. 198/2023)? ¿Qué nivel de detalle espera la AAIP en la práctica para una plataforma que envía documentos a LLMs?</w:t>
      </w:r>
    </w:p>
    <w:bookmarkEnd w:id="12"/>
    <w:bookmarkStart w:id="13" w:name="p3-usuario-consumidor-ley-24.240"/>
    <w:p>
      <w:pPr>
        <w:pStyle w:val="Heading3"/>
      </w:pPr>
      <w:r>
        <w:t xml:space="preserve">P3 · Usuario consumidor (Ley 24.240)</w:t>
      </w:r>
    </w:p>
    <w:p>
      <w:pPr>
        <w:pStyle w:val="FirstParagraph"/>
      </w:pPr>
      <w:r>
        <w:rPr>
          <w:b/>
          <w:bCs/>
        </w:rPr>
        <w:t xml:space="preserve">Contexto:</w:t>
      </w:r>
      <w:r>
        <w:t xml:space="preserve"> </w:t>
      </w:r>
      <w:r>
        <w:t xml:space="preserve">el producto puede usarse tanto por empresas (usuarios profesionales) como por personas que contratan servicios de extracción (potencialmente consumidores).</w:t>
      </w:r>
      <w:r>
        <w:t xml:space="preserve"> </w:t>
      </w:r>
      <w:r>
        <w:rPr>
          <w:b/>
          <w:bCs/>
        </w:rPr>
        <w:t xml:space="preserve">Lo que encontramos:</w:t>
      </w:r>
      <w:r>
        <w:t xml:space="preserve"> </w:t>
      </w:r>
      <w:r>
        <w:t xml:space="preserve">el art. 5º de la Ley 25.326 regula el consentimiento libre, expreso e informado; pero no verificamos cómo se combina con el régimen de la Ley 24.240 cuando el usuario es consumidor final (cláusulas abusivas, información</w:t>
      </w:r>
      <w:r>
        <w:t xml:space="preserve"> </w:t>
      </w:r>
      <w:r>
        <w:t xml:space="preserve">“destacada”</w:t>
      </w:r>
      <w:r>
        <w:t xml:space="preserve">, etc.).</w:t>
      </w:r>
      <w:r>
        <w:t xml:space="preserve"> </w:t>
      </w:r>
      <w:r>
        <w:rPr>
          <w:b/>
          <w:bCs/>
        </w:rPr>
        <w:t xml:space="preserve">Lo que necesitamos de vos:</w:t>
      </w:r>
      <w:r>
        <w:t xml:space="preserve"> </w:t>
      </w:r>
      <w:r>
        <w:t xml:space="preserve">¿cambia la base legal cuando el usuario es consumidor? ¿El aviso debe presentarse de forma especialmente destacada/inequívoca, o alcanza con la aceptación estándar (click/checkbox)? ¿Conviene una regla distinta en el aviso para consumidores vs profesionales?</w:t>
      </w:r>
    </w:p>
    <w:bookmarkEnd w:id="13"/>
    <w:bookmarkStart w:id="14" w:name="Xbf4cffe1ba9925fecf7975205fbb9446c0f657e"/>
    <w:p>
      <w:pPr>
        <w:pStyle w:val="Heading3"/>
      </w:pPr>
      <w:r>
        <w:t xml:space="preserve">P4 · Validación de la redacción del Aviso v0.1 (adjunto)</w:t>
      </w:r>
    </w:p>
    <w:p>
      <w:pPr>
        <w:pStyle w:val="FirstParagraph"/>
      </w:pPr>
      <w:r>
        <w:rPr>
          <w:b/>
          <w:bCs/>
        </w:rPr>
        <w:t xml:space="preserve">Contexto:</w:t>
      </w:r>
      <w:r>
        <w:t xml:space="preserve"> </w:t>
      </w:r>
      <w:r>
        <w:t xml:space="preserve">te adjuntamos el aviso oficial para que lo revises sección por sección.</w:t>
      </w:r>
      <w:r>
        <w:t xml:space="preserve"> </w:t>
      </w:r>
      <w:r>
        <w:rPr>
          <w:b/>
          <w:bCs/>
        </w:rPr>
        <w:t xml:space="preserve">Lo que necesitamos de vos:</w:t>
      </w:r>
      <w:r>
        <w:t xml:space="preserve"> </w:t>
      </w:r>
      <w:r>
        <w:t xml:space="preserve">- ¿Cumple el contenido mínimo del art. 6 de la Ley 25.326?</w:t>
      </w:r>
      <w:r>
        <w:t xml:space="preserve"> </w:t>
      </w:r>
      <w:r>
        <w:t xml:space="preserve">- ¿La tabla de retención por proveedor y las afirmaciones sobre entrenamiento están correctamente planteadas, o alguna afirmación debería matizarse para no crear un compromiso que no podamos sostener?</w:t>
      </w:r>
      <w:r>
        <w:t xml:space="preserve"> </w:t>
      </w:r>
      <w:r>
        <w:t xml:space="preserve">- ¿La sección de datos sensibles (regla general: no cargar; excepción: consentimiento explícito) es correcta y suficiente?</w:t>
      </w:r>
      <w:r>
        <w:t xml:space="preserve"> </w:t>
      </w:r>
      <w:r>
        <w:t xml:space="preserve">- ¿Falta alguna cláusula estándar del mercado que esperarías ver en un aviso de este tipo?</w:t>
      </w:r>
    </w:p>
    <w:bookmarkEnd w:id="14"/>
    <w:bookmarkStart w:id="15" w:name="p5-estrategia-internacional"/>
    <w:p>
      <w:pPr>
        <w:pStyle w:val="Heading3"/>
      </w:pPr>
      <w:r>
        <w:t xml:space="preserve">P5 · Estrategia internacional</w:t>
      </w:r>
    </w:p>
    <w:p>
      <w:pPr>
        <w:pStyle w:val="FirstParagraph"/>
      </w:pPr>
      <w:r>
        <w:rPr>
          <w:b/>
          <w:bCs/>
        </w:rPr>
        <w:t xml:space="preserve">Contexto:</w:t>
      </w:r>
      <w:r>
        <w:t xml:space="preserve"> </w:t>
      </w:r>
      <w:r>
        <w:t xml:space="preserve">no descartamos que el producto salga a otros mercados (España/Latam, y potencialmente Europa por las reglas de protección de datos).</w:t>
      </w:r>
      <w:r>
        <w:t xml:space="preserve"> </w:t>
      </w:r>
      <w:r>
        <w:rPr>
          <w:b/>
          <w:bCs/>
        </w:rPr>
        <w:t xml:space="preserve">Lo que encontramos:</w:t>
      </w:r>
      <w:r>
        <w:t xml:space="preserve"> </w:t>
      </w:r>
      <w:r>
        <w:t xml:space="preserve">Argentina regula por la Ley 25.326; en Europa aplica el GDPR; existen estándares voluntarios (ISO/IEC 27701, privacy by design).</w:t>
      </w:r>
      <w:r>
        <w:t xml:space="preserve"> </w:t>
      </w:r>
      <w:r>
        <w:rPr>
          <w:b/>
          <w:bCs/>
        </w:rPr>
        <w:t xml:space="preserve">Lo que necesitamos de vos:</w:t>
      </w:r>
      <w:r>
        <w:t xml:space="preserve"> </w:t>
      </w:r>
      <w:r>
        <w:t xml:space="preserve">¿conviene un aviso genérico que se usara en todos los países, o versiones por jurisdicción? ¿Lanzaríamos con el aviso argentino y adaptar en el momento de expandirnos, o conviene diseñarlo multi-jurisdicción desde el inicio?</w:t>
      </w:r>
    </w:p>
    <w:bookmarkEnd w:id="15"/>
    <w:bookmarkEnd w:id="16"/>
    <w:bookmarkStart w:id="17" w:name="X926f3557c14ea51c3a492209fc98f3fc02d7f96"/>
    <w:p>
      <w:pPr>
        <w:pStyle w:val="Heading2"/>
      </w:pPr>
      <w:r>
        <w:t xml:space="preserve">4 · Decisiones de producto que condicionan tus respuestas (para que las tengas presentes)</w:t>
      </w:r>
    </w:p>
    <w:p>
      <w:pPr>
        <w:pStyle w:val="Compact"/>
        <w:numPr>
          <w:ilvl w:val="0"/>
          <w:numId w:val="1002"/>
        </w:numPr>
      </w:pPr>
      <w:r>
        <w:t xml:space="preserve">¿El modelo local se ofrece</w:t>
      </w:r>
      <w:r>
        <w:t xml:space="preserve"> </w:t>
      </w:r>
      <w:r>
        <w:rPr>
          <w:b/>
          <w:bCs/>
        </w:rPr>
        <w:t xml:space="preserve">por defecto</w:t>
      </w:r>
      <w:r>
        <w:t xml:space="preserve"> </w:t>
      </w:r>
      <w:r>
        <w:t xml:space="preserve">o solo como opción</w:t>
      </w:r>
      <w:r>
        <w:t xml:space="preserve"> </w:t>
      </w:r>
      <w:r>
        <w:t xml:space="preserve">“avanzada”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¿El usuario podrá configurar</w:t>
      </w:r>
      <w:r>
        <w:t xml:space="preserve"> </w:t>
      </w:r>
      <w:r>
        <w:rPr>
          <w:b/>
          <w:bCs/>
        </w:rPr>
        <w:t xml:space="preserve">su propia API key</w:t>
      </w:r>
      <w:r>
        <w:t xml:space="preserve"> </w:t>
      </w:r>
      <w:r>
        <w:t xml:space="preserve">(BYOK) y elegir proveedor? (Define quién es el responsable frente al titular de los datos del documento.)</w:t>
      </w:r>
    </w:p>
    <w:p>
      <w:pPr>
        <w:pStyle w:val="Compact"/>
        <w:numPr>
          <w:ilvl w:val="0"/>
          <w:numId w:val="1002"/>
        </w:numPr>
      </w:pPr>
      <w:r>
        <w:t xml:space="preserve">Para documentos con datos sensibles: ¿la plataforma debe</w:t>
      </w:r>
      <w:r>
        <w:t xml:space="preserve"> </w:t>
      </w:r>
      <w:r>
        <w:rPr>
          <w:b/>
          <w:bCs/>
        </w:rPr>
        <w:t xml:space="preserve">bloquear la subida</w:t>
      </w:r>
      <w:r>
        <w:t xml:space="preserve"> </w:t>
      </w:r>
      <w:r>
        <w:t xml:space="preserve">por defecto o solo</w:t>
      </w:r>
      <w:r>
        <w:t xml:space="preserve"> </w:t>
      </w:r>
      <w:r>
        <w:rPr>
          <w:b/>
          <w:bCs/>
        </w:rPr>
        <w:t xml:space="preserve">advertir</w:t>
      </w:r>
      <w:r>
        <w:t xml:space="preserve">?</w:t>
      </w:r>
    </w:p>
    <w:p>
      <w:pPr>
        <w:pStyle w:val="FirstParagraph"/>
      </w:pPr>
      <w:r>
        <w:t xml:space="preserve">Estas tres son decisiones de producto, pero modifican el esquema legal aplicable, por eso te las listo acá.</w:t>
      </w:r>
    </w:p>
    <w:bookmarkEnd w:id="17"/>
    <w:bookmarkStart w:id="18" w:name="qué-esperamos-de-vos"/>
    <w:p>
      <w:pPr>
        <w:pStyle w:val="Heading2"/>
      </w:pPr>
      <w:r>
        <w:t xml:space="preserve">5 · Qué esperamos de vos</w:t>
      </w:r>
    </w:p>
    <w:p>
      <w:pPr>
        <w:pStyle w:val="Compact"/>
        <w:numPr>
          <w:ilvl w:val="0"/>
          <w:numId w:val="1003"/>
        </w:numPr>
      </w:pPr>
      <w:r>
        <w:t xml:space="preserve">Respuesta a las</w:t>
      </w:r>
      <w:r>
        <w:t xml:space="preserve"> </w:t>
      </w:r>
      <w:r>
        <w:rPr>
          <w:b/>
          <w:bCs/>
        </w:rPr>
        <w:t xml:space="preserve">P1–P5</w:t>
      </w:r>
      <w:r>
        <w:t xml:space="preserve"> </w:t>
      </w:r>
      <w:r>
        <w:t xml:space="preserve">con fundamento (norma citada) cuando puedas.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Veredicto sobre la redacción</w:t>
      </w:r>
      <w:r>
        <w:t xml:space="preserve"> </w:t>
      </w:r>
      <w:r>
        <w:t xml:space="preserve">del Aviso v0.1 (adjunto): aprobás tal cual / con correcciones, o nos pasás una versión editada en el Word.</w:t>
      </w:r>
    </w:p>
    <w:p>
      <w:pPr>
        <w:pStyle w:val="Compact"/>
        <w:numPr>
          <w:ilvl w:val="0"/>
          <w:numId w:val="1003"/>
        </w:numPr>
      </w:pPr>
      <w:r>
        <w:t xml:space="preserve">Cualquier referencia (artículos, documentos, fallos) que sirva para dejar evidencia en el ticket ARG-597.</w:t>
      </w:r>
    </w:p>
    <w:bookmarkEnd w:id="18"/>
    <w:bookmarkStart w:id="19" w:name="adjuntos"/>
    <w:p>
      <w:pPr>
        <w:pStyle w:val="Heading2"/>
      </w:pPr>
      <w:r>
        <w:t xml:space="preserve">6 · Adjuntos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disclaimer-oficial-datos-sensibles-multiocr.pdf</w:t>
      </w:r>
      <w:r>
        <w:t xml:space="preserve"> </w:t>
      </w:r>
      <w:r>
        <w:t xml:space="preserve">— Aviso de Privacidad y Tratamiento por IA (v0.1) en formato oficial.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disclaimer-oficial-datos-sensibles-multiocr.docx</w:t>
      </w:r>
      <w:r>
        <w:t xml:space="preserve"> </w:t>
      </w:r>
      <w:r>
        <w:t xml:space="preserve">— misma versión editable en Word.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guion-consulta-joaquin-datos-sensibles.md</w:t>
      </w:r>
      <w:r>
        <w:t xml:space="preserve"> </w:t>
      </w:r>
      <w:r>
        <w:t xml:space="preserve">— evidencia investigada con fuentes (tabla de retención, clasificación legal, transferencia internacional, precedentes), por si querés profundizar.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 más, quedamos atentos. Gracias por el tiempo y la ayuda.</w:t>
      </w:r>
    </w:p>
    <w:p>
      <w:pPr>
        <w:pStyle w:val="BodyText"/>
      </w:pPr>
      <w:r>
        <w:t xml:space="preserve">Un abrazo,</w:t>
      </w:r>
      <w:r>
        <w:t xml:space="preserve"> </w:t>
      </w:r>
      <w:r>
        <w:rPr>
          <w:b/>
          <w:bCs/>
        </w:rPr>
        <w:t xml:space="preserve">[Tu nombre]</w:t>
      </w:r>
      <w:r>
        <w:t xml:space="preserve"> </w:t>
      </w:r>
      <w:r>
        <w:rPr>
          <w:b/>
          <w:bCs/>
        </w:rPr>
        <w:t xml:space="preserve">[Tu rol]</w:t>
      </w:r>
      <w:r>
        <w:t xml:space="preserve"> </w:t>
      </w:r>
      <w:r>
        <w:t xml:space="preserve">· [Tu email/telefono] — [Nombre de la empresa/organización]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2026-09-14T14:52:41Z</dcterms:created>
  <dcterms:modified xsi:type="dcterms:W3CDTF">2026-09-14T14:52:41Z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