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f8ae9305cc5d58ac3c063aa050762a6d4afcf7"/>
    <w:p>
      <w:pPr>
        <w:pStyle w:val="Heading1"/>
      </w:pPr>
      <w:r>
        <w:t xml:space="preserve">Aviso de Privacidad y Seguridad de Datos — MultiOCR SaaS · Escenario B: el proveedor de IA no retiene el contenido (ZDR)</w:t>
      </w:r>
    </w:p>
    <w:p>
      <w:pPr>
        <w:pStyle w:val="FirstParagraph"/>
      </w:pPr>
      <w:r>
        <w:t xml:space="preserve">Este aviso describe cómo MultiOCR procesa los documentos que el cliente envía para extracción de datos con IA en el escenario contratado (escenario B). El servicio está diseñado considerando el cumplimiento, la privacidad y la seguridad de los datos. Sin embargo, el cliente es responsable del uso del servicio y de la implementación de la tecnología en su organización: es responsabilidad del cliente cumplir toda ley y normativa aplicable en su jurisdicción (Ley 25.326, decretos y disposiciones reglamentarias, y toda norma sectorial aplicable).</w:t>
      </w:r>
    </w:p>
    <w:bookmarkStart w:id="9" w:name="promesa-de-tratamiento-responsable"/>
    <w:p>
      <w:pPr>
        <w:pStyle w:val="Heading2"/>
      </w:pPr>
      <w:r>
        <w:t xml:space="preserve">Promesa de tratamiento responsable</w:t>
      </w:r>
    </w:p>
    <w:p>
      <w:pPr>
        <w:pStyle w:val="FirstParagraph"/>
      </w:pPr>
      <w:r>
        <w:t xml:space="preserve">MultiOCR hace una promesa explícita sobre los datos del cliente, en línea con la práctica de mercado de los servicios de procesamiento documental con IA:</w:t>
      </w:r>
    </w:p>
    <w:p>
      <w:pPr>
        <w:pStyle w:val="Compact"/>
        <w:numPr>
          <w:ilvl w:val="0"/>
          <w:numId w:val="1001"/>
        </w:numPr>
      </w:pPr>
      <w:r>
        <w:t xml:space="preserve">MultiOCR no utiliza los documentos del cliente para entrenar, ajustar ni mejorar modelos de labIA.</w:t>
      </w:r>
    </w:p>
    <w:p>
      <w:pPr>
        <w:pStyle w:val="Compact"/>
        <w:numPr>
          <w:ilvl w:val="0"/>
          <w:numId w:val="1001"/>
        </w:numPr>
      </w:pPr>
      <w:r>
        <w:t xml:space="preserve">MultiOCR no utiliza los documentos del cliente para otro fin distinto del de prestar el servicio de extracción.</w:t>
      </w:r>
    </w:p>
    <w:p>
      <w:pPr>
        <w:pStyle w:val="Compact"/>
        <w:numPr>
          <w:ilvl w:val="0"/>
          <w:numId w:val="1001"/>
        </w:numPr>
      </w:pPr>
      <w:r>
        <w:t xml:space="preserve">MultiOCR no vende ni comparte los documentos del cliente con terceros salvo lo necesario para prestar el servicio (el proveedor de IA, en las condiciones de la sección 5).</w:t>
      </w:r>
    </w:p>
    <w:p>
      <w:pPr>
        <w:pStyle w:val="Compact"/>
        <w:numPr>
          <w:ilvl w:val="0"/>
          <w:numId w:val="1001"/>
        </w:numPr>
      </w:pPr>
      <w:r>
        <w:t xml:space="preserve">MultiOCR no reclama titularidad sobre los documentos del cliente: los documentos y los datos extraídos son y permanecen del cliente.</w:t>
      </w:r>
    </w:p>
    <w:p>
      <w:pPr>
        <w:pStyle w:val="FirstParagraph"/>
      </w:pPr>
      <w:r>
        <w:t xml:space="preserve">En este escenario B,</w:t>
      </w:r>
      <w:r>
        <w:t xml:space="preserve"> </w:t>
      </w:r>
      <w:r>
        <w:rPr>
          <w:b/>
          <w:bCs/>
        </w:rPr>
        <w:t xml:space="preserve">el proveedor de IA no retiene el contenido</w:t>
      </w:r>
      <w:r>
        <w:t xml:space="preserve"> </w:t>
      </w:r>
      <w:r>
        <w:t xml:space="preserve">(retención cero o equivalente): procesa la respuesta y no conserva el contenido para entrenamiento, mejora ni custodia posterior. Esta promesa de no retención es parte del plan contratado y se documenta en el Anexo Técnico.</w:t>
      </w:r>
      <w:r>
        <w:t xml:space="preserve"> </w:t>
      </w:r>
      <w:r>
        <w:rPr>
          <w:b/>
          <w:bCs/>
        </w:rPr>
        <w:t xml:space="preserve">Importante: la retención cero no es el comportamiento por defecto del proveedor</w:t>
      </w:r>
      <w:r>
        <w:t xml:space="preserve"> </w:t>
      </w:r>
      <w:r>
        <w:t xml:space="preserve">— debe contratarse y configurarse expresamente y verificarse con la documentación del proveedor antes de ofrecer este escenario (confirmado por el proveedor 17/09/2026); si no se acredita esa condición en el plan contratado, corresponde aplicar el escenario A.</w:t>
      </w:r>
    </w:p>
    <w:bookmarkEnd w:id="9"/>
    <w:bookmarkStart w:id="10" w:name="qué-hace-multiocr-y-cuál-es-su-rol"/>
    <w:p>
      <w:pPr>
        <w:pStyle w:val="Heading2"/>
      </w:pPr>
      <w:r>
        <w:t xml:space="preserve">1. Qué hace MultiOCR y cuál es su rol</w:t>
      </w:r>
    </w:p>
    <w:p>
      <w:pPr>
        <w:pStyle w:val="FirstParagraph"/>
      </w:pPr>
      <w:r>
        <w:t xml:space="preserve">MultiOCR es un servicio SaaS multi-tenant que ejecuta sobre la infraestructura de Concentrix / labIA (puerta de API:</w:t>
      </w:r>
      <w:r>
        <w:t xml:space="preserve"> </w:t>
      </w:r>
      <w:r>
        <w:rPr>
          <w:rStyle w:val="VerbatimChar"/>
        </w:rPr>
        <w:t xml:space="preserve">https://www.concentrix.net.ar:2083/api</w:t>
      </w:r>
      <w:r>
        <w:t xml:space="preserve">). Su función es técnica e intermediaria: recibe un documento (factura, remisión, contrato o comprobante), lo remite a un modelo de IA de un proveedor externo y devuelve al cliente el texto y los datos extraídos en formato JSON, listos para su revisión humana.</w:t>
      </w:r>
    </w:p>
    <w:p>
      <w:pPr>
        <w:pStyle w:val="BodyText"/>
      </w:pPr>
      <w:r>
        <w:t xml:space="preserve">Rol legal. labIA / Concentrix actúa como Encargado del Tratamiento por cuenta y orden del cliente, que es el Responsable del Tratamiento: define la finalidad, decide qué documentos procesar y qué uso dar a los resultados. El proveedor de IA interviene como sub-procesador sin retención (sección 5).</w:t>
      </w:r>
    </w:p>
    <w:p>
      <w:pPr>
        <w:pStyle w:val="BodyText"/>
      </w:pPr>
      <w:r>
        <w:t xml:space="preserve">Resumen del tratamiento: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Etapa</w:t>
            </w:r>
          </w:p>
        </w:tc>
        <w:tc>
          <w:tcPr/>
          <w:p>
            <w:pPr>
              <w:pStyle w:val="Compact"/>
            </w:pPr>
            <w:r>
              <w:t xml:space="preserve">Qué ocurre</w:t>
            </w:r>
          </w:p>
        </w:tc>
        <w:tc>
          <w:tcPr/>
          <w:p>
            <w:pPr>
              <w:pStyle w:val="Compact"/>
            </w:pPr>
            <w:r>
              <w:t xml:space="preserve">Retención</w:t>
            </w:r>
          </w:p>
        </w:tc>
      </w:tr>
      <w:tr>
        <w:tc>
          <w:tcPr/>
          <w:p>
            <w:pPr>
              <w:pStyle w:val="Compact"/>
            </w:pPr>
            <w:r>
              <w:t xml:space="preserve">Extracción (</w:t>
            </w:r>
            <w:r>
              <w:rPr>
                <w:rStyle w:val="VerbatimChar"/>
              </w:rPr>
              <w:t xml:space="preserve">/load</w:t>
            </w:r>
            <w:r>
              <w:t xml:space="preserve">)</w:t>
            </w:r>
          </w:p>
        </w:tc>
        <w:tc>
          <w:tcPr/>
          <w:p>
            <w:pPr>
              <w:pStyle w:val="Compact"/>
            </w:pPr>
            <w:r>
              <w:t xml:space="preserve">El documento se procesa en memoria y el resultado se devuelve en JSON</w:t>
            </w:r>
          </w:p>
        </w:tc>
        <w:tc>
          <w:tcPr/>
          <w:p>
            <w:pPr>
              <w:pStyle w:val="Compact"/>
            </w:pPr>
            <w:r>
              <w:t xml:space="preserve">Sin persistencia de contenido en MultiOCR</w:t>
            </w:r>
          </w:p>
        </w:tc>
      </w:tr>
      <w:tr>
        <w:tc>
          <w:tcPr/>
          <w:p>
            <w:pPr>
              <w:pStyle w:val="Compact"/>
            </w:pPr>
            <w:r>
              <w:t xml:space="preserve">Persistencia (</w:t>
            </w:r>
            <w:r>
              <w:rPr>
                <w:rStyle w:val="VerbatimChar"/>
              </w:rPr>
              <w:t xml:space="preserve">/submission</w:t>
            </w:r>
            <w:r>
              <w:t xml:space="preserve">)</w:t>
            </w:r>
          </w:p>
        </w:tc>
        <w:tc>
          <w:tcPr/>
          <w:p>
            <w:pPr>
              <w:pStyle w:val="Compact"/>
            </w:pPr>
            <w:r>
              <w:t xml:space="preserve">Solo si el cliente la envía, se guarda una copia asociada a su cuenta</w:t>
            </w:r>
          </w:p>
        </w:tc>
        <w:tc>
          <w:tcPr/>
          <w:p>
            <w:pPr>
              <w:pStyle w:val="Compact"/>
            </w:pPr>
            <w:r>
              <w:t xml:space="preserve">Indefinida; borrado a demanda vía API</w:t>
            </w:r>
          </w:p>
        </w:tc>
      </w:tr>
      <w:tr>
        <w:tc>
          <w:tcPr/>
          <w:p>
            <w:pPr>
              <w:pStyle w:val="Compact"/>
            </w:pPr>
            <w:r>
              <w:t xml:space="preserve">Proveedor de IA</w:t>
            </w:r>
          </w:p>
        </w:tc>
        <w:tc>
          <w:tcPr/>
          <w:p>
            <w:pPr>
              <w:pStyle w:val="Compact"/>
            </w:pPr>
            <w:r>
              <w:t xml:space="preserve">El contenido se procesa y se descarta tras la respuesta (retención cero)</w:t>
            </w:r>
          </w:p>
        </w:tc>
        <w:tc>
          <w:tcPr/>
          <w:p>
            <w:pPr>
              <w:pStyle w:val="Compact"/>
            </w:pPr>
            <w:r>
              <w:t xml:space="preserve">Sin retención por el sub-procesador</w:t>
            </w:r>
          </w:p>
        </w:tc>
      </w:tr>
    </w:tbl>
    <w:bookmarkEnd w:id="10"/>
    <w:bookmarkStart w:id="11" w:name="X9c34939b6db9b0d79dd0b5048a2f322abc63313"/>
    <w:p>
      <w:pPr>
        <w:pStyle w:val="Heading2"/>
      </w:pPr>
      <w:r>
        <w:t xml:space="preserve">2. Qué ocurre con los datos en este escenario</w:t>
      </w:r>
    </w:p>
    <w:p>
      <w:pPr>
        <w:pStyle w:val="FirstParagraph"/>
      </w:pPr>
      <w:r>
        <w:t xml:space="preserve">El proveedor de IA está contratado y configurado bajo una modalidad de retención cero (zero data retention) o equivalente: el contenido se procesa para generar la respuesta y no se conserva para entrenamiento, mejora ni custodia posterior por parte del proveedor. Esta práctica es consistente con la de los principales proveedores de extracción documental del mercado (que retienen los resultados por ventanas acotadas de 24 a 48 horas y luego los eliminan automáticamente).</w:t>
      </w:r>
    </w:p>
    <w:p>
      <w:pPr>
        <w:pStyle w:val="Compact"/>
        <w:numPr>
          <w:ilvl w:val="0"/>
          <w:numId w:val="1002"/>
        </w:numPr>
      </w:pPr>
      <w:r>
        <w:t xml:space="preserve">La configuración de no retención es parte del plan contratado por el cliente con MultiOCR y se documenta en el Anexo Técnico. La condición de no retención se verificará contra la documentación del proveedor previo a la contratación y ante cualquier cambio de plan o de proveedor.</w:t>
      </w:r>
    </w:p>
    <w:p>
      <w:pPr>
        <w:pStyle w:val="Compact"/>
        <w:numPr>
          <w:ilvl w:val="0"/>
          <w:numId w:val="1002"/>
        </w:numPr>
      </w:pPr>
      <w:r>
        <w:t xml:space="preserve">MultiOCR no entrena ni reutiliza el contenido en ningún caso.</w:t>
      </w:r>
    </w:p>
    <w:p>
      <w:pPr>
        <w:pStyle w:val="Compact"/>
        <w:numPr>
          <w:ilvl w:val="0"/>
          <w:numId w:val="1002"/>
        </w:numPr>
      </w:pPr>
      <w:r>
        <w:t xml:space="preserve">Se aplican igualmente los metadatos operativos de la sección 3.5 y las reglas de datos sensibles de la sección 6.</w:t>
      </w:r>
    </w:p>
    <w:bookmarkEnd w:id="11"/>
    <w:bookmarkStart w:id="18" w:name="cómo-procesa-multiocr-los-datos"/>
    <w:p>
      <w:pPr>
        <w:pStyle w:val="Heading2"/>
      </w:pPr>
      <w:r>
        <w:t xml:space="preserve">3. Cómo procesa MultiOCR los datos</w:t>
      </w:r>
    </w:p>
    <w:bookmarkStart w:id="12" w:name="autenticación-clave-de-api"/>
    <w:p>
      <w:pPr>
        <w:pStyle w:val="Heading3"/>
      </w:pPr>
      <w:r>
        <w:t xml:space="preserve">3.1 Autenticación (clave de API)</w:t>
      </w:r>
    </w:p>
    <w:p>
      <w:pPr>
        <w:pStyle w:val="FirstParagraph"/>
      </w:pPr>
      <w:r>
        <w:t xml:space="preserve">Cada operación autentica al cliente mediante los encabezados de la API (</w:t>
      </w:r>
      <w:r>
        <w:rPr>
          <w:rStyle w:val="VerbatimChar"/>
        </w:rPr>
        <w:t xml:space="preserve">x-api-id</w:t>
      </w:r>
      <w:r>
        <w:t xml:space="preserve"> </w:t>
      </w:r>
      <w:r>
        <w:t xml:space="preserve">y el secreto de la cuenta). El secreto se almacena como hash unidireccional bcrypt, nunca en claro, y su uso se registra en los logs del servicio. La clave valida la suscripción y delimita el alcance de la cuenta.</w:t>
      </w:r>
    </w:p>
    <w:bookmarkEnd w:id="12"/>
    <w:bookmarkStart w:id="13" w:name="seguridad-del-dato-en-tránsito"/>
    <w:p>
      <w:pPr>
        <w:pStyle w:val="Heading3"/>
      </w:pPr>
      <w:r>
        <w:t xml:space="preserve">3.2 Seguridad del dato en tránsito</w:t>
      </w:r>
    </w:p>
    <w:p>
      <w:pPr>
        <w:pStyle w:val="FirstParagraph"/>
      </w:pPr>
      <w:r>
        <w:t xml:space="preserve">Todos los endpoints de la API usan HTTPS para cifrar la información durante la transmisión.</w:t>
      </w:r>
    </w:p>
    <w:bookmarkEnd w:id="13"/>
    <w:bookmarkStart w:id="14" w:name="Xfbfa4fff64e3f2de3348e6963fa83eab7992f12"/>
    <w:p>
      <w:pPr>
        <w:pStyle w:val="Heading3"/>
      </w:pPr>
      <w:r>
        <w:t xml:space="preserve">3.3 Cifrado y procesamiento de los datos de entrada</w:t>
      </w:r>
    </w:p>
    <w:p>
      <w:pPr>
        <w:pStyle w:val="FirstParagraph"/>
      </w:pPr>
      <w:r>
        <w:t xml:space="preserve">Cuando el cliente envía un documento, MultiOCR arma de forma dinámica la instrucción (prompt) con el esquema y las reglas especiales de la cuenta, y remite el contenido al proveedor de IA configurado (OpenAI / Google Gemini / Anthropic Claude / DeepSeek, según el catálogo habilitado) bajo condiciones de no retención, para extraer texto, estructura y valores. El backend de MultiOCR no persiste el contenido en esta etapa: procesa en memoria y devuelve el resultado al cliente.</w:t>
      </w:r>
    </w:p>
    <w:bookmarkEnd w:id="14"/>
    <w:bookmarkStart w:id="15" w:name="recuperación-de-los-resultados"/>
    <w:p>
      <w:pPr>
        <w:pStyle w:val="Heading3"/>
      </w:pPr>
      <w:r>
        <w:t xml:space="preserve">3.4 Recuperación de los resultados</w:t>
      </w:r>
    </w:p>
    <w:p>
      <w:pPr>
        <w:pStyle w:val="FirstParagraph"/>
      </w:pPr>
      <w:r>
        <w:t xml:space="preserve">El resultado se devuelve al cliente en formato JSON, autenticando la operación contra la misma clave que la originó, de modo que ningún otro cliente pueda acceder a esos datos.</w:t>
      </w:r>
    </w:p>
    <w:bookmarkEnd w:id="15"/>
    <w:bookmarkStart w:id="16" w:name="datos-almacenados-por-multiocr"/>
    <w:p>
      <w:pPr>
        <w:pStyle w:val="Heading3"/>
      </w:pPr>
      <w:r>
        <w:t xml:space="preserve">3.5 Datos almacenados por MultiOCR</w:t>
      </w:r>
    </w:p>
    <w:p>
      <w:pPr>
        <w:pStyle w:val="Compact"/>
        <w:numPr>
          <w:ilvl w:val="0"/>
          <w:numId w:val="1003"/>
        </w:numPr>
      </w:pPr>
      <w:r>
        <w:t xml:space="preserve">Durante la extracción (</w:t>
      </w:r>
      <w:r>
        <w:rPr>
          <w:rStyle w:val="VerbatimChar"/>
        </w:rPr>
        <w:t xml:space="preserve">/load</w:t>
      </w:r>
      <w:r>
        <w:t xml:space="preserve">): no se almacena el contenido del documento ni el resultado intermedio; el procesamiento se realiza en memoria.</w:t>
      </w:r>
    </w:p>
    <w:p>
      <w:pPr>
        <w:pStyle w:val="Compact"/>
        <w:numPr>
          <w:ilvl w:val="0"/>
          <w:numId w:val="1003"/>
        </w:numPr>
      </w:pPr>
      <w:r>
        <w:t xml:space="preserve">Solo si el cliente lo envía (</w:t>
      </w:r>
      <w:r>
        <w:rPr>
          <w:rStyle w:val="VerbatimChar"/>
        </w:rPr>
        <w:t xml:space="preserve">/submission</w:t>
      </w:r>
      <w:r>
        <w:t xml:space="preserve">): si el cliente decide persistir los datos confirmados, se conserva una copia en la base de datos, asociada a la cuenta (</w:t>
      </w:r>
      <w:r>
        <w:rPr>
          <w:rStyle w:val="VerbatimChar"/>
        </w:rPr>
        <w:t xml:space="preserve">apiKeyId</w:t>
      </w:r>
      <w:r>
        <w:t xml:space="preserve">) que los envió. La persistencia es una decisión del cliente.</w:t>
      </w:r>
    </w:p>
    <w:p>
      <w:pPr>
        <w:pStyle w:val="Compact"/>
        <w:numPr>
          <w:ilvl w:val="0"/>
          <w:numId w:val="1003"/>
        </w:numPr>
      </w:pPr>
      <w:r>
        <w:t xml:space="preserve">Múltiples clientes en la misma plataforma: los clientes comparten la infraestructura, pero sus datos están lógicamente aislados por</w:t>
      </w:r>
      <w:r>
        <w:t xml:space="preserve"> </w:t>
      </w:r>
      <w:r>
        <w:rPr>
          <w:rStyle w:val="VerbatimChar"/>
        </w:rPr>
        <w:t xml:space="preserve">x-api-id</w:t>
      </w:r>
      <w:r>
        <w:t xml:space="preserve">: cada cuenta solo puede acceder a sus propias configuraciones y submissions.</w:t>
      </w:r>
    </w:p>
    <w:p>
      <w:pPr>
        <w:pStyle w:val="Compact"/>
        <w:numPr>
          <w:ilvl w:val="0"/>
          <w:numId w:val="1003"/>
        </w:numPr>
      </w:pPr>
      <w:r>
        <w:t xml:space="preserve">Configuración y registros operativos: el servicio conserva la configuración de extracción de cada cuenta (esquema y reglas) y registros técnicos (proveedor de IA, modelo, conteo de tokens) sin contenido de los documentos. Estos registros se utilizan con fines de operación, facturación y diagnóstico del servicio.</w:t>
      </w:r>
    </w:p>
    <w:bookmarkEnd w:id="16"/>
    <w:bookmarkStart w:id="17" w:name="retención-y-borrado-de-datos"/>
    <w:p>
      <w:pPr>
        <w:pStyle w:val="Heading3"/>
      </w:pPr>
      <w:r>
        <w:t xml:space="preserve">3.6 Retención y borrado de datos</w:t>
      </w:r>
    </w:p>
    <w:p>
      <w:pPr>
        <w:pStyle w:val="FirstParagraph"/>
      </w:pPr>
      <w:r>
        <w:t xml:space="preserve">La política de retención actual del servicio es indefinida (no existe purga automática por tiempo de vida configurada en la base): los registros y submissions permanecen hasta su borrado explícito. El cliente puede eliminar sus datos de forma anticipada mediante la operación de borrado de la API (DELETE); esta eliminación es permanente y asociada a la cuenta que la solicita. El cliente puede asimismo solicitar la supresión de sus datos conforme a la sección 9.</w:t>
      </w:r>
    </w:p>
    <w:bookmarkEnd w:id="17"/>
    <w:bookmarkEnd w:id="18"/>
    <w:bookmarkStart w:id="19" w:name="qué-no-hace-multiocr-con-los-datos"/>
    <w:p>
      <w:pPr>
        <w:pStyle w:val="Heading2"/>
      </w:pPr>
      <w:r>
        <w:t xml:space="preserve">4. Qué NO hace MultiOCR con los datos</w:t>
      </w:r>
    </w:p>
    <w:p>
      <w:pPr>
        <w:pStyle w:val="Compact"/>
        <w:numPr>
          <w:ilvl w:val="0"/>
          <w:numId w:val="1004"/>
        </w:numPr>
      </w:pPr>
      <w:r>
        <w:t xml:space="preserve">No entrena modelos con los documentos del cliente: el contenido procesado no se utiliza para entrenar, ajustar ni mejorar modelos de labIA.</w:t>
      </w:r>
    </w:p>
    <w:p>
      <w:pPr>
        <w:pStyle w:val="Compact"/>
        <w:numPr>
          <w:ilvl w:val="0"/>
          <w:numId w:val="1004"/>
        </w:numPr>
      </w:pPr>
      <w:r>
        <w:t xml:space="preserve">No utiliza los datos para otros fines: los documentos solo se procesan con la finalidad declarada de extracción.</w:t>
      </w:r>
    </w:p>
    <w:p>
      <w:pPr>
        <w:pStyle w:val="Compact"/>
        <w:numPr>
          <w:ilvl w:val="0"/>
          <w:numId w:val="1004"/>
        </w:numPr>
      </w:pPr>
      <w:r>
        <w:t xml:space="preserve">No conserva el contenido durante la extracción: en</w:t>
      </w:r>
      <w:r>
        <w:t xml:space="preserve"> </w:t>
      </w:r>
      <w:r>
        <w:rPr>
          <w:rStyle w:val="VerbatimChar"/>
        </w:rPr>
        <w:t xml:space="preserve">/load</w:t>
      </w:r>
      <w:r>
        <w:t xml:space="preserve"> </w:t>
      </w:r>
      <w:r>
        <w:t xml:space="preserve">el documento y el resultado intermedio no se persisten.</w:t>
      </w:r>
    </w:p>
    <w:p>
      <w:pPr>
        <w:pStyle w:val="Compact"/>
        <w:numPr>
          <w:ilvl w:val="0"/>
          <w:numId w:val="1004"/>
        </w:numPr>
      </w:pPr>
      <w:r>
        <w:t xml:space="preserve">No bloquea ni anonimiza automáticamente: el servicio no cuenta con módulos DLP ni filtros previos de bloqueo/anonimización de contenido sensible (ver sección 6).</w:t>
      </w:r>
    </w:p>
    <w:bookmarkEnd w:id="19"/>
    <w:bookmarkStart w:id="20" w:name="Xe4b7ea17656b5643cbcc91e86729b9cf385320c"/>
    <w:p>
      <w:pPr>
        <w:pStyle w:val="Heading2"/>
      </w:pPr>
      <w:r>
        <w:t xml:space="preserve">5. Proveedor de IA (sub-procesador sin retención) y transferencia internacional</w:t>
      </w:r>
    </w:p>
    <w:p>
      <w:pPr>
        <w:pStyle w:val="Compact"/>
        <w:numPr>
          <w:ilvl w:val="0"/>
          <w:numId w:val="1005"/>
        </w:numPr>
      </w:pPr>
      <w:r>
        <w:t xml:space="preserve">MultiOCR remite el contenido del documento al proveedor de IA configurado para la cuenta del cliente a fin de realizar la extracción, en un plan contratado con retención cero.</w:t>
      </w:r>
    </w:p>
    <w:p>
      <w:pPr>
        <w:pStyle w:val="Compact"/>
        <w:numPr>
          <w:ilvl w:val="0"/>
          <w:numId w:val="1005"/>
        </w:numPr>
      </w:pPr>
      <w:r>
        <w:t xml:space="preserve">El proveedor (por ejemplo, OpenAI, Google Gemini, Anthropic Claude, DeepSeek u otro del catálogo habilitado, incluido el enrutado automático</w:t>
      </w:r>
      <w:r>
        <w:t xml:space="preserve"> </w:t>
      </w:r>
      <w:r>
        <w:rPr>
          <w:rStyle w:val="VerbatimChar"/>
        </w:rPr>
        <w:t xml:space="preserve">auto</w:t>
      </w:r>
      <w:r>
        <w:t xml:space="preserve"> </w:t>
      </w:r>
      <w:r>
        <w:t xml:space="preserve">según el plan de la cuenta) puede estar situado fuera de la República Argentina: en ese caso, los datos pueden salir del país (art. 12, Ley 25.326). MultiOCR informa esta transferencia en este aviso y exige a su proveedor condiciones de protección mediante acuerdos de procesamiento de datos (DPA) y, cuando corresponde, cláusulas contractuales modelo aprobadas por la AAIP.</w:t>
      </w:r>
    </w:p>
    <w:p>
      <w:pPr>
        <w:pStyle w:val="Compact"/>
        <w:numPr>
          <w:ilvl w:val="0"/>
          <w:numId w:val="1005"/>
        </w:numPr>
      </w:pPr>
      <w:r>
        <w:t xml:space="preserve">La condición de no retención del proveedor se documenta en el Anexo Técnico y se verifica ante cualquier cambio de plan o de proveedor.</w:t>
      </w:r>
    </w:p>
    <w:bookmarkEnd w:id="20"/>
    <w:bookmarkStart w:id="21" w:name="datos-sensibles-reglas-de-uso"/>
    <w:p>
      <w:pPr>
        <w:pStyle w:val="Heading2"/>
      </w:pPr>
      <w:r>
        <w:t xml:space="preserve">6. Datos sensibles: reglas de uso</w:t>
      </w:r>
    </w:p>
    <w:p>
      <w:pPr>
        <w:pStyle w:val="Compact"/>
        <w:numPr>
          <w:ilvl w:val="0"/>
          <w:numId w:val="1006"/>
        </w:numPr>
      </w:pPr>
      <w:r>
        <w:t xml:space="preserve">Regla general: no cargue documentos que contengan datos personales sensibles (art. 2º, Ley 25.326: origen racial o étnico, salud, ideología, religión, afiliación sindical, vida sexual, entre otros).</w:t>
      </w:r>
    </w:p>
    <w:p>
      <w:pPr>
        <w:pStyle w:val="Compact"/>
        <w:numPr>
          <w:ilvl w:val="0"/>
          <w:numId w:val="1006"/>
        </w:numPr>
      </w:pPr>
      <w:r>
        <w:t xml:space="preserve">Excepción: si el caso lo exige, solo con el consentimiento explícito, previo y documentado del titular, y restringido a la finalidad declarada (art. 7º, Ley 25.326).</w:t>
      </w:r>
    </w:p>
    <w:p>
      <w:pPr>
        <w:pStyle w:val="Compact"/>
        <w:numPr>
          <w:ilvl w:val="0"/>
          <w:numId w:val="1006"/>
        </w:numPr>
      </w:pPr>
      <w:r>
        <w:t xml:space="preserve">Conducta de la plataforma: MultiOCR informa al usuario sobre el manejo de los datos, pero no bloquea ni anonimiza la carga de forma automática. El cliente es responsable del tipo de datos enviados y de contar con base legal para su procesamiento.</w:t>
      </w:r>
    </w:p>
    <w:bookmarkEnd w:id="21"/>
    <w:bookmarkStart w:id="22" w:name="medidas-de-seguridad"/>
    <w:p>
      <w:pPr>
        <w:pStyle w:val="Heading2"/>
      </w:pPr>
      <w:r>
        <w:t xml:space="preserve">7. Medidas de seguridad</w:t>
      </w:r>
    </w:p>
    <w:p>
      <w:pPr>
        <w:pStyle w:val="Compact"/>
        <w:numPr>
          <w:ilvl w:val="0"/>
          <w:numId w:val="1007"/>
        </w:numPr>
      </w:pPr>
      <w:r>
        <w:t xml:space="preserve">Cifrado en tránsito obligatorio: todo el tráfico corre exclusivamente sobre HTTPS.</w:t>
      </w:r>
    </w:p>
    <w:p>
      <w:pPr>
        <w:pStyle w:val="Compact"/>
        <w:numPr>
          <w:ilvl w:val="0"/>
          <w:numId w:val="1007"/>
        </w:numPr>
      </w:pPr>
      <w:r>
        <w:t xml:space="preserve">No persistencia en extracción: el payload y el resultado intermedio no se guardan durante</w:t>
      </w:r>
      <w:r>
        <w:t xml:space="preserve"> </w:t>
      </w:r>
      <w:r>
        <w:rPr>
          <w:rStyle w:val="VerbatimChar"/>
        </w:rPr>
        <w:t xml:space="preserve">/load</w:t>
      </w:r>
      <w:r>
        <w:t xml:space="preserve">.</w:t>
      </w:r>
    </w:p>
    <w:p>
      <w:pPr>
        <w:pStyle w:val="Compact"/>
        <w:numPr>
          <w:ilvl w:val="0"/>
          <w:numId w:val="1007"/>
        </w:numPr>
      </w:pPr>
      <w:r>
        <w:t xml:space="preserve">Aislamiento multi-tenant: validación y alcance estricto por</w:t>
      </w:r>
      <w:r>
        <w:t xml:space="preserve"> </w:t>
      </w:r>
      <w:r>
        <w:rPr>
          <w:rStyle w:val="VerbatimChar"/>
        </w:rPr>
        <w:t xml:space="preserve">x-api-id</w:t>
      </w:r>
      <w:r>
        <w:t xml:space="preserve"> </w:t>
      </w:r>
      <w:r>
        <w:t xml:space="preserve">en cada operación, impidiendo el acceso entre distintos clientes.</w:t>
      </w:r>
    </w:p>
    <w:p>
      <w:pPr>
        <w:pStyle w:val="Compact"/>
        <w:numPr>
          <w:ilvl w:val="0"/>
          <w:numId w:val="1007"/>
        </w:numPr>
      </w:pPr>
      <w:r>
        <w:t xml:space="preserve">Credenciales protegidas: los secretos de cliente se almacenan con hash unidireccional (</w:t>
      </w:r>
      <w:r>
        <w:rPr>
          <w:rStyle w:val="VerbatimChar"/>
        </w:rPr>
        <w:t xml:space="preserve">bcrypt</w:t>
      </w:r>
      <w:r>
        <w:t xml:space="preserve">), nunca en claro.</w:t>
      </w:r>
    </w:p>
    <w:bookmarkEnd w:id="22"/>
    <w:bookmarkStart w:id="23" w:name="X13151202ca593d41897e09097ac8fd2a3644718"/>
    <w:p>
      <w:pPr>
        <w:pStyle w:val="Heading2"/>
      </w:pPr>
      <w:r>
        <w:t xml:space="preserve">8. Responsabilidad del cliente y de los usuarios</w:t>
      </w:r>
    </w:p>
    <w:p>
      <w:pPr>
        <w:pStyle w:val="Compact"/>
        <w:numPr>
          <w:ilvl w:val="0"/>
          <w:numId w:val="1008"/>
        </w:numPr>
      </w:pPr>
      <w:r>
        <w:t xml:space="preserve">El cliente define la finalidad, los documentos a procesar y el uso de los resultados: es el Responsable del Tratamiento.</w:t>
      </w:r>
    </w:p>
    <w:p>
      <w:pPr>
        <w:pStyle w:val="Compact"/>
        <w:numPr>
          <w:ilvl w:val="0"/>
          <w:numId w:val="1008"/>
        </w:numPr>
      </w:pPr>
      <w:r>
        <w:t xml:space="preserve">El resultado de la extracción es generado por IA y, por su naturaleza probabilística, puede contener errores u omisiones; por lo tanto debe ser revisado y validado por una persona antes de su uso. No constituye asesoramiento legal, contable ni financiero.</w:t>
      </w:r>
    </w:p>
    <w:p>
      <w:pPr>
        <w:pStyle w:val="Compact"/>
        <w:numPr>
          <w:ilvl w:val="0"/>
          <w:numId w:val="1008"/>
        </w:numPr>
      </w:pPr>
      <w:r>
        <w:t xml:space="preserve">El cliente es responsable de cumplir la legislación aplicable en su jurisdicción, de obtener el consentimiento que corresponda sobre los titulares de los datos y de decidir la retención interna de los resultados.</w:t>
      </w:r>
    </w:p>
    <w:p>
      <w:pPr>
        <w:pStyle w:val="Compact"/>
        <w:numPr>
          <w:ilvl w:val="0"/>
          <w:numId w:val="1008"/>
        </w:numPr>
      </w:pPr>
      <w:r>
        <w:t xml:space="preserve">Antes de usar el servicio en casos sensibles o de alto riesgo, se recomienda contar con revisión legal del uso previsto.</w:t>
      </w:r>
    </w:p>
    <w:bookmarkEnd w:id="23"/>
    <w:bookmarkStart w:id="24" w:name="derechos-del-titular-de-los-datos-arco"/>
    <w:p>
      <w:pPr>
        <w:pStyle w:val="Heading2"/>
      </w:pPr>
      <w:r>
        <w:t xml:space="preserve">9. Derechos del titular de los datos (ARCO)</w:t>
      </w:r>
    </w:p>
    <w:p>
      <w:pPr>
        <w:pStyle w:val="FirstParagraph"/>
      </w:pPr>
      <w:r>
        <w:t xml:space="preserve">Todo titular puede ejercer los derechos de Acceso, Rectificación, Supresión y Oposición (arts. 14, 16 y 27, Ley 25.326) ante:</w:t>
      </w:r>
    </w:p>
    <w:p>
      <w:pPr>
        <w:pStyle w:val="Compact"/>
        <w:numPr>
          <w:ilvl w:val="0"/>
          <w:numId w:val="1009"/>
        </w:numPr>
      </w:pPr>
      <w:r>
        <w:t xml:space="preserve">el cliente, como Responsable del Tratamiento; y/o</w:t>
      </w:r>
    </w:p>
    <w:p>
      <w:pPr>
        <w:pStyle w:val="Compact"/>
        <w:numPr>
          <w:ilvl w:val="0"/>
          <w:numId w:val="1009"/>
        </w:numPr>
      </w:pPr>
      <w:r>
        <w:t xml:space="preserve">labIA / Concentrix, como Encargado del Tratamiento, en el contacto indicado al pie, para dar traslado de la solicitud y ejecutar la supresión de los datos persistidos.</w:t>
      </w:r>
    </w:p>
    <w:p>
      <w:pPr>
        <w:pStyle w:val="FirstParagraph"/>
      </w:pPr>
      <w:r>
        <w:t xml:space="preserve">MultiOCR atenderá las solicitudes dentro de los plazos legales y dará traslado al responsable (cliente) cuando corresponda, incluida la supresión de datos al término del vínculo contractual.</w:t>
      </w:r>
    </w:p>
    <w:bookmarkEnd w:id="24"/>
    <w:bookmarkStart w:id="25" w:name="vigencia-y-cambios"/>
    <w:p>
      <w:pPr>
        <w:pStyle w:val="Heading2"/>
      </w:pPr>
      <w:r>
        <w:t xml:space="preserve">10. Vigencia y cambios</w:t>
      </w:r>
    </w:p>
    <w:p>
      <w:pPr>
        <w:pStyle w:val="FirstParagraph"/>
      </w:pPr>
      <w:r>
        <w:t xml:space="preserve">Este aviso entra en vigencia el 16/09/2026 y se revisará ante cualquier cambio en: proveedor de IA, política de no retención, arquitectura del servicio o normativa aplicable. Las modificaciones se publicarán con aviso previo en la plataforma.</w:t>
      </w:r>
    </w:p>
    <w:bookmarkEnd w:id="25"/>
    <w:bookmarkStart w:id="26" w:name="contacto-y-responsable"/>
    <w:p>
      <w:pPr>
        <w:pStyle w:val="Heading2"/>
      </w:pPr>
      <w:r>
        <w:t xml:space="preserve">11. Contacto y responsable</w:t>
      </w:r>
    </w:p>
    <w:p>
      <w:pPr>
        <w:pStyle w:val="Compact"/>
        <w:numPr>
          <w:ilvl w:val="0"/>
          <w:numId w:val="1010"/>
        </w:numPr>
      </w:pPr>
      <w:r>
        <w:t xml:space="preserve">Encargado del Tratamiento: labIA / Concentrix · [RAZÓN SOCIAL / DOMICILIO / CONTACTO — a completar]</w:t>
      </w:r>
    </w:p>
    <w:p>
      <w:pPr>
        <w:pStyle w:val="Compact"/>
        <w:numPr>
          <w:ilvl w:val="0"/>
          <w:numId w:val="1010"/>
        </w:numPr>
      </w:pPr>
      <w:r>
        <w:t xml:space="preserve">Responsable del Tratamiento: [CLIENTE — nombre de la empresa contratante]</w:t>
      </w:r>
    </w:p>
    <w:p>
      <w:pPr>
        <w:pStyle w:val="Compact"/>
        <w:numPr>
          <w:ilvl w:val="0"/>
          <w:numId w:val="1010"/>
        </w:numPr>
      </w:pPr>
      <w:r>
        <w:t xml:space="preserve">Contacto de labIA: [EMAIL / TEL]</w:t>
      </w:r>
    </w:p>
    <w:p>
      <w:pPr>
        <w:pStyle w:val="Compact"/>
        <w:numPr>
          <w:ilvl w:val="0"/>
          <w:numId w:val="1010"/>
        </w:numPr>
      </w:pPr>
      <w:r>
        <w:t xml:space="preserve">Referencias normativas: Ley 25.326 y Decreto 1558/2001 · Disp. AAIP 60-E/2016 · Res. AAIP 159/2018 · Res. AAIP 198/2023 · Res. AAIP 47/2018 · Ley 26.388 · CCyC art. 1106.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2026-09-24T17:33:47Z</dcterms:created>
  <dcterms:modified xsi:type="dcterms:W3CDTF">2026-09-24T17:33:47Z</dcterms:modified>
</cp:coreProperties>
</file>

<file path=docProps/custom.xml><?xml version="1.0" encoding="utf-8"?>
<Properties xmlns="http://schemas.openxmlformats.org/officeDocument/2006/custom-properties" xmlns:vt="http://schemas.openxmlformats.org/officeDocument/2006/docPropsVTypes"/>
</file>