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69E2C" w14:textId="77777777" w:rsidR="00DC2964" w:rsidRPr="00892B25" w:rsidRDefault="00DC2964">
      <w:pPr>
        <w:pStyle w:val="Title"/>
        <w:widowControl w:val="0"/>
        <w:spacing w:after="80"/>
        <w:rPr>
          <w:sz w:val="22"/>
          <w:szCs w:val="22"/>
        </w:rPr>
      </w:pPr>
      <w:r>
        <w:rPr>
          <w:sz w:val="22"/>
          <w:szCs w:val="22"/>
        </w:rPr>
        <w:t>TERMS FOR PRIVATE PLACEMENT OF SEED SERIES PREFERRED STOCK OF</w:t>
      </w:r>
      <w:bookmarkStart w:id="0" w:name="_GoBack"/>
      <w:bookmarkEnd w:id="0"/>
      <w:r>
        <w:rPr>
          <w:sz w:val="22"/>
          <w:szCs w:val="22"/>
        </w:rPr>
        <w:br/>
      </w:r>
      <w:r w:rsidR="00892B25">
        <w:rPr>
          <w:sz w:val="22"/>
          <w:szCs w:val="22"/>
        </w:rPr>
        <w:t>[</w:t>
      </w:r>
      <w:r w:rsidRPr="00892B25">
        <w:rPr>
          <w:bCs/>
          <w:i/>
          <w:iCs/>
          <w:sz w:val="22"/>
          <w:szCs w:val="22"/>
        </w:rPr>
        <w:t>Insert Company Name</w:t>
      </w:r>
      <w:r w:rsidR="00892B25">
        <w:rPr>
          <w:sz w:val="22"/>
          <w:szCs w:val="22"/>
        </w:rPr>
        <w:t>]</w:t>
      </w:r>
      <w:r w:rsidRPr="00892B25">
        <w:rPr>
          <w:sz w:val="22"/>
          <w:szCs w:val="22"/>
        </w:rPr>
        <w:t>, INC.</w:t>
      </w:r>
    </w:p>
    <w:p w14:paraId="1B3EEAEF" w14:textId="77777777" w:rsidR="00DC2964" w:rsidRPr="00892B25" w:rsidRDefault="00892B25">
      <w:pPr>
        <w:pStyle w:val="Title"/>
        <w:widowControl w:val="0"/>
        <w:spacing w:after="120"/>
        <w:rPr>
          <w:sz w:val="22"/>
          <w:szCs w:val="22"/>
        </w:rPr>
      </w:pPr>
      <w:r>
        <w:rPr>
          <w:sz w:val="22"/>
          <w:szCs w:val="22"/>
        </w:rPr>
        <w:t>[</w:t>
      </w:r>
      <w:r w:rsidR="00DC2964" w:rsidRPr="00892B25">
        <w:rPr>
          <w:sz w:val="22"/>
          <w:szCs w:val="22"/>
        </w:rPr>
        <w:t>Date</w:t>
      </w:r>
      <w:r>
        <w:rPr>
          <w:sz w:val="22"/>
          <w:szCs w:val="22"/>
        </w:rPr>
        <w:t>]</w:t>
      </w:r>
    </w:p>
    <w:p w14:paraId="57C78A58" w14:textId="77777777" w:rsidR="00DC2964" w:rsidRDefault="00DC2964">
      <w:pPr>
        <w:pStyle w:val="Bod"/>
        <w:widowControl w:val="0"/>
        <w:spacing w:after="120"/>
        <w:ind w:firstLine="0"/>
        <w:rPr>
          <w:sz w:val="22"/>
          <w:szCs w:val="22"/>
        </w:rPr>
      </w:pPr>
      <w:r>
        <w:rPr>
          <w:sz w:val="22"/>
          <w:szCs w:val="22"/>
        </w:rPr>
        <w:t>The following is a summary of the principal terms with respect to the proposed Seed Series Preferred Stock financing of ___________, Inc., a [Delaware] corporation (the “</w:t>
      </w:r>
      <w:r>
        <w:rPr>
          <w:b/>
          <w:i/>
          <w:sz w:val="22"/>
          <w:szCs w:val="22"/>
        </w:rPr>
        <w:t>Company</w:t>
      </w:r>
      <w:r>
        <w:rPr>
          <w:sz w:val="22"/>
          <w:szCs w:val="22"/>
        </w:rPr>
        <w:t>”).  Except for the sections entitled “Expenses”, “No Shop/Confidentiality” [and “Special Terms”], such summary of terms does not constitute a legally binding obligation.  Any other legally binding obligation will only be made pursuant to definitive agreements to be negotiated and executed by the parties.</w:t>
      </w:r>
    </w:p>
    <w:tbl>
      <w:tblPr>
        <w:tblW w:w="9648" w:type="dxa"/>
        <w:tblLayout w:type="fixed"/>
        <w:tblLook w:val="0000" w:firstRow="0" w:lastRow="0" w:firstColumn="0" w:lastColumn="0" w:noHBand="0" w:noVBand="0"/>
      </w:tblPr>
      <w:tblGrid>
        <w:gridCol w:w="2088"/>
        <w:gridCol w:w="7560"/>
      </w:tblGrid>
      <w:tr w:rsidR="00DC2964" w14:paraId="6D8EEE0D" w14:textId="77777777">
        <w:trPr>
          <w:cantSplit/>
        </w:trPr>
        <w:tc>
          <w:tcPr>
            <w:tcW w:w="2088" w:type="dxa"/>
          </w:tcPr>
          <w:p w14:paraId="1D1342AA" w14:textId="77777777" w:rsidR="00DC2964" w:rsidRDefault="00DC2964">
            <w:pPr>
              <w:pStyle w:val="Head"/>
              <w:keepNext w:val="0"/>
              <w:widowControl w:val="0"/>
              <w:spacing w:after="120"/>
              <w:rPr>
                <w:sz w:val="22"/>
                <w:szCs w:val="22"/>
              </w:rPr>
            </w:pPr>
            <w:r>
              <w:rPr>
                <w:sz w:val="22"/>
                <w:szCs w:val="22"/>
                <w:u w:val="single"/>
              </w:rPr>
              <w:t>Offering Terms</w:t>
            </w:r>
          </w:p>
        </w:tc>
        <w:tc>
          <w:tcPr>
            <w:tcW w:w="7560" w:type="dxa"/>
          </w:tcPr>
          <w:p w14:paraId="06F12E6E" w14:textId="77777777" w:rsidR="00DC2964" w:rsidRDefault="00DC2964">
            <w:pPr>
              <w:widowControl w:val="0"/>
              <w:spacing w:after="120"/>
              <w:rPr>
                <w:sz w:val="22"/>
                <w:szCs w:val="22"/>
              </w:rPr>
            </w:pPr>
          </w:p>
        </w:tc>
      </w:tr>
      <w:tr w:rsidR="00DC2964" w14:paraId="73D21DF9" w14:textId="77777777">
        <w:trPr>
          <w:cantSplit/>
        </w:trPr>
        <w:tc>
          <w:tcPr>
            <w:tcW w:w="2088" w:type="dxa"/>
          </w:tcPr>
          <w:p w14:paraId="1F4F5C7D" w14:textId="77777777" w:rsidR="00DC2964" w:rsidRDefault="00DC2964">
            <w:pPr>
              <w:widowControl w:val="0"/>
              <w:spacing w:after="160"/>
              <w:rPr>
                <w:sz w:val="22"/>
                <w:szCs w:val="22"/>
              </w:rPr>
            </w:pPr>
            <w:r>
              <w:rPr>
                <w:sz w:val="22"/>
                <w:szCs w:val="22"/>
              </w:rPr>
              <w:t>Securities to Issue:</w:t>
            </w:r>
          </w:p>
        </w:tc>
        <w:tc>
          <w:tcPr>
            <w:tcW w:w="7560" w:type="dxa"/>
          </w:tcPr>
          <w:p w14:paraId="429BF350" w14:textId="77777777" w:rsidR="00DC2964" w:rsidRDefault="00DC2964">
            <w:pPr>
              <w:widowControl w:val="0"/>
              <w:spacing w:after="120"/>
              <w:jc w:val="both"/>
              <w:rPr>
                <w:sz w:val="22"/>
                <w:szCs w:val="22"/>
              </w:rPr>
            </w:pPr>
            <w:r>
              <w:rPr>
                <w:sz w:val="22"/>
                <w:szCs w:val="22"/>
              </w:rPr>
              <w:t>Shares of Seed Series Preferred Stock of the Company (the “</w:t>
            </w:r>
            <w:r>
              <w:rPr>
                <w:b/>
                <w:i/>
                <w:sz w:val="22"/>
                <w:szCs w:val="22"/>
              </w:rPr>
              <w:t>Series Seed</w:t>
            </w:r>
            <w:r>
              <w:rPr>
                <w:sz w:val="22"/>
                <w:szCs w:val="22"/>
              </w:rPr>
              <w:t>”).</w:t>
            </w:r>
          </w:p>
        </w:tc>
      </w:tr>
      <w:tr w:rsidR="00DC2964" w14:paraId="3D587930" w14:textId="77777777">
        <w:trPr>
          <w:cantSplit/>
        </w:trPr>
        <w:tc>
          <w:tcPr>
            <w:tcW w:w="2088" w:type="dxa"/>
          </w:tcPr>
          <w:p w14:paraId="5ED4D875" w14:textId="77777777" w:rsidR="00DC2964" w:rsidRDefault="00DC2964">
            <w:pPr>
              <w:widowControl w:val="0"/>
              <w:spacing w:after="160"/>
              <w:rPr>
                <w:sz w:val="22"/>
                <w:szCs w:val="22"/>
              </w:rPr>
            </w:pPr>
            <w:r>
              <w:rPr>
                <w:sz w:val="22"/>
                <w:szCs w:val="22"/>
              </w:rPr>
              <w:t>Aggregate Proceeds:</w:t>
            </w:r>
          </w:p>
        </w:tc>
        <w:tc>
          <w:tcPr>
            <w:tcW w:w="7560" w:type="dxa"/>
          </w:tcPr>
          <w:p w14:paraId="2680FC36" w14:textId="77777777" w:rsidR="00DC2964" w:rsidRDefault="00DC2964">
            <w:pPr>
              <w:widowControl w:val="0"/>
              <w:spacing w:after="120"/>
              <w:jc w:val="both"/>
              <w:rPr>
                <w:sz w:val="22"/>
                <w:szCs w:val="22"/>
              </w:rPr>
            </w:pPr>
            <w:r>
              <w:rPr>
                <w:sz w:val="22"/>
                <w:szCs w:val="22"/>
              </w:rPr>
              <w:t>Minimum of $_______ [and maximum of $_________ in aggregate].</w:t>
            </w:r>
          </w:p>
        </w:tc>
      </w:tr>
      <w:tr w:rsidR="00DC2964" w14:paraId="375CDA2F" w14:textId="77777777">
        <w:trPr>
          <w:cantSplit/>
        </w:trPr>
        <w:tc>
          <w:tcPr>
            <w:tcW w:w="2088" w:type="dxa"/>
          </w:tcPr>
          <w:p w14:paraId="062DEA8D" w14:textId="77777777" w:rsidR="00DC2964" w:rsidRDefault="00DC2964">
            <w:pPr>
              <w:widowControl w:val="0"/>
              <w:spacing w:after="160"/>
              <w:rPr>
                <w:sz w:val="22"/>
                <w:szCs w:val="22"/>
              </w:rPr>
            </w:pPr>
            <w:r>
              <w:rPr>
                <w:sz w:val="22"/>
                <w:szCs w:val="22"/>
              </w:rPr>
              <w:t>Lead Investor</w:t>
            </w:r>
            <w:r w:rsidR="00892B25">
              <w:rPr>
                <w:sz w:val="22"/>
                <w:szCs w:val="22"/>
              </w:rPr>
              <w:t>s</w:t>
            </w:r>
            <w:r>
              <w:rPr>
                <w:sz w:val="22"/>
                <w:szCs w:val="22"/>
              </w:rPr>
              <w:t>:</w:t>
            </w:r>
          </w:p>
        </w:tc>
        <w:tc>
          <w:tcPr>
            <w:tcW w:w="7560" w:type="dxa"/>
          </w:tcPr>
          <w:p w14:paraId="2A8BDAF9" w14:textId="77777777" w:rsidR="00D6276E" w:rsidRDefault="00892B25" w:rsidP="00DC2964">
            <w:pPr>
              <w:widowControl w:val="0"/>
              <w:spacing w:after="120"/>
              <w:jc w:val="both"/>
              <w:rPr>
                <w:sz w:val="22"/>
                <w:szCs w:val="22"/>
              </w:rPr>
            </w:pPr>
            <w:r>
              <w:rPr>
                <w:sz w:val="22"/>
                <w:szCs w:val="22"/>
              </w:rPr>
              <w:t xml:space="preserve">Members of New York Angels, Inc. </w:t>
            </w:r>
            <w:r w:rsidR="00DC2964">
              <w:rPr>
                <w:sz w:val="22"/>
                <w:szCs w:val="22"/>
              </w:rPr>
              <w:t xml:space="preserve"> </w:t>
            </w:r>
          </w:p>
          <w:p w14:paraId="525C3B54" w14:textId="77777777" w:rsidR="00DC2964" w:rsidRDefault="00DC2964" w:rsidP="00DC2964">
            <w:pPr>
              <w:widowControl w:val="0"/>
              <w:spacing w:after="120"/>
              <w:jc w:val="both"/>
              <w:rPr>
                <w:sz w:val="22"/>
                <w:szCs w:val="22"/>
              </w:rPr>
            </w:pPr>
            <w:proofErr w:type="gramStart"/>
            <w:r>
              <w:rPr>
                <w:sz w:val="22"/>
                <w:szCs w:val="22"/>
              </w:rPr>
              <w:t>who</w:t>
            </w:r>
            <w:proofErr w:type="gramEnd"/>
            <w:r>
              <w:rPr>
                <w:sz w:val="22"/>
                <w:szCs w:val="22"/>
              </w:rPr>
              <w:t xml:space="preserve"> will invest a minimum of $_________ </w:t>
            </w:r>
          </w:p>
        </w:tc>
      </w:tr>
      <w:tr w:rsidR="00DC2964" w14:paraId="71EC1263" w14:textId="77777777">
        <w:trPr>
          <w:cantSplit/>
        </w:trPr>
        <w:tc>
          <w:tcPr>
            <w:tcW w:w="2088" w:type="dxa"/>
          </w:tcPr>
          <w:p w14:paraId="002B20A8" w14:textId="77777777" w:rsidR="00DC2964" w:rsidRDefault="00DC2964">
            <w:pPr>
              <w:widowControl w:val="0"/>
              <w:spacing w:after="160"/>
              <w:rPr>
                <w:sz w:val="22"/>
                <w:szCs w:val="22"/>
              </w:rPr>
            </w:pPr>
            <w:r>
              <w:rPr>
                <w:sz w:val="22"/>
                <w:szCs w:val="22"/>
              </w:rPr>
              <w:t>Price Per Share:</w:t>
            </w:r>
          </w:p>
        </w:tc>
        <w:tc>
          <w:tcPr>
            <w:tcW w:w="7560" w:type="dxa"/>
          </w:tcPr>
          <w:p w14:paraId="11908FDF" w14:textId="77777777" w:rsidR="00DC2964" w:rsidRDefault="00DC2964" w:rsidP="00BF0333">
            <w:pPr>
              <w:widowControl w:val="0"/>
              <w:spacing w:after="120"/>
              <w:jc w:val="both"/>
              <w:rPr>
                <w:sz w:val="22"/>
                <w:szCs w:val="22"/>
              </w:rPr>
            </w:pPr>
            <w:r w:rsidRPr="00521CE6">
              <w:rPr>
                <w:color w:val="000090"/>
                <w:sz w:val="22"/>
                <w:szCs w:val="22"/>
              </w:rPr>
              <w:t>$</w:t>
            </w:r>
            <w:r w:rsidR="00407181">
              <w:rPr>
                <w:color w:val="000090"/>
                <w:sz w:val="22"/>
                <w:szCs w:val="22"/>
              </w:rPr>
              <w:t xml:space="preserve"> _______</w:t>
            </w:r>
            <w:r>
              <w:rPr>
                <w:sz w:val="22"/>
                <w:szCs w:val="22"/>
              </w:rPr>
              <w:t xml:space="preserve"> (</w:t>
            </w:r>
            <w:proofErr w:type="gramStart"/>
            <w:r>
              <w:rPr>
                <w:sz w:val="22"/>
                <w:szCs w:val="22"/>
              </w:rPr>
              <w:t>the</w:t>
            </w:r>
            <w:proofErr w:type="gramEnd"/>
            <w:r>
              <w:rPr>
                <w:sz w:val="22"/>
                <w:szCs w:val="22"/>
              </w:rPr>
              <w:t xml:space="preserve"> “</w:t>
            </w:r>
            <w:r>
              <w:rPr>
                <w:b/>
                <w:i/>
                <w:sz w:val="22"/>
                <w:szCs w:val="22"/>
              </w:rPr>
              <w:t>Original Issue Price</w:t>
            </w:r>
            <w:r>
              <w:rPr>
                <w:sz w:val="22"/>
                <w:szCs w:val="22"/>
              </w:rPr>
              <w:t xml:space="preserve">”), based on a pre-money valuation of $____, calculated based upon the capitalization of the Company as set forth </w:t>
            </w:r>
            <w:r w:rsidR="00407181">
              <w:rPr>
                <w:sz w:val="22"/>
                <w:szCs w:val="22"/>
              </w:rPr>
              <w:t>in Exhibit A</w:t>
            </w:r>
            <w:r>
              <w:rPr>
                <w:sz w:val="22"/>
                <w:szCs w:val="22"/>
              </w:rPr>
              <w:t xml:space="preserve"> </w:t>
            </w:r>
            <w:r w:rsidR="00BF0333">
              <w:rPr>
                <w:sz w:val="22"/>
                <w:szCs w:val="22"/>
              </w:rPr>
              <w:t xml:space="preserve">inclusive </w:t>
            </w:r>
            <w:r w:rsidR="00601E2A" w:rsidRPr="00BF0333">
              <w:rPr>
                <w:sz w:val="22"/>
                <w:szCs w:val="22"/>
              </w:rPr>
              <w:t>of</w:t>
            </w:r>
            <w:r w:rsidR="00601E2A">
              <w:rPr>
                <w:sz w:val="22"/>
                <w:szCs w:val="22"/>
              </w:rPr>
              <w:t xml:space="preserve"> </w:t>
            </w:r>
            <w:r>
              <w:rPr>
                <w:sz w:val="22"/>
                <w:szCs w:val="22"/>
              </w:rPr>
              <w:t xml:space="preserve">an available post-closing option pool of 15% after  receipt of maximum Aggregate Proceeds. </w:t>
            </w:r>
          </w:p>
        </w:tc>
      </w:tr>
      <w:tr w:rsidR="00DC2964" w14:paraId="7503106B" w14:textId="77777777">
        <w:trPr>
          <w:cantSplit/>
        </w:trPr>
        <w:tc>
          <w:tcPr>
            <w:tcW w:w="2088" w:type="dxa"/>
          </w:tcPr>
          <w:p w14:paraId="088A46E7" w14:textId="77777777" w:rsidR="00DC2964" w:rsidRDefault="00DC2964">
            <w:pPr>
              <w:widowControl w:val="0"/>
              <w:spacing w:after="160"/>
              <w:rPr>
                <w:sz w:val="22"/>
                <w:szCs w:val="22"/>
              </w:rPr>
            </w:pPr>
            <w:r>
              <w:rPr>
                <w:sz w:val="22"/>
                <w:szCs w:val="22"/>
              </w:rPr>
              <w:t>Dividends:</w:t>
            </w:r>
          </w:p>
          <w:p w14:paraId="3BCEB701" w14:textId="77777777" w:rsidR="00DC2964" w:rsidRDefault="00DC2964">
            <w:pPr>
              <w:widowControl w:val="0"/>
              <w:spacing w:after="160"/>
              <w:rPr>
                <w:sz w:val="22"/>
                <w:szCs w:val="22"/>
              </w:rPr>
            </w:pPr>
          </w:p>
        </w:tc>
        <w:tc>
          <w:tcPr>
            <w:tcW w:w="7560" w:type="dxa"/>
          </w:tcPr>
          <w:p w14:paraId="044F65DA" w14:textId="77777777" w:rsidR="00DC2964" w:rsidRDefault="00DC2964">
            <w:pPr>
              <w:pStyle w:val="TableText"/>
              <w:widowControl w:val="0"/>
              <w:spacing w:after="120"/>
              <w:jc w:val="both"/>
              <w:rPr>
                <w:sz w:val="22"/>
                <w:szCs w:val="22"/>
              </w:rPr>
            </w:pPr>
            <w:r>
              <w:rPr>
                <w:sz w:val="22"/>
                <w:szCs w:val="22"/>
              </w:rPr>
              <w:t>Annual 6% accruing cumulative dividend payable when as and if declared, and upon (a) a Redemption or (b) a Liquidation (including a Deemed Liquidation Event) of the Company in which the holders of Series Seed receive less than 5 times the Original Issue Price per share (the “Cap”). For any other dividends or distributions, participation with Common Stock on an as-converted basis.</w:t>
            </w:r>
          </w:p>
        </w:tc>
      </w:tr>
      <w:tr w:rsidR="00DC2964" w14:paraId="1F3A0BFD" w14:textId="77777777">
        <w:trPr>
          <w:cantSplit/>
        </w:trPr>
        <w:tc>
          <w:tcPr>
            <w:tcW w:w="2088" w:type="dxa"/>
          </w:tcPr>
          <w:p w14:paraId="1199C9DE" w14:textId="77777777" w:rsidR="00DC2964" w:rsidRDefault="00DC2964">
            <w:pPr>
              <w:widowControl w:val="0"/>
              <w:spacing w:after="160"/>
              <w:rPr>
                <w:sz w:val="22"/>
                <w:szCs w:val="22"/>
              </w:rPr>
            </w:pPr>
            <w:r>
              <w:rPr>
                <w:sz w:val="22"/>
                <w:szCs w:val="22"/>
              </w:rPr>
              <w:t>Liquidation Preference:</w:t>
            </w:r>
          </w:p>
        </w:tc>
        <w:tc>
          <w:tcPr>
            <w:tcW w:w="7560" w:type="dxa"/>
          </w:tcPr>
          <w:p w14:paraId="53E1F9D4" w14:textId="77777777" w:rsidR="00DC2964" w:rsidRDefault="00DC2964">
            <w:pPr>
              <w:pStyle w:val="TableText"/>
              <w:widowControl w:val="0"/>
              <w:spacing w:after="120"/>
              <w:jc w:val="both"/>
              <w:rPr>
                <w:color w:val="000000"/>
                <w:sz w:val="22"/>
                <w:szCs w:val="22"/>
              </w:rPr>
            </w:pPr>
            <w:r>
              <w:rPr>
                <w:sz w:val="22"/>
                <w:szCs w:val="22"/>
              </w:rPr>
              <w:t xml:space="preserve">One times the Original Issue Price plus any accrued and unpaid dividends thereon (subject to the “Cap”) plus any other declared but unpaid dividends on each share of Series Seed, </w:t>
            </w:r>
            <w:proofErr w:type="gramStart"/>
            <w:r>
              <w:rPr>
                <w:sz w:val="22"/>
                <w:szCs w:val="22"/>
              </w:rPr>
              <w:t>balance</w:t>
            </w:r>
            <w:proofErr w:type="gramEnd"/>
            <w:r>
              <w:rPr>
                <w:sz w:val="22"/>
                <w:szCs w:val="22"/>
              </w:rPr>
              <w:t xml:space="preserve"> of proceeds paid to Common. A merger, consolidation, reorganization, sale or exclusive license of all or substantially all of the assets or similar transaction in one or a series of related transactions will be treated as a liquidation (a “Deemed Liquidation Event”).</w:t>
            </w:r>
          </w:p>
        </w:tc>
      </w:tr>
      <w:tr w:rsidR="00DC2964" w14:paraId="1906D197" w14:textId="77777777">
        <w:trPr>
          <w:cantSplit/>
        </w:trPr>
        <w:tc>
          <w:tcPr>
            <w:tcW w:w="2088" w:type="dxa"/>
          </w:tcPr>
          <w:p w14:paraId="10EAB7D0" w14:textId="77777777" w:rsidR="00DC2964" w:rsidRDefault="00DC2964">
            <w:pPr>
              <w:widowControl w:val="0"/>
              <w:spacing w:after="160"/>
              <w:rPr>
                <w:sz w:val="22"/>
                <w:szCs w:val="22"/>
              </w:rPr>
            </w:pPr>
            <w:r>
              <w:rPr>
                <w:sz w:val="22"/>
                <w:szCs w:val="22"/>
              </w:rPr>
              <w:t>Conversion:</w:t>
            </w:r>
          </w:p>
        </w:tc>
        <w:tc>
          <w:tcPr>
            <w:tcW w:w="7560" w:type="dxa"/>
          </w:tcPr>
          <w:p w14:paraId="179A644E" w14:textId="77777777" w:rsidR="00DC2964" w:rsidRDefault="00DC2964" w:rsidP="001477AD">
            <w:pPr>
              <w:widowControl w:val="0"/>
              <w:tabs>
                <w:tab w:val="left" w:pos="4302"/>
              </w:tabs>
              <w:spacing w:after="120"/>
              <w:jc w:val="both"/>
              <w:rPr>
                <w:sz w:val="22"/>
                <w:szCs w:val="22"/>
              </w:rPr>
            </w:pPr>
            <w:r>
              <w:rPr>
                <w:sz w:val="22"/>
                <w:szCs w:val="22"/>
              </w:rPr>
              <w:t xml:space="preserve">Convertible into one share of Common (subject to proportional adjustments for stock splits, stock dividends and the like, and </w:t>
            </w:r>
            <w:r w:rsidR="001477AD">
              <w:rPr>
                <w:sz w:val="22"/>
                <w:szCs w:val="22"/>
              </w:rPr>
              <w:t>Broad-based Weighted Average</w:t>
            </w:r>
            <w:r>
              <w:rPr>
                <w:sz w:val="22"/>
                <w:szCs w:val="22"/>
              </w:rPr>
              <w:t xml:space="preserve"> anti-dilution protection) at any time at the option of the holder.</w:t>
            </w:r>
          </w:p>
        </w:tc>
      </w:tr>
      <w:tr w:rsidR="00DC2964" w14:paraId="41E5186A" w14:textId="77777777">
        <w:trPr>
          <w:cantSplit/>
        </w:trPr>
        <w:tc>
          <w:tcPr>
            <w:tcW w:w="2088" w:type="dxa"/>
          </w:tcPr>
          <w:p w14:paraId="35A34BBF" w14:textId="77777777" w:rsidR="00DC2964" w:rsidRDefault="00DC2964">
            <w:pPr>
              <w:widowControl w:val="0"/>
              <w:spacing w:after="160"/>
              <w:rPr>
                <w:sz w:val="22"/>
                <w:szCs w:val="22"/>
              </w:rPr>
            </w:pPr>
            <w:r>
              <w:rPr>
                <w:sz w:val="22"/>
                <w:szCs w:val="22"/>
              </w:rPr>
              <w:t>Voting Rights:</w:t>
            </w:r>
          </w:p>
        </w:tc>
        <w:tc>
          <w:tcPr>
            <w:tcW w:w="7560" w:type="dxa"/>
          </w:tcPr>
          <w:p w14:paraId="549DB993" w14:textId="77777777" w:rsidR="00DC2964" w:rsidRDefault="00DC2964">
            <w:pPr>
              <w:widowControl w:val="0"/>
              <w:tabs>
                <w:tab w:val="left" w:pos="4302"/>
              </w:tabs>
              <w:spacing w:after="120"/>
              <w:jc w:val="both"/>
              <w:rPr>
                <w:sz w:val="22"/>
                <w:szCs w:val="22"/>
              </w:rPr>
            </w:pPr>
            <w:r>
              <w:rPr>
                <w:sz w:val="22"/>
                <w:szCs w:val="22"/>
              </w:rPr>
              <w:t>Votes together with the Common Stock on all matters on an as</w:t>
            </w:r>
            <w:r>
              <w:rPr>
                <w:sz w:val="22"/>
                <w:szCs w:val="22"/>
              </w:rPr>
              <w:noBreakHyphen/>
              <w:t>converted basis.  Approval of a majority of the Series Seed required to (</w:t>
            </w:r>
            <w:proofErr w:type="spellStart"/>
            <w:r>
              <w:rPr>
                <w:sz w:val="22"/>
                <w:szCs w:val="22"/>
              </w:rPr>
              <w:t>i</w:t>
            </w:r>
            <w:proofErr w:type="spellEnd"/>
            <w:r>
              <w:rPr>
                <w:sz w:val="22"/>
                <w:szCs w:val="22"/>
              </w:rPr>
              <w:t>) adversely change rights of the Series Seed; (ii) change the authorized number of shares; (iii) authorize a new series of Preferred Stock having rights senior to or on parity with the Series Seed; (iv) create or authorize the creation of any debt security if the Company’s aggregate indebtedness would exceed 50% of the aggregate proceeds of the Series Seed; (v) redeem or repurchase any shares (other than pursuant to the Company’s right of repurchase at original cost); (vi) declare or pay any dividend; (vii) increase in the option pool reserve within two years following the closing; (viii) change the number of directors; or (ix) liquidate or dissolve, including any change of control or Deemed Liquidation Event.</w:t>
            </w:r>
          </w:p>
        </w:tc>
      </w:tr>
      <w:tr w:rsidR="00DC2964" w14:paraId="35C630B1" w14:textId="77777777">
        <w:trPr>
          <w:cantSplit/>
        </w:trPr>
        <w:tc>
          <w:tcPr>
            <w:tcW w:w="2088" w:type="dxa"/>
          </w:tcPr>
          <w:p w14:paraId="0CE67673" w14:textId="77777777" w:rsidR="00DC2964" w:rsidRDefault="00DC2964">
            <w:pPr>
              <w:widowControl w:val="0"/>
              <w:spacing w:after="160"/>
              <w:rPr>
                <w:sz w:val="22"/>
                <w:szCs w:val="22"/>
              </w:rPr>
            </w:pPr>
            <w:r>
              <w:rPr>
                <w:sz w:val="22"/>
                <w:szCs w:val="22"/>
              </w:rPr>
              <w:t>Documentation:</w:t>
            </w:r>
          </w:p>
        </w:tc>
        <w:tc>
          <w:tcPr>
            <w:tcW w:w="7560" w:type="dxa"/>
          </w:tcPr>
          <w:p w14:paraId="005AC863" w14:textId="77777777" w:rsidR="00DC2964" w:rsidRDefault="00DC2964" w:rsidP="00407181">
            <w:pPr>
              <w:widowControl w:val="0"/>
              <w:tabs>
                <w:tab w:val="left" w:pos="4302"/>
              </w:tabs>
              <w:spacing w:after="120"/>
              <w:jc w:val="both"/>
              <w:rPr>
                <w:sz w:val="22"/>
                <w:szCs w:val="22"/>
              </w:rPr>
            </w:pPr>
            <w:r>
              <w:rPr>
                <w:sz w:val="22"/>
                <w:szCs w:val="22"/>
              </w:rPr>
              <w:t xml:space="preserve">Documents will be based on Seed Series Preferred Stock documents published at </w:t>
            </w:r>
            <w:r w:rsidR="00407181" w:rsidRPr="00407181">
              <w:rPr>
                <w:sz w:val="22"/>
                <w:szCs w:val="22"/>
              </w:rPr>
              <w:t>http:/gust.com/</w:t>
            </w:r>
            <w:proofErr w:type="spellStart"/>
            <w:proofErr w:type="gramStart"/>
            <w:r w:rsidR="00407181" w:rsidRPr="00407181">
              <w:rPr>
                <w:sz w:val="22"/>
                <w:szCs w:val="22"/>
              </w:rPr>
              <w:t>SeriesSeed</w:t>
            </w:r>
            <w:proofErr w:type="spellEnd"/>
            <w:r w:rsidR="00407181">
              <w:rPr>
                <w:color w:val="000090"/>
                <w:sz w:val="22"/>
                <w:szCs w:val="22"/>
              </w:rPr>
              <w:t xml:space="preserve"> </w:t>
            </w:r>
            <w:r>
              <w:rPr>
                <w:sz w:val="22"/>
                <w:szCs w:val="22"/>
              </w:rPr>
              <w:t>which will be generated/drafted</w:t>
            </w:r>
            <w:proofErr w:type="gramEnd"/>
            <w:r>
              <w:rPr>
                <w:sz w:val="22"/>
                <w:szCs w:val="22"/>
              </w:rPr>
              <w:t xml:space="preserve"> by Company counsel.   </w:t>
            </w:r>
          </w:p>
        </w:tc>
      </w:tr>
      <w:tr w:rsidR="00DC2964" w14:paraId="26FC3FF3" w14:textId="77777777">
        <w:trPr>
          <w:cantSplit/>
        </w:trPr>
        <w:tc>
          <w:tcPr>
            <w:tcW w:w="2088" w:type="dxa"/>
          </w:tcPr>
          <w:p w14:paraId="0F46CF05" w14:textId="77777777" w:rsidR="00DC2964" w:rsidRDefault="00DC2964">
            <w:pPr>
              <w:widowControl w:val="0"/>
              <w:spacing w:after="160"/>
              <w:rPr>
                <w:sz w:val="22"/>
                <w:szCs w:val="22"/>
              </w:rPr>
            </w:pPr>
            <w:r>
              <w:rPr>
                <w:sz w:val="22"/>
                <w:szCs w:val="22"/>
              </w:rPr>
              <w:lastRenderedPageBreak/>
              <w:t>Financial Information:</w:t>
            </w:r>
          </w:p>
        </w:tc>
        <w:tc>
          <w:tcPr>
            <w:tcW w:w="7560" w:type="dxa"/>
          </w:tcPr>
          <w:p w14:paraId="2A80B714" w14:textId="77777777" w:rsidR="00DC2964" w:rsidRDefault="00DC2964" w:rsidP="00892B25">
            <w:pPr>
              <w:widowControl w:val="0"/>
              <w:spacing w:after="120"/>
              <w:jc w:val="both"/>
              <w:rPr>
                <w:sz w:val="22"/>
                <w:szCs w:val="22"/>
              </w:rPr>
            </w:pPr>
            <w:r>
              <w:rPr>
                <w:sz w:val="22"/>
                <w:szCs w:val="22"/>
              </w:rPr>
              <w:t>All Investors will receive annual financial statements and narrative update reports from management. Investors who have invested at least $</w:t>
            </w:r>
            <w:r w:rsidR="00892B25">
              <w:rPr>
                <w:sz w:val="22"/>
                <w:szCs w:val="22"/>
              </w:rPr>
              <w:t>25,000</w:t>
            </w:r>
            <w:r>
              <w:rPr>
                <w:sz w:val="22"/>
                <w:szCs w:val="22"/>
              </w:rPr>
              <w:t xml:space="preserve"> (“</w:t>
            </w:r>
            <w:r>
              <w:rPr>
                <w:b/>
                <w:i/>
                <w:sz w:val="22"/>
                <w:szCs w:val="22"/>
              </w:rPr>
              <w:t>Major Investors</w:t>
            </w:r>
            <w:r>
              <w:rPr>
                <w:sz w:val="22"/>
                <w:szCs w:val="22"/>
              </w:rPr>
              <w:t>”) will receive quarterly financial and narrative update reports from management and inspection rights. Management rights letter will be provided to any Investor that requires such a letter. All communications with Investors shall be conducted through Company’s secure investor relations deal room on the Gust platform, which Company shall be responsible for maintaining with current, complete and accurate information.</w:t>
            </w:r>
          </w:p>
        </w:tc>
      </w:tr>
      <w:tr w:rsidR="00DC2964" w14:paraId="59E0B195" w14:textId="77777777">
        <w:trPr>
          <w:cantSplit/>
        </w:trPr>
        <w:tc>
          <w:tcPr>
            <w:tcW w:w="2088" w:type="dxa"/>
          </w:tcPr>
          <w:p w14:paraId="362E2445" w14:textId="77777777" w:rsidR="00DC2964" w:rsidRDefault="00DC2964">
            <w:pPr>
              <w:widowControl w:val="0"/>
              <w:spacing w:after="160"/>
              <w:rPr>
                <w:sz w:val="22"/>
                <w:szCs w:val="22"/>
              </w:rPr>
            </w:pPr>
            <w:r>
              <w:rPr>
                <w:sz w:val="22"/>
                <w:szCs w:val="22"/>
              </w:rPr>
              <w:t>Participation Right:</w:t>
            </w:r>
          </w:p>
        </w:tc>
        <w:tc>
          <w:tcPr>
            <w:tcW w:w="7560" w:type="dxa"/>
          </w:tcPr>
          <w:p w14:paraId="2332407D" w14:textId="77777777" w:rsidR="00DC2964" w:rsidRDefault="00DC2964">
            <w:pPr>
              <w:widowControl w:val="0"/>
              <w:spacing w:after="120"/>
              <w:jc w:val="both"/>
              <w:rPr>
                <w:sz w:val="22"/>
                <w:szCs w:val="22"/>
              </w:rPr>
            </w:pPr>
            <w:r>
              <w:rPr>
                <w:sz w:val="22"/>
                <w:szCs w:val="22"/>
              </w:rPr>
              <w:t xml:space="preserve">Major Investors will have the right to participate on a pro rata basis in subsequent issuances of equity securities. </w:t>
            </w:r>
          </w:p>
        </w:tc>
      </w:tr>
      <w:tr w:rsidR="00DC2964" w14:paraId="60064555" w14:textId="77777777">
        <w:trPr>
          <w:cantSplit/>
        </w:trPr>
        <w:tc>
          <w:tcPr>
            <w:tcW w:w="2088" w:type="dxa"/>
          </w:tcPr>
          <w:p w14:paraId="1C09877C" w14:textId="77777777" w:rsidR="00DC2964" w:rsidRDefault="00DC2964">
            <w:pPr>
              <w:widowControl w:val="0"/>
              <w:spacing w:after="160"/>
              <w:rPr>
                <w:sz w:val="22"/>
                <w:szCs w:val="22"/>
              </w:rPr>
            </w:pPr>
            <w:r>
              <w:rPr>
                <w:sz w:val="22"/>
                <w:szCs w:val="22"/>
              </w:rPr>
              <w:t>Redemption Right:</w:t>
            </w:r>
          </w:p>
        </w:tc>
        <w:tc>
          <w:tcPr>
            <w:tcW w:w="7560" w:type="dxa"/>
          </w:tcPr>
          <w:p w14:paraId="349F582B" w14:textId="77777777" w:rsidR="00DC2964" w:rsidRDefault="00DC2964">
            <w:pPr>
              <w:widowControl w:val="0"/>
              <w:spacing w:after="120"/>
              <w:jc w:val="both"/>
              <w:rPr>
                <w:bCs/>
                <w:szCs w:val="24"/>
              </w:rPr>
            </w:pPr>
            <w:r>
              <w:rPr>
                <w:sz w:val="22"/>
                <w:szCs w:val="22"/>
              </w:rPr>
              <w:t>The Series Seed shall be redeemable from funds legally available for distribution at the option of the holders of a majority of the outstanding Series Seed commencing any time after the seventh anniversary of the Closing at a price equal to the Original Purchase Price plus all accrued but unpaid dividends and any other declared and unpaid dividends thereon. Redemption shall occur in three equal annual portions.</w:t>
            </w:r>
          </w:p>
        </w:tc>
      </w:tr>
      <w:tr w:rsidR="00DC2964" w14:paraId="0FB69221" w14:textId="77777777">
        <w:trPr>
          <w:cantSplit/>
        </w:trPr>
        <w:tc>
          <w:tcPr>
            <w:tcW w:w="2088" w:type="dxa"/>
          </w:tcPr>
          <w:p w14:paraId="6B9EB44E" w14:textId="77777777" w:rsidR="00DC2964" w:rsidRDefault="00DC2964">
            <w:pPr>
              <w:widowControl w:val="0"/>
              <w:spacing w:after="160"/>
              <w:rPr>
                <w:sz w:val="22"/>
                <w:szCs w:val="22"/>
              </w:rPr>
            </w:pPr>
            <w:r>
              <w:rPr>
                <w:sz w:val="22"/>
                <w:szCs w:val="22"/>
              </w:rPr>
              <w:t>Board of Directors:</w:t>
            </w:r>
          </w:p>
        </w:tc>
        <w:tc>
          <w:tcPr>
            <w:tcW w:w="7560" w:type="dxa"/>
          </w:tcPr>
          <w:p w14:paraId="4277F9CA" w14:textId="77777777" w:rsidR="00DC2964" w:rsidRDefault="00DC2964" w:rsidP="00DC2964">
            <w:pPr>
              <w:widowControl w:val="0"/>
              <w:spacing w:after="120"/>
              <w:jc w:val="both"/>
              <w:rPr>
                <w:sz w:val="22"/>
                <w:szCs w:val="22"/>
              </w:rPr>
            </w:pPr>
            <w:r>
              <w:rPr>
                <w:sz w:val="22"/>
                <w:szCs w:val="22"/>
              </w:rPr>
              <w:t>Two directors elected by holders of a majority of Common stock, one elected by holders of a majority of Series Seed. Series Seed Director approval required for (</w:t>
            </w:r>
            <w:proofErr w:type="spellStart"/>
            <w:r>
              <w:rPr>
                <w:sz w:val="22"/>
                <w:szCs w:val="22"/>
              </w:rPr>
              <w:t>i</w:t>
            </w:r>
            <w:proofErr w:type="spellEnd"/>
            <w:r>
              <w:rPr>
                <w:sz w:val="22"/>
                <w:szCs w:val="22"/>
              </w:rPr>
              <w:t xml:space="preserve">) incurring indebtedness </w:t>
            </w:r>
            <w:r w:rsidR="003E4DD6" w:rsidRPr="003E4DD6">
              <w:rPr>
                <w:b/>
                <w:sz w:val="22"/>
                <w:szCs w:val="22"/>
              </w:rPr>
              <w:t>[exceeding $25,000]</w:t>
            </w:r>
            <w:r w:rsidR="003E4DD6">
              <w:rPr>
                <w:sz w:val="22"/>
                <w:szCs w:val="22"/>
              </w:rPr>
              <w:t xml:space="preserve"> </w:t>
            </w:r>
            <w:r>
              <w:rPr>
                <w:sz w:val="22"/>
                <w:szCs w:val="22"/>
              </w:rPr>
              <w:t xml:space="preserve">for borrowed money prior to the Company being cash flow positive, (ii) selling, transferring, licensing, pledging or encumbering technology or intellectual property, other than licenses granted in the ordinary course of business, (iii) entering into any material transaction with any founder, officer, director or key employee of the Company or any affiliate or family member of any of the foregoing, (iv) hiring, firing or materially changing the compensation of founders or executive officers, (v) changing the principal business of the Company or (vi) entering into any Deemed Liquidation Event that would result in the holders of Series Seed Series receiving less than 5 times their Original Purchase Price. </w:t>
            </w:r>
          </w:p>
        </w:tc>
      </w:tr>
      <w:tr w:rsidR="00DC2964" w14:paraId="432CE309" w14:textId="77777777">
        <w:trPr>
          <w:cantSplit/>
        </w:trPr>
        <w:tc>
          <w:tcPr>
            <w:tcW w:w="2088" w:type="dxa"/>
          </w:tcPr>
          <w:p w14:paraId="6A10A3FF" w14:textId="77777777" w:rsidR="00DC2964" w:rsidRDefault="00DC2964">
            <w:pPr>
              <w:widowControl w:val="0"/>
              <w:spacing w:after="160"/>
              <w:rPr>
                <w:sz w:val="22"/>
                <w:szCs w:val="22"/>
              </w:rPr>
            </w:pPr>
            <w:r>
              <w:rPr>
                <w:sz w:val="22"/>
                <w:szCs w:val="22"/>
              </w:rPr>
              <w:t>Expenses:</w:t>
            </w:r>
          </w:p>
        </w:tc>
        <w:tc>
          <w:tcPr>
            <w:tcW w:w="7560" w:type="dxa"/>
          </w:tcPr>
          <w:p w14:paraId="1B706DB1" w14:textId="77777777" w:rsidR="00DC2964" w:rsidRDefault="00DC2964" w:rsidP="00BF0333">
            <w:pPr>
              <w:widowControl w:val="0"/>
              <w:spacing w:after="120"/>
              <w:jc w:val="both"/>
              <w:rPr>
                <w:sz w:val="22"/>
                <w:szCs w:val="22"/>
              </w:rPr>
            </w:pPr>
            <w:proofErr w:type="gramStart"/>
            <w:r>
              <w:rPr>
                <w:sz w:val="22"/>
                <w:szCs w:val="22"/>
              </w:rPr>
              <w:t xml:space="preserve">Company to reimburse Investors a flat fee of $10,000 for </w:t>
            </w:r>
            <w:r w:rsidR="00BF0333">
              <w:rPr>
                <w:sz w:val="22"/>
                <w:szCs w:val="22"/>
              </w:rPr>
              <w:t>background check</w:t>
            </w:r>
            <w:proofErr w:type="gramEnd"/>
            <w:r w:rsidR="00BF0333">
              <w:rPr>
                <w:sz w:val="22"/>
                <w:szCs w:val="22"/>
              </w:rPr>
              <w:t xml:space="preserve"> expenses, due diligence and </w:t>
            </w:r>
            <w:r>
              <w:rPr>
                <w:sz w:val="22"/>
                <w:szCs w:val="22"/>
              </w:rPr>
              <w:t>review of transaction documentation by Investors’ counsel. Company shall be responsible for the expense of Company’s Gust investor relations deal room up to $1,500 per year.</w:t>
            </w:r>
          </w:p>
        </w:tc>
      </w:tr>
      <w:tr w:rsidR="00DC2964" w14:paraId="046DCD7E" w14:textId="77777777">
        <w:trPr>
          <w:cantSplit/>
        </w:trPr>
        <w:tc>
          <w:tcPr>
            <w:tcW w:w="2088" w:type="dxa"/>
          </w:tcPr>
          <w:p w14:paraId="2C0EB1E7" w14:textId="77777777" w:rsidR="00DC2964" w:rsidRDefault="00DC2964">
            <w:pPr>
              <w:widowControl w:val="0"/>
              <w:spacing w:after="160"/>
              <w:rPr>
                <w:sz w:val="22"/>
                <w:szCs w:val="22"/>
              </w:rPr>
            </w:pPr>
            <w:r>
              <w:rPr>
                <w:sz w:val="22"/>
                <w:szCs w:val="22"/>
              </w:rPr>
              <w:t>Future Rights:</w:t>
            </w:r>
          </w:p>
        </w:tc>
        <w:tc>
          <w:tcPr>
            <w:tcW w:w="7560" w:type="dxa"/>
          </w:tcPr>
          <w:p w14:paraId="4ACBB865" w14:textId="77777777" w:rsidR="00DC2964" w:rsidRDefault="00DC2964">
            <w:pPr>
              <w:widowControl w:val="0"/>
              <w:spacing w:after="120"/>
              <w:jc w:val="both"/>
              <w:rPr>
                <w:sz w:val="22"/>
                <w:szCs w:val="22"/>
              </w:rPr>
            </w:pPr>
            <w:r>
              <w:rPr>
                <w:sz w:val="22"/>
                <w:szCs w:val="22"/>
              </w:rPr>
              <w:t xml:space="preserve">The Series Seed will be given the same contractual rights (such as registration rights, information rights, rights of first refusal and tag along rights) as the first series of Preferred Stock sold to investors on terms similar to or consistent with NVCA or other standard documents customary for venture capital investments by institutional investors. </w:t>
            </w:r>
          </w:p>
        </w:tc>
      </w:tr>
      <w:tr w:rsidR="00DC2964" w14:paraId="106F2F33" w14:textId="77777777">
        <w:trPr>
          <w:cantSplit/>
        </w:trPr>
        <w:tc>
          <w:tcPr>
            <w:tcW w:w="2088" w:type="dxa"/>
          </w:tcPr>
          <w:p w14:paraId="0371033D" w14:textId="77777777" w:rsidR="00DC2964" w:rsidRDefault="00DC2964">
            <w:pPr>
              <w:widowControl w:val="0"/>
              <w:spacing w:after="160"/>
              <w:rPr>
                <w:sz w:val="22"/>
                <w:szCs w:val="22"/>
              </w:rPr>
            </w:pPr>
            <w:r>
              <w:rPr>
                <w:sz w:val="22"/>
                <w:szCs w:val="22"/>
              </w:rPr>
              <w:t>Founder Matters:</w:t>
            </w:r>
          </w:p>
        </w:tc>
        <w:tc>
          <w:tcPr>
            <w:tcW w:w="7560" w:type="dxa"/>
          </w:tcPr>
          <w:p w14:paraId="2195F1EF" w14:textId="77777777" w:rsidR="00DC2964" w:rsidRDefault="00DC2964">
            <w:pPr>
              <w:widowControl w:val="0"/>
              <w:spacing w:after="120"/>
              <w:jc w:val="both"/>
              <w:rPr>
                <w:sz w:val="22"/>
                <w:szCs w:val="22"/>
              </w:rPr>
            </w:pPr>
            <w:r>
              <w:rPr>
                <w:sz w:val="22"/>
                <w:szCs w:val="22"/>
              </w:rPr>
              <w:t xml:space="preserve">Each founder shall have four years vesting beginning as of the Closing, with 25% vesting on the first anniversary of the Closing and the remainder vesting monthly over the following 36 months. Full acceleration upon “Double Trigger.” Each Founder shall have assigned all relevant IP to the Company prior to closing and shall have entered into a non-disclosure, non-competition and non-solicitation agreement (to the fullest extent permitted by applicable law), with such non-competition and non-solicitation covenants to be applicable during the term of his or her employment by the Company and for one year after the termination thereof. Founders shall be subject to an agreement with the Company pursuant to which the Company shall have a right of first refusal with respect to any proposed transfer of capital stock of the Company at the price offered. </w:t>
            </w:r>
          </w:p>
        </w:tc>
      </w:tr>
      <w:tr w:rsidR="00DC2964" w14:paraId="7044BB01" w14:textId="77777777">
        <w:trPr>
          <w:cantSplit/>
        </w:trPr>
        <w:tc>
          <w:tcPr>
            <w:tcW w:w="2088" w:type="dxa"/>
          </w:tcPr>
          <w:p w14:paraId="1472750C" w14:textId="77777777" w:rsidR="00DC2964" w:rsidRDefault="00DC2964">
            <w:pPr>
              <w:widowControl w:val="0"/>
              <w:spacing w:after="160"/>
              <w:rPr>
                <w:sz w:val="22"/>
                <w:szCs w:val="22"/>
              </w:rPr>
            </w:pPr>
            <w:r>
              <w:rPr>
                <w:sz w:val="22"/>
                <w:szCs w:val="22"/>
              </w:rPr>
              <w:lastRenderedPageBreak/>
              <w:t>No Shop / Confidentiality:</w:t>
            </w:r>
          </w:p>
        </w:tc>
        <w:tc>
          <w:tcPr>
            <w:tcW w:w="7560" w:type="dxa"/>
          </w:tcPr>
          <w:p w14:paraId="060105B6" w14:textId="77777777" w:rsidR="00DC2964" w:rsidRDefault="00DC2964">
            <w:pPr>
              <w:widowControl w:val="0"/>
              <w:spacing w:after="120"/>
              <w:jc w:val="both"/>
              <w:rPr>
                <w:sz w:val="22"/>
                <w:szCs w:val="22"/>
              </w:rPr>
            </w:pPr>
            <w:r>
              <w:rPr>
                <w:sz w:val="22"/>
                <w:szCs w:val="22"/>
              </w:rPr>
              <w:t>The Company and the founders agree that they will not, for a period of 60 days from the date these terms are accepted, take any action to solicit, initiate, encourage or assist the submission of any proposal, negotiation or offer from any person or entity other than the Investors relating to the sale or issuance, of any of the capital stock of the Company and shall notify the Investors promptly of any inquiries by any third parties in regards to the foregoing.  The Company and the founders will not disclose the terms of this Term Sheet to any person other than officers, members of the Board of Directors and the Company’s accountants and attorneys and other potential Investors acceptable to the Investors, without the written consent of the Investors</w:t>
            </w:r>
          </w:p>
        </w:tc>
      </w:tr>
      <w:tr w:rsidR="00DC2964" w14:paraId="4EDEB3D2" w14:textId="77777777">
        <w:trPr>
          <w:cantSplit/>
        </w:trPr>
        <w:tc>
          <w:tcPr>
            <w:tcW w:w="2088" w:type="dxa"/>
          </w:tcPr>
          <w:p w14:paraId="17C715CB" w14:textId="77777777" w:rsidR="00DC2964" w:rsidRDefault="00DC2964">
            <w:pPr>
              <w:widowControl w:val="0"/>
              <w:spacing w:after="160"/>
              <w:rPr>
                <w:sz w:val="22"/>
                <w:szCs w:val="22"/>
              </w:rPr>
            </w:pPr>
            <w:r>
              <w:rPr>
                <w:sz w:val="22"/>
                <w:szCs w:val="22"/>
              </w:rPr>
              <w:t>Special Terms:</w:t>
            </w:r>
          </w:p>
        </w:tc>
        <w:tc>
          <w:tcPr>
            <w:tcW w:w="7560" w:type="dxa"/>
          </w:tcPr>
          <w:p w14:paraId="4B9BCD1C" w14:textId="77777777" w:rsidR="00DC2964" w:rsidRPr="00892B25" w:rsidRDefault="00892B25">
            <w:pPr>
              <w:widowControl w:val="0"/>
              <w:spacing w:after="120"/>
              <w:jc w:val="both"/>
              <w:rPr>
                <w:sz w:val="22"/>
                <w:szCs w:val="22"/>
              </w:rPr>
            </w:pPr>
            <w:r w:rsidRPr="00892B25">
              <w:rPr>
                <w:sz w:val="22"/>
                <w:szCs w:val="22"/>
              </w:rPr>
              <w:t>[</w:t>
            </w:r>
            <w:r w:rsidR="00521CE6" w:rsidRPr="00892B25">
              <w:rPr>
                <w:sz w:val="22"/>
                <w:szCs w:val="22"/>
              </w:rPr>
              <w:t>D</w:t>
            </w:r>
            <w:r w:rsidR="00DC2964" w:rsidRPr="00892B25">
              <w:rPr>
                <w:sz w:val="22"/>
                <w:szCs w:val="22"/>
              </w:rPr>
              <w:t>eal specific comments/conditions inserted he</w:t>
            </w:r>
            <w:r w:rsidR="00521CE6" w:rsidRPr="00892B25">
              <w:rPr>
                <w:sz w:val="22"/>
                <w:szCs w:val="22"/>
              </w:rPr>
              <w:t>re. Otherwise</w:t>
            </w:r>
            <w:r w:rsidRPr="00892B25">
              <w:rPr>
                <w:sz w:val="22"/>
                <w:szCs w:val="22"/>
              </w:rPr>
              <w:t xml:space="preserve"> “None”.]</w:t>
            </w:r>
          </w:p>
          <w:p w14:paraId="33188623" w14:textId="77777777" w:rsidR="00DC2964" w:rsidRDefault="00DC2964">
            <w:pPr>
              <w:widowControl w:val="0"/>
              <w:spacing w:after="120"/>
              <w:jc w:val="both"/>
              <w:rPr>
                <w:sz w:val="22"/>
                <w:szCs w:val="22"/>
              </w:rPr>
            </w:pPr>
          </w:p>
        </w:tc>
      </w:tr>
    </w:tbl>
    <w:p w14:paraId="50A56797" w14:textId="77777777" w:rsidR="00DC2964" w:rsidRDefault="00DC2964">
      <w:pPr>
        <w:pStyle w:val="BodyText"/>
        <w:rPr>
          <w:caps/>
        </w:rPr>
      </w:pPr>
    </w:p>
    <w:p w14:paraId="7483DFB3" w14:textId="77777777" w:rsidR="00DC2964" w:rsidRDefault="00DC2964">
      <w:pPr>
        <w:pStyle w:val="BodyText"/>
        <w:rPr>
          <w:caps/>
        </w:rPr>
        <w:sectPr w:rsidR="00DC2964">
          <w:footerReference w:type="first" r:id="rId9"/>
          <w:pgSz w:w="12240" w:h="15840" w:code="1"/>
          <w:pgMar w:top="1440" w:right="1440" w:bottom="720" w:left="1440" w:header="720" w:footer="432" w:gutter="0"/>
          <w:cols w:space="720"/>
          <w:titlePg/>
        </w:sectPr>
      </w:pPr>
    </w:p>
    <w:p w14:paraId="0229B9B0" w14:textId="77777777" w:rsidR="00DC2964" w:rsidRDefault="00DC2964">
      <w:pPr>
        <w:pStyle w:val="BodyText"/>
        <w:rPr>
          <w:caps/>
        </w:rPr>
      </w:pPr>
      <w:r>
        <w:rPr>
          <w:caps/>
        </w:rPr>
        <w:lastRenderedPageBreak/>
        <w:t>Company: [__________, INC.]</w:t>
      </w:r>
    </w:p>
    <w:p w14:paraId="15C53888" w14:textId="77777777" w:rsidR="00DC2964" w:rsidRDefault="00DC2964">
      <w:pPr>
        <w:pStyle w:val="BodyText"/>
        <w:rPr>
          <w:caps/>
        </w:rPr>
      </w:pPr>
    </w:p>
    <w:p w14:paraId="4A167799" w14:textId="77777777" w:rsidR="00DC2964" w:rsidRDefault="00DC2964">
      <w:pPr>
        <w:pStyle w:val="BodyText"/>
        <w:rPr>
          <w:caps/>
          <w:u w:val="single"/>
        </w:rPr>
      </w:pPr>
      <w:r>
        <w:rPr>
          <w:caps/>
          <w:u w:val="single"/>
        </w:rPr>
        <w:tab/>
      </w:r>
      <w:r>
        <w:rPr>
          <w:caps/>
          <w:u w:val="single"/>
        </w:rPr>
        <w:tab/>
      </w:r>
      <w:r>
        <w:rPr>
          <w:caps/>
          <w:u w:val="single"/>
        </w:rPr>
        <w:tab/>
      </w:r>
      <w:r>
        <w:rPr>
          <w:caps/>
          <w:u w:val="single"/>
        </w:rPr>
        <w:tab/>
      </w:r>
      <w:r>
        <w:rPr>
          <w:caps/>
          <w:u w:val="single"/>
        </w:rPr>
        <w:tab/>
      </w:r>
      <w:r>
        <w:rPr>
          <w:caps/>
          <w:u w:val="single"/>
        </w:rPr>
        <w:tab/>
      </w:r>
    </w:p>
    <w:p w14:paraId="5AF71048" w14:textId="77777777" w:rsidR="00DC2964" w:rsidRDefault="00DC2964">
      <w:pPr>
        <w:pStyle w:val="BodyText"/>
        <w:rPr>
          <w:u w:val="single"/>
        </w:rPr>
      </w:pPr>
      <w:r>
        <w:t xml:space="preserve">Name:  </w:t>
      </w:r>
      <w:r>
        <w:rPr>
          <w:u w:val="single"/>
        </w:rPr>
        <w:tab/>
      </w:r>
      <w:r>
        <w:rPr>
          <w:u w:val="single"/>
        </w:rPr>
        <w:tab/>
      </w:r>
      <w:r>
        <w:rPr>
          <w:u w:val="single"/>
        </w:rPr>
        <w:tab/>
      </w:r>
      <w:r>
        <w:rPr>
          <w:u w:val="single"/>
        </w:rPr>
        <w:tab/>
      </w:r>
      <w:r>
        <w:rPr>
          <w:u w:val="single"/>
        </w:rPr>
        <w:tab/>
      </w:r>
    </w:p>
    <w:p w14:paraId="533882FB" w14:textId="77777777" w:rsidR="00DC2964" w:rsidRDefault="00DC2964">
      <w:pPr>
        <w:pStyle w:val="BodyText"/>
      </w:pPr>
      <w:r>
        <w:t xml:space="preserve">Title: </w:t>
      </w:r>
      <w:r>
        <w:rPr>
          <w:u w:val="single"/>
        </w:rPr>
        <w:t xml:space="preserve"> </w:t>
      </w:r>
      <w:r>
        <w:rPr>
          <w:u w:val="single"/>
        </w:rPr>
        <w:tab/>
      </w:r>
      <w:r>
        <w:rPr>
          <w:u w:val="single"/>
        </w:rPr>
        <w:tab/>
      </w:r>
      <w:r>
        <w:rPr>
          <w:u w:val="single"/>
        </w:rPr>
        <w:tab/>
      </w:r>
      <w:r>
        <w:rPr>
          <w:u w:val="single"/>
        </w:rPr>
        <w:tab/>
      </w:r>
      <w:r>
        <w:rPr>
          <w:u w:val="single"/>
        </w:rPr>
        <w:tab/>
      </w:r>
      <w:r>
        <w:rPr>
          <w:u w:val="single"/>
        </w:rPr>
        <w:tab/>
      </w:r>
    </w:p>
    <w:p w14:paraId="3A05B572" w14:textId="77777777" w:rsidR="00DC2964" w:rsidRDefault="00DC2964">
      <w:pPr>
        <w:pStyle w:val="BodyText"/>
      </w:pPr>
      <w:r>
        <w:t xml:space="preserve">Date: </w:t>
      </w:r>
      <w:r>
        <w:rPr>
          <w:u w:val="single"/>
        </w:rPr>
        <w:t xml:space="preserve"> </w:t>
      </w:r>
      <w:r>
        <w:rPr>
          <w:u w:val="single"/>
        </w:rPr>
        <w:tab/>
      </w:r>
      <w:r>
        <w:rPr>
          <w:u w:val="single"/>
        </w:rPr>
        <w:tab/>
      </w:r>
      <w:r>
        <w:rPr>
          <w:u w:val="single"/>
        </w:rPr>
        <w:tab/>
      </w:r>
      <w:r>
        <w:rPr>
          <w:u w:val="single"/>
        </w:rPr>
        <w:tab/>
      </w:r>
      <w:r>
        <w:rPr>
          <w:u w:val="single"/>
        </w:rPr>
        <w:tab/>
      </w:r>
      <w:r>
        <w:rPr>
          <w:u w:val="single"/>
        </w:rPr>
        <w:tab/>
      </w:r>
    </w:p>
    <w:p w14:paraId="080E9D3A" w14:textId="77777777" w:rsidR="00DC2964" w:rsidRDefault="00892B25">
      <w:pPr>
        <w:pStyle w:val="BodyText"/>
        <w:rPr>
          <w:caps/>
        </w:rPr>
      </w:pPr>
      <w:r>
        <w:rPr>
          <w:caps/>
        </w:rPr>
        <w:lastRenderedPageBreak/>
        <w:t>FOR THE INVESTORS</w:t>
      </w:r>
      <w:r w:rsidR="00DC2964">
        <w:rPr>
          <w:caps/>
        </w:rPr>
        <w:t xml:space="preserve">: </w:t>
      </w:r>
    </w:p>
    <w:p w14:paraId="33B26023" w14:textId="77777777" w:rsidR="00DC2964" w:rsidRDefault="00DC2964">
      <w:pPr>
        <w:pStyle w:val="BodyText"/>
        <w:rPr>
          <w:caps/>
        </w:rPr>
      </w:pPr>
    </w:p>
    <w:p w14:paraId="5D1EDCAE" w14:textId="77777777" w:rsidR="00DC2964" w:rsidRDefault="00DC2964">
      <w:pPr>
        <w:pStyle w:val="BodyText"/>
        <w:rPr>
          <w:caps/>
          <w:u w:val="single"/>
        </w:rPr>
      </w:pPr>
      <w:r>
        <w:rPr>
          <w:caps/>
          <w:u w:val="single"/>
        </w:rPr>
        <w:tab/>
      </w:r>
      <w:r>
        <w:rPr>
          <w:caps/>
          <w:u w:val="single"/>
        </w:rPr>
        <w:tab/>
      </w:r>
      <w:r>
        <w:rPr>
          <w:caps/>
          <w:u w:val="single"/>
        </w:rPr>
        <w:tab/>
      </w:r>
      <w:r>
        <w:rPr>
          <w:caps/>
          <w:u w:val="single"/>
        </w:rPr>
        <w:tab/>
      </w:r>
      <w:r>
        <w:rPr>
          <w:caps/>
          <w:u w:val="single"/>
        </w:rPr>
        <w:tab/>
      </w:r>
      <w:r>
        <w:rPr>
          <w:caps/>
          <w:u w:val="single"/>
        </w:rPr>
        <w:tab/>
      </w:r>
    </w:p>
    <w:p w14:paraId="0404E15F" w14:textId="77777777" w:rsidR="00DC2964" w:rsidRDefault="00DC2964">
      <w:pPr>
        <w:pStyle w:val="BodyText"/>
      </w:pPr>
      <w:r>
        <w:t xml:space="preserve">Name:  </w:t>
      </w:r>
      <w:r>
        <w:rPr>
          <w:u w:val="single"/>
        </w:rPr>
        <w:tab/>
      </w:r>
      <w:r>
        <w:rPr>
          <w:u w:val="single"/>
        </w:rPr>
        <w:tab/>
      </w:r>
      <w:r>
        <w:rPr>
          <w:u w:val="single"/>
        </w:rPr>
        <w:tab/>
      </w:r>
      <w:r>
        <w:rPr>
          <w:u w:val="single"/>
        </w:rPr>
        <w:tab/>
      </w:r>
      <w:r>
        <w:rPr>
          <w:u w:val="single"/>
        </w:rPr>
        <w:tab/>
      </w:r>
    </w:p>
    <w:p w14:paraId="4A46AB0A" w14:textId="77777777" w:rsidR="00DC2964" w:rsidRDefault="00DC2964">
      <w:pPr>
        <w:pStyle w:val="BodyText"/>
      </w:pPr>
      <w:r>
        <w:t xml:space="preserve">Title:  </w:t>
      </w:r>
      <w:r>
        <w:rPr>
          <w:u w:val="single"/>
        </w:rPr>
        <w:tab/>
      </w:r>
      <w:r>
        <w:rPr>
          <w:u w:val="single"/>
        </w:rPr>
        <w:tab/>
      </w:r>
      <w:r>
        <w:rPr>
          <w:u w:val="single"/>
        </w:rPr>
        <w:tab/>
      </w:r>
      <w:r>
        <w:rPr>
          <w:u w:val="single"/>
        </w:rPr>
        <w:tab/>
      </w:r>
      <w:r>
        <w:rPr>
          <w:u w:val="single"/>
        </w:rPr>
        <w:tab/>
      </w:r>
      <w:r>
        <w:rPr>
          <w:u w:val="single"/>
        </w:rPr>
        <w:tab/>
      </w:r>
    </w:p>
    <w:p w14:paraId="141C7AF3" w14:textId="77777777" w:rsidR="00DC2964" w:rsidRDefault="00DC2964">
      <w:pPr>
        <w:pStyle w:val="BodyText"/>
        <w:sectPr w:rsidR="00DC2964">
          <w:type w:val="continuous"/>
          <w:pgSz w:w="12240" w:h="15840" w:code="1"/>
          <w:pgMar w:top="1440" w:right="1440" w:bottom="720" w:left="1440" w:header="720" w:footer="432" w:gutter="0"/>
          <w:cols w:num="2" w:space="720"/>
          <w:titlePg/>
        </w:sectPr>
      </w:pPr>
      <w:r>
        <w:t xml:space="preserve">Date: </w:t>
      </w:r>
      <w:r>
        <w:rPr>
          <w:u w:val="single"/>
        </w:rPr>
        <w:t xml:space="preserve"> </w:t>
      </w:r>
      <w:r>
        <w:rPr>
          <w:u w:val="single"/>
        </w:rPr>
        <w:tab/>
      </w:r>
      <w:r>
        <w:rPr>
          <w:u w:val="single"/>
        </w:rPr>
        <w:tab/>
      </w:r>
      <w:r>
        <w:rPr>
          <w:u w:val="single"/>
        </w:rPr>
        <w:tab/>
      </w:r>
      <w:r>
        <w:rPr>
          <w:u w:val="single"/>
        </w:rPr>
        <w:tab/>
      </w:r>
      <w:r>
        <w:rPr>
          <w:u w:val="single"/>
        </w:rPr>
        <w:tab/>
      </w:r>
      <w:r>
        <w:rPr>
          <w:u w:val="single"/>
        </w:rPr>
        <w:tab/>
      </w:r>
    </w:p>
    <w:p w14:paraId="23A5675D" w14:textId="77777777" w:rsidR="00DC2964" w:rsidRDefault="00DC2964"/>
    <w:sectPr w:rsidR="00DC2964" w:rsidSect="009A4899">
      <w:type w:val="continuous"/>
      <w:pgSz w:w="12240" w:h="15840" w:code="1"/>
      <w:pgMar w:top="1440" w:right="1440" w:bottom="720" w:left="1440" w:header="720" w:footer="432"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6E13C" w14:textId="77777777" w:rsidR="00D6276E" w:rsidRDefault="00D6276E">
      <w:r>
        <w:separator/>
      </w:r>
    </w:p>
  </w:endnote>
  <w:endnote w:type="continuationSeparator" w:id="0">
    <w:p w14:paraId="34E9A9BE" w14:textId="77777777" w:rsidR="00D6276E" w:rsidRDefault="00D6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2E00A" w14:textId="77777777" w:rsidR="00D6276E" w:rsidRDefault="00D6276E">
    <w:pPr>
      <w:pStyle w:val="Footer"/>
      <w:spacing w:line="200" w:lineRule="exact"/>
      <w:jc w:val="right"/>
    </w:pPr>
  </w:p>
  <w:p w14:paraId="7819A637" w14:textId="77777777" w:rsidR="00D6276E" w:rsidRDefault="00D6276E">
    <w:pPr>
      <w:pStyle w:val="Footer"/>
      <w:spacing w:line="200" w:lineRule="exact"/>
    </w:pPr>
    <w:fldSimple w:instr=" DOCPROPERTY &quot;SWDocID&quot;  \* MERGEFORMAT ">
      <w:r w:rsidRPr="006F0833">
        <w:rPr>
          <w:sz w:val="18"/>
        </w:rPr>
        <w:t>9375570v.2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B1F46" w14:textId="77777777" w:rsidR="00D6276E" w:rsidRDefault="00D6276E">
      <w:r>
        <w:separator/>
      </w:r>
    </w:p>
  </w:footnote>
  <w:footnote w:type="continuationSeparator" w:id="0">
    <w:p w14:paraId="7E671BA8" w14:textId="77777777" w:rsidR="00D6276E" w:rsidRDefault="00D627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5CEBE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lowerLetter"/>
      <w:pStyle w:val="Heading1"/>
      <w:lvlText w:val="(%1)"/>
      <w:legacy w:legacy="1" w:legacySpace="0" w:legacyIndent="720"/>
      <w:lvlJc w:val="left"/>
      <w:pPr>
        <w:ind w:left="720" w:hanging="720"/>
      </w:pPr>
    </w:lvl>
    <w:lvl w:ilvl="1">
      <w:start w:val="1"/>
      <w:numFmt w:val="upperLetter"/>
      <w:pStyle w:val="Heading2"/>
      <w:lvlText w:val="%2."/>
      <w:legacy w:legacy="1" w:legacySpace="0" w:legacyIndent="720"/>
      <w:lvlJc w:val="left"/>
      <w:pPr>
        <w:ind w:left="0" w:hanging="720"/>
      </w:pPr>
    </w:lvl>
    <w:lvl w:ilvl="2">
      <w:start w:val="1"/>
      <w:numFmt w:val="decimal"/>
      <w:pStyle w:val="Heading3"/>
      <w:lvlText w:val="%3."/>
      <w:legacy w:legacy="1" w:legacySpace="0" w:legacyIndent="720"/>
      <w:lvlJc w:val="left"/>
      <w:pPr>
        <w:ind w:left="0" w:hanging="720"/>
      </w:pPr>
    </w:lvl>
    <w:lvl w:ilvl="3">
      <w:start w:val="1"/>
      <w:numFmt w:val="lowerLetter"/>
      <w:pStyle w:val="Heading4"/>
      <w:lvlText w:val="%4)"/>
      <w:legacy w:legacy="1" w:legacySpace="0" w:legacyIndent="720"/>
      <w:lvlJc w:val="left"/>
      <w:pPr>
        <w:ind w:left="0" w:hanging="720"/>
      </w:pPr>
    </w:lvl>
    <w:lvl w:ilvl="4">
      <w:start w:val="1"/>
      <w:numFmt w:val="decimal"/>
      <w:pStyle w:val="Heading5"/>
      <w:lvlText w:val="(%5)"/>
      <w:legacy w:legacy="1" w:legacySpace="0" w:legacyIndent="720"/>
      <w:lvlJc w:val="left"/>
      <w:pPr>
        <w:ind w:left="0" w:hanging="720"/>
      </w:pPr>
    </w:lvl>
    <w:lvl w:ilvl="5">
      <w:start w:val="1"/>
      <w:numFmt w:val="lowerLetter"/>
      <w:pStyle w:val="Heading6"/>
      <w:lvlText w:val="(%6)"/>
      <w:legacy w:legacy="1" w:legacySpace="0" w:legacyIndent="720"/>
      <w:lvlJc w:val="left"/>
      <w:pPr>
        <w:ind w:left="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2">
    <w:nsid w:val="1B9149FA"/>
    <w:multiLevelType w:val="multilevel"/>
    <w:tmpl w:val="8B6C45A0"/>
    <w:name w:val="zzmpLegal2Inde||Legal2 (Indent)|2|3|1|1|0|13||1|0|5||1|0|4||1|0|5||1|0|4||1|0|4||1|0|4||1|0|4||1|0|4||"/>
    <w:lvl w:ilvl="0">
      <w:start w:val="1"/>
      <w:numFmt w:val="decimal"/>
      <w:lvlRestart w:val="0"/>
      <w:pStyle w:val="Legal2IndeL1"/>
      <w:lvlText w:val="%1."/>
      <w:lvlJc w:val="left"/>
      <w:pPr>
        <w:tabs>
          <w:tab w:val="num" w:pos="1440"/>
        </w:tabs>
        <w:ind w:left="0" w:firstLine="720"/>
      </w:pPr>
      <w:rPr>
        <w:rFonts w:ascii="Times New Roman" w:hAnsi="Times New Roman"/>
        <w:b/>
        <w:i w:val="0"/>
        <w:caps/>
        <w:smallCaps w:val="0"/>
        <w:color w:val="auto"/>
        <w:sz w:val="24"/>
        <w:u w:val="none"/>
      </w:rPr>
    </w:lvl>
    <w:lvl w:ilvl="1">
      <w:start w:val="1"/>
      <w:numFmt w:val="decimal"/>
      <w:pStyle w:val="Legal2IndeL2"/>
      <w:lvlText w:val="%1.%2"/>
      <w:lvlJc w:val="left"/>
      <w:pPr>
        <w:tabs>
          <w:tab w:val="num" w:pos="2160"/>
        </w:tabs>
        <w:ind w:left="0" w:firstLine="1440"/>
      </w:pPr>
      <w:rPr>
        <w:rFonts w:ascii="Times New Roman" w:hAnsi="Times New Roman"/>
        <w:b/>
        <w:i w:val="0"/>
        <w:caps w:val="0"/>
        <w:color w:val="auto"/>
        <w:sz w:val="24"/>
        <w:u w:val="none"/>
      </w:rPr>
    </w:lvl>
    <w:lvl w:ilvl="2">
      <w:start w:val="1"/>
      <w:numFmt w:val="lowerLetter"/>
      <w:pStyle w:val="Legal2IndeL3"/>
      <w:lvlText w:val="(%3)"/>
      <w:lvlJc w:val="left"/>
      <w:pPr>
        <w:tabs>
          <w:tab w:val="num" w:pos="2880"/>
        </w:tabs>
        <w:ind w:left="0" w:firstLine="2160"/>
      </w:pPr>
      <w:rPr>
        <w:rFonts w:ascii="Times New Roman" w:hAnsi="Times New Roman"/>
        <w:b w:val="0"/>
        <w:i w:val="0"/>
        <w:caps w:val="0"/>
        <w:color w:val="auto"/>
        <w:sz w:val="24"/>
        <w:u w:val="none"/>
      </w:rPr>
    </w:lvl>
    <w:lvl w:ilvl="3">
      <w:start w:val="1"/>
      <w:numFmt w:val="decimal"/>
      <w:pStyle w:val="Legal2IndeL4"/>
      <w:lvlText w:val="(%4)"/>
      <w:lvlJc w:val="left"/>
      <w:pPr>
        <w:tabs>
          <w:tab w:val="num" w:pos="3600"/>
        </w:tabs>
        <w:ind w:left="0" w:firstLine="2880"/>
      </w:pPr>
      <w:rPr>
        <w:rFonts w:ascii="Times New Roman" w:hAnsi="Times New Roman"/>
        <w:b w:val="0"/>
        <w:i w:val="0"/>
        <w:caps w:val="0"/>
        <w:color w:val="auto"/>
        <w:sz w:val="24"/>
        <w:u w:val="none"/>
      </w:rPr>
    </w:lvl>
    <w:lvl w:ilvl="4">
      <w:start w:val="1"/>
      <w:numFmt w:val="decimal"/>
      <w:pStyle w:val="Legal2IndeL5"/>
      <w:lvlText w:val="(%5)"/>
      <w:lvlJc w:val="left"/>
      <w:pPr>
        <w:tabs>
          <w:tab w:val="num" w:pos="4320"/>
        </w:tabs>
        <w:ind w:left="0" w:firstLine="3600"/>
      </w:pPr>
      <w:rPr>
        <w:rFonts w:ascii="Times New Roman" w:hAnsi="Times New Roman"/>
        <w:b/>
        <w:i w:val="0"/>
        <w:caps w:val="0"/>
        <w:color w:val="auto"/>
        <w:sz w:val="24"/>
        <w:u w:val="none"/>
      </w:rPr>
    </w:lvl>
    <w:lvl w:ilvl="5">
      <w:start w:val="1"/>
      <w:numFmt w:val="lowerLetter"/>
      <w:pStyle w:val="Legal2IndeL6"/>
      <w:lvlText w:val="%6."/>
      <w:lvlJc w:val="left"/>
      <w:pPr>
        <w:tabs>
          <w:tab w:val="num" w:pos="5040"/>
        </w:tabs>
        <w:ind w:left="0" w:firstLine="4320"/>
      </w:pPr>
      <w:rPr>
        <w:rFonts w:ascii="Times New Roman" w:hAnsi="Times New Roman"/>
        <w:b/>
        <w:i w:val="0"/>
        <w:caps w:val="0"/>
        <w:color w:val="auto"/>
        <w:sz w:val="24"/>
        <w:u w:val="none"/>
      </w:rPr>
    </w:lvl>
    <w:lvl w:ilvl="6">
      <w:start w:val="1"/>
      <w:numFmt w:val="lowerRoman"/>
      <w:pStyle w:val="Legal2IndeL7"/>
      <w:lvlText w:val="%7."/>
      <w:lvlJc w:val="left"/>
      <w:pPr>
        <w:tabs>
          <w:tab w:val="num" w:pos="5760"/>
        </w:tabs>
        <w:ind w:left="0" w:firstLine="5040"/>
      </w:pPr>
      <w:rPr>
        <w:rFonts w:ascii="Times New Roman" w:hAnsi="Times New Roman"/>
        <w:b/>
        <w:i w:val="0"/>
        <w:caps w:val="0"/>
        <w:color w:val="auto"/>
        <w:sz w:val="24"/>
        <w:u w:val="none"/>
      </w:rPr>
    </w:lvl>
    <w:lvl w:ilvl="7">
      <w:start w:val="1"/>
      <w:numFmt w:val="lowerLetter"/>
      <w:pStyle w:val="Legal2IndeL8"/>
      <w:lvlText w:val="%8)"/>
      <w:lvlJc w:val="left"/>
      <w:pPr>
        <w:tabs>
          <w:tab w:val="num" w:pos="6480"/>
        </w:tabs>
        <w:ind w:left="0" w:firstLine="5760"/>
      </w:pPr>
      <w:rPr>
        <w:rFonts w:ascii="Times New Roman" w:hAnsi="Times New Roman"/>
        <w:b/>
        <w:i w:val="0"/>
        <w:caps w:val="0"/>
        <w:color w:val="auto"/>
        <w:sz w:val="24"/>
        <w:u w:val="none"/>
      </w:rPr>
    </w:lvl>
    <w:lvl w:ilvl="8">
      <w:start w:val="1"/>
      <w:numFmt w:val="lowerRoman"/>
      <w:pStyle w:val="Legal2IndeL9"/>
      <w:lvlText w:val="%9)"/>
      <w:lvlJc w:val="left"/>
      <w:pPr>
        <w:tabs>
          <w:tab w:val="num" w:pos="7200"/>
        </w:tabs>
        <w:ind w:left="0" w:firstLine="6480"/>
      </w:pPr>
      <w:rPr>
        <w:rFonts w:ascii="Times New Roman" w:hAnsi="Times New Roman"/>
        <w:b/>
        <w:i w:val="0"/>
        <w:caps w:val="0"/>
        <w:color w:val="auto"/>
        <w:sz w:val="24"/>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Date" w:val="0"/>
    <w:docVar w:name="85TrailerDateField" w:val="0"/>
    <w:docVar w:name="85TrailerDraft" w:val="0"/>
    <w:docVar w:name="85TrailerTime" w:val="0"/>
    <w:docVar w:name="MPDocID" w:val="C:\Documents and Settings\mkaiser\My Documents\Series Seed Term Sheet.DOC"/>
    <w:docVar w:name="NewDocStampType" w:val="7"/>
    <w:docVar w:name="SWDocIDLayout" w:val="57"/>
    <w:docVar w:name="SWDocIDLocation" w:val="1"/>
    <w:docVar w:name="SWInitialSave" w:val="-1"/>
    <w:docVar w:name="zzmp10NoTrailerPromptID" w:val="2279400.1"/>
  </w:docVars>
  <w:rsids>
    <w:rsidRoot w:val="00DC2964"/>
    <w:rsid w:val="001477AD"/>
    <w:rsid w:val="00271D02"/>
    <w:rsid w:val="00395FB1"/>
    <w:rsid w:val="003C17A8"/>
    <w:rsid w:val="003E4DD6"/>
    <w:rsid w:val="00407181"/>
    <w:rsid w:val="004A5535"/>
    <w:rsid w:val="004C47FA"/>
    <w:rsid w:val="00521CE6"/>
    <w:rsid w:val="00601E2A"/>
    <w:rsid w:val="006F0833"/>
    <w:rsid w:val="00705104"/>
    <w:rsid w:val="00892B25"/>
    <w:rsid w:val="009A4899"/>
    <w:rsid w:val="00A5283D"/>
    <w:rsid w:val="00BF0333"/>
    <w:rsid w:val="00D6276E"/>
    <w:rsid w:val="00DC2964"/>
    <w:rsid w:val="00E408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A0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rPr>
  </w:style>
  <w:style w:type="paragraph" w:styleId="Heading1">
    <w:name w:val="heading 1"/>
    <w:basedOn w:val="Normal"/>
    <w:qFormat/>
    <w:pPr>
      <w:numPr>
        <w:numId w:val="1"/>
      </w:numPr>
      <w:spacing w:after="240"/>
      <w:outlineLvl w:val="0"/>
    </w:pPr>
  </w:style>
  <w:style w:type="paragraph" w:styleId="Heading2">
    <w:name w:val="heading 2"/>
    <w:basedOn w:val="Normal"/>
    <w:qFormat/>
    <w:pPr>
      <w:numPr>
        <w:ilvl w:val="1"/>
        <w:numId w:val="1"/>
      </w:numPr>
      <w:spacing w:after="240"/>
      <w:ind w:firstLine="1440"/>
      <w:jc w:val="both"/>
      <w:outlineLvl w:val="1"/>
    </w:pPr>
  </w:style>
  <w:style w:type="paragraph" w:styleId="Heading3">
    <w:name w:val="heading 3"/>
    <w:basedOn w:val="Normal"/>
    <w:qFormat/>
    <w:pPr>
      <w:numPr>
        <w:ilvl w:val="2"/>
        <w:numId w:val="1"/>
      </w:numPr>
      <w:spacing w:after="240"/>
      <w:ind w:firstLine="2160"/>
      <w:jc w:val="both"/>
      <w:outlineLvl w:val="2"/>
    </w:pPr>
  </w:style>
  <w:style w:type="paragraph" w:styleId="Heading4">
    <w:name w:val="heading 4"/>
    <w:basedOn w:val="Normal"/>
    <w:qFormat/>
    <w:pPr>
      <w:numPr>
        <w:ilvl w:val="3"/>
        <w:numId w:val="1"/>
      </w:numPr>
      <w:spacing w:after="240"/>
      <w:ind w:firstLine="2880"/>
      <w:jc w:val="both"/>
      <w:outlineLvl w:val="3"/>
    </w:pPr>
  </w:style>
  <w:style w:type="paragraph" w:styleId="Heading5">
    <w:name w:val="heading 5"/>
    <w:basedOn w:val="Normal"/>
    <w:qFormat/>
    <w:pPr>
      <w:numPr>
        <w:ilvl w:val="4"/>
        <w:numId w:val="1"/>
      </w:numPr>
      <w:spacing w:after="240"/>
      <w:ind w:firstLine="3600"/>
      <w:jc w:val="both"/>
      <w:outlineLvl w:val="4"/>
    </w:pPr>
  </w:style>
  <w:style w:type="paragraph" w:styleId="Heading6">
    <w:name w:val="heading 6"/>
    <w:basedOn w:val="Normal"/>
    <w:next w:val="Normal"/>
    <w:qFormat/>
    <w:pPr>
      <w:numPr>
        <w:ilvl w:val="5"/>
        <w:numId w:val="1"/>
      </w:numPr>
      <w:spacing w:after="240"/>
      <w:ind w:firstLine="432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680"/>
      </w:tabs>
    </w:pPr>
    <w:rPr>
      <w:sz w:val="16"/>
    </w:rPr>
  </w:style>
  <w:style w:type="paragraph" w:customStyle="1" w:styleId="COMMENT">
    <w:name w:val="COMMENT"/>
    <w:basedOn w:val="Bod"/>
    <w:pPr>
      <w:ind w:left="720" w:right="720" w:firstLine="0"/>
    </w:pPr>
    <w:rPr>
      <w:i/>
    </w:rPr>
  </w:style>
  <w:style w:type="character" w:styleId="PageNumber">
    <w:name w:val="page number"/>
    <w:rPr>
      <w:rFonts w:ascii="Times New Roman" w:hAnsi="Times New Roman"/>
      <w:spacing w:val="0"/>
      <w:kern w:val="0"/>
      <w:position w:val="0"/>
      <w:sz w:val="24"/>
      <w:vertAlign w:val="baseline"/>
    </w:rPr>
  </w:style>
  <w:style w:type="paragraph" w:customStyle="1" w:styleId="Head">
    <w:name w:val="Head"/>
    <w:basedOn w:val="Normal"/>
    <w:next w:val="Normal"/>
    <w:pPr>
      <w:keepNext/>
      <w:spacing w:after="240"/>
    </w:pPr>
    <w:rPr>
      <w:b/>
    </w:rPr>
  </w:style>
  <w:style w:type="paragraph" w:customStyle="1" w:styleId="Bod">
    <w:name w:val="Bod"/>
    <w:basedOn w:val="Normal"/>
    <w:pPr>
      <w:spacing w:after="240"/>
      <w:ind w:firstLine="1440"/>
      <w:jc w:val="both"/>
    </w:pPr>
  </w:style>
  <w:style w:type="paragraph" w:styleId="Title">
    <w:name w:val="Title"/>
    <w:basedOn w:val="Normal"/>
    <w:qFormat/>
    <w:pPr>
      <w:spacing w:after="600"/>
      <w:jc w:val="center"/>
    </w:pPr>
    <w:rPr>
      <w:b/>
    </w:rPr>
  </w:style>
  <w:style w:type="paragraph" w:styleId="FootnoteText">
    <w:name w:val="footnote text"/>
    <w:aliases w:val="fn,Footnote Text Char"/>
    <w:basedOn w:val="Normal"/>
    <w:semiHidden/>
    <w:rPr>
      <w:sz w:val="20"/>
    </w:rPr>
  </w:style>
  <w:style w:type="character" w:styleId="FootnoteReference">
    <w:name w:val="footnote reference"/>
    <w:semiHidden/>
    <w:rPr>
      <w:vertAlign w:val="superscript"/>
    </w:rPr>
  </w:style>
  <w:style w:type="paragraph" w:customStyle="1" w:styleId="DeltaViewTableHeading">
    <w:name w:val="DeltaView Table Heading"/>
    <w:basedOn w:val="Normal"/>
    <w:pPr>
      <w:suppressAutoHyphens w:val="0"/>
      <w:autoSpaceDE w:val="0"/>
      <w:autoSpaceDN w:val="0"/>
      <w:adjustRightInd w:val="0"/>
      <w:spacing w:after="120"/>
    </w:pPr>
    <w:rPr>
      <w:rFonts w:ascii="Arial" w:hAnsi="Arial" w:cs="Arial"/>
      <w:b/>
      <w:bCs/>
      <w:szCs w:val="24"/>
    </w:rPr>
  </w:style>
  <w:style w:type="paragraph" w:customStyle="1" w:styleId="DeltaViewTableBody">
    <w:name w:val="DeltaView Table Body"/>
    <w:basedOn w:val="Normal"/>
    <w:pPr>
      <w:suppressAutoHyphens w:val="0"/>
      <w:autoSpaceDE w:val="0"/>
      <w:autoSpaceDN w:val="0"/>
      <w:adjustRightInd w:val="0"/>
    </w:pPr>
    <w:rPr>
      <w:rFonts w:ascii="Arial" w:hAnsi="Arial" w:cs="Arial"/>
      <w:szCs w:val="24"/>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StyleChangeLabel">
    <w:name w:val="DeltaView Style Change Label"/>
    <w:rPr>
      <w:color w:val="000000"/>
      <w:spacing w:val="0"/>
    </w:rPr>
  </w:style>
  <w:style w:type="paragraph" w:customStyle="1" w:styleId="TableText">
    <w:name w:val="Table Text"/>
    <w:basedOn w:val="Normal"/>
    <w:pPr>
      <w:tabs>
        <w:tab w:val="left" w:pos="432"/>
      </w:tabs>
      <w:autoSpaceDE w:val="0"/>
      <w:autoSpaceDN w:val="0"/>
      <w:adjustRightInd w:val="0"/>
      <w:spacing w:after="240"/>
    </w:pPr>
    <w:rPr>
      <w:szCs w:val="24"/>
    </w:rPr>
  </w:style>
  <w:style w:type="paragraph" w:customStyle="1" w:styleId="TableItalics">
    <w:name w:val="Table Italics"/>
    <w:basedOn w:val="TableText"/>
    <w:rPr>
      <w:i/>
      <w:iCs/>
    </w:rPr>
  </w:style>
  <w:style w:type="character" w:styleId="CommentReference">
    <w:name w:val="annotation reference"/>
    <w:rPr>
      <w:sz w:val="16"/>
      <w:szCs w:val="16"/>
    </w:rPr>
  </w:style>
  <w:style w:type="paragraph" w:customStyle="1" w:styleId="Legal2IndeL1">
    <w:name w:val="Legal2Inde_L1"/>
    <w:basedOn w:val="Normal"/>
    <w:next w:val="BodyText"/>
    <w:pPr>
      <w:numPr>
        <w:numId w:val="2"/>
      </w:numPr>
      <w:suppressAutoHyphens w:val="0"/>
      <w:spacing w:after="240"/>
      <w:jc w:val="both"/>
      <w:outlineLvl w:val="0"/>
    </w:pPr>
  </w:style>
  <w:style w:type="paragraph" w:customStyle="1" w:styleId="Legal2IndeL2">
    <w:name w:val="Legal2Inde_L2"/>
    <w:basedOn w:val="Legal2IndeL1"/>
    <w:next w:val="BodyText"/>
    <w:pPr>
      <w:numPr>
        <w:ilvl w:val="1"/>
      </w:numPr>
      <w:outlineLvl w:val="1"/>
    </w:pPr>
  </w:style>
  <w:style w:type="paragraph" w:customStyle="1" w:styleId="Legal2IndeL3">
    <w:name w:val="Legal2Inde_L3"/>
    <w:basedOn w:val="Legal2IndeL2"/>
    <w:next w:val="BodyText"/>
    <w:link w:val="Legal2IndeL3Char"/>
    <w:pPr>
      <w:numPr>
        <w:ilvl w:val="2"/>
      </w:numPr>
      <w:outlineLvl w:val="2"/>
    </w:pPr>
  </w:style>
  <w:style w:type="paragraph" w:customStyle="1" w:styleId="Legal2IndeL4">
    <w:name w:val="Legal2Inde_L4"/>
    <w:basedOn w:val="Legal2IndeL3"/>
    <w:next w:val="BodyText"/>
    <w:pPr>
      <w:numPr>
        <w:ilvl w:val="3"/>
      </w:numPr>
      <w:tabs>
        <w:tab w:val="clear" w:pos="3600"/>
        <w:tab w:val="num" w:pos="360"/>
      </w:tabs>
      <w:outlineLvl w:val="3"/>
    </w:pPr>
  </w:style>
  <w:style w:type="paragraph" w:customStyle="1" w:styleId="Legal2IndeL5">
    <w:name w:val="Legal2Inde_L5"/>
    <w:basedOn w:val="Legal2IndeL4"/>
    <w:next w:val="BodyText"/>
    <w:pPr>
      <w:numPr>
        <w:ilvl w:val="4"/>
      </w:numPr>
      <w:tabs>
        <w:tab w:val="clear" w:pos="4320"/>
        <w:tab w:val="num" w:pos="360"/>
      </w:tabs>
      <w:jc w:val="left"/>
      <w:outlineLvl w:val="4"/>
    </w:pPr>
  </w:style>
  <w:style w:type="paragraph" w:customStyle="1" w:styleId="Legal2IndeL6">
    <w:name w:val="Legal2Inde_L6"/>
    <w:basedOn w:val="Legal2IndeL5"/>
    <w:next w:val="BodyText"/>
    <w:pPr>
      <w:numPr>
        <w:ilvl w:val="5"/>
      </w:numPr>
      <w:tabs>
        <w:tab w:val="clear" w:pos="5040"/>
        <w:tab w:val="num" w:pos="360"/>
      </w:tabs>
      <w:outlineLvl w:val="5"/>
    </w:pPr>
  </w:style>
  <w:style w:type="paragraph" w:customStyle="1" w:styleId="Legal2IndeL7">
    <w:name w:val="Legal2Inde_L7"/>
    <w:basedOn w:val="Legal2IndeL6"/>
    <w:next w:val="BodyText"/>
    <w:pPr>
      <w:numPr>
        <w:ilvl w:val="6"/>
      </w:numPr>
      <w:tabs>
        <w:tab w:val="clear" w:pos="5760"/>
        <w:tab w:val="num" w:pos="360"/>
      </w:tabs>
      <w:outlineLvl w:val="6"/>
    </w:pPr>
  </w:style>
  <w:style w:type="paragraph" w:customStyle="1" w:styleId="Legal2IndeL8">
    <w:name w:val="Legal2Inde_L8"/>
    <w:basedOn w:val="Legal2IndeL7"/>
    <w:next w:val="BodyText"/>
    <w:pPr>
      <w:numPr>
        <w:ilvl w:val="7"/>
      </w:numPr>
      <w:tabs>
        <w:tab w:val="clear" w:pos="6480"/>
        <w:tab w:val="num" w:pos="360"/>
      </w:tabs>
      <w:outlineLvl w:val="7"/>
    </w:pPr>
  </w:style>
  <w:style w:type="paragraph" w:customStyle="1" w:styleId="Legal2IndeL9">
    <w:name w:val="Legal2Inde_L9"/>
    <w:basedOn w:val="Legal2IndeL8"/>
    <w:next w:val="BodyText"/>
    <w:pPr>
      <w:numPr>
        <w:ilvl w:val="8"/>
      </w:numPr>
      <w:tabs>
        <w:tab w:val="clear" w:pos="7200"/>
        <w:tab w:val="num" w:pos="360"/>
      </w:tabs>
      <w:outlineLvl w:val="8"/>
    </w:pPr>
  </w:style>
  <w:style w:type="character" w:customStyle="1" w:styleId="Legal2IndeL3Char">
    <w:name w:val="Legal2Inde_L3 Char"/>
    <w:link w:val="Legal2IndeL3"/>
    <w:rPr>
      <w:sz w:val="24"/>
      <w:lang w:val="en-US" w:eastAsia="en-US" w:bidi="ar-SA"/>
    </w:rPr>
  </w:style>
  <w:style w:type="paragraph" w:styleId="BodyText">
    <w:name w:val="Body Text"/>
    <w:basedOn w:val="Normal"/>
    <w:pPr>
      <w:spacing w:after="120"/>
    </w:pPr>
  </w:style>
  <w:style w:type="character" w:styleId="Hyperlink">
    <w:name w:val="Hyperlink"/>
    <w:rPr>
      <w:color w:val="0000FF"/>
      <w:u w:val="single"/>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lang w:val="x-none" w:eastAsia="x-none"/>
    </w:rPr>
  </w:style>
  <w:style w:type="character" w:customStyle="1" w:styleId="CommentSubjectChar">
    <w:name w:val="Comment Subject Char"/>
    <w:link w:val="CommentSubject"/>
    <w:rPr>
      <w:b/>
      <w:bCs/>
    </w:rPr>
  </w:style>
  <w:style w:type="paragraph" w:styleId="BalloonText">
    <w:name w:val="Balloon Text"/>
    <w:basedOn w:val="Normal"/>
    <w:link w:val="BalloonTextChar"/>
    <w:rPr>
      <w:rFonts w:ascii="Tahoma" w:hAnsi="Tahoma"/>
      <w:sz w:val="16"/>
      <w:szCs w:val="16"/>
      <w:lang w:val="x-none" w:eastAsia="x-none"/>
    </w:rPr>
  </w:style>
  <w:style w:type="character" w:customStyle="1" w:styleId="BalloonTextChar">
    <w:name w:val="Balloon Text Char"/>
    <w:link w:val="BalloonText"/>
    <w:rPr>
      <w:rFonts w:ascii="Tahoma" w:hAnsi="Tahoma" w:cs="Tahoma"/>
      <w:sz w:val="16"/>
      <w:szCs w:val="16"/>
    </w:rPr>
  </w:style>
  <w:style w:type="paragraph" w:customStyle="1" w:styleId="TableTextBU">
    <w:name w:val="Table Text BU"/>
    <w:basedOn w:val="TableText"/>
    <w:pPr>
      <w:keepNext/>
      <w:autoSpaceDE/>
      <w:autoSpaceDN/>
      <w:adjustRightInd/>
    </w:pPr>
    <w:rPr>
      <w:b/>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rPr>
  </w:style>
  <w:style w:type="paragraph" w:styleId="Heading1">
    <w:name w:val="heading 1"/>
    <w:basedOn w:val="Normal"/>
    <w:qFormat/>
    <w:pPr>
      <w:numPr>
        <w:numId w:val="1"/>
      </w:numPr>
      <w:spacing w:after="240"/>
      <w:outlineLvl w:val="0"/>
    </w:pPr>
  </w:style>
  <w:style w:type="paragraph" w:styleId="Heading2">
    <w:name w:val="heading 2"/>
    <w:basedOn w:val="Normal"/>
    <w:qFormat/>
    <w:pPr>
      <w:numPr>
        <w:ilvl w:val="1"/>
        <w:numId w:val="1"/>
      </w:numPr>
      <w:spacing w:after="240"/>
      <w:ind w:firstLine="1440"/>
      <w:jc w:val="both"/>
      <w:outlineLvl w:val="1"/>
    </w:pPr>
  </w:style>
  <w:style w:type="paragraph" w:styleId="Heading3">
    <w:name w:val="heading 3"/>
    <w:basedOn w:val="Normal"/>
    <w:qFormat/>
    <w:pPr>
      <w:numPr>
        <w:ilvl w:val="2"/>
        <w:numId w:val="1"/>
      </w:numPr>
      <w:spacing w:after="240"/>
      <w:ind w:firstLine="2160"/>
      <w:jc w:val="both"/>
      <w:outlineLvl w:val="2"/>
    </w:pPr>
  </w:style>
  <w:style w:type="paragraph" w:styleId="Heading4">
    <w:name w:val="heading 4"/>
    <w:basedOn w:val="Normal"/>
    <w:qFormat/>
    <w:pPr>
      <w:numPr>
        <w:ilvl w:val="3"/>
        <w:numId w:val="1"/>
      </w:numPr>
      <w:spacing w:after="240"/>
      <w:ind w:firstLine="2880"/>
      <w:jc w:val="both"/>
      <w:outlineLvl w:val="3"/>
    </w:pPr>
  </w:style>
  <w:style w:type="paragraph" w:styleId="Heading5">
    <w:name w:val="heading 5"/>
    <w:basedOn w:val="Normal"/>
    <w:qFormat/>
    <w:pPr>
      <w:numPr>
        <w:ilvl w:val="4"/>
        <w:numId w:val="1"/>
      </w:numPr>
      <w:spacing w:after="240"/>
      <w:ind w:firstLine="3600"/>
      <w:jc w:val="both"/>
      <w:outlineLvl w:val="4"/>
    </w:pPr>
  </w:style>
  <w:style w:type="paragraph" w:styleId="Heading6">
    <w:name w:val="heading 6"/>
    <w:basedOn w:val="Normal"/>
    <w:next w:val="Normal"/>
    <w:qFormat/>
    <w:pPr>
      <w:numPr>
        <w:ilvl w:val="5"/>
        <w:numId w:val="1"/>
      </w:numPr>
      <w:spacing w:after="240"/>
      <w:ind w:firstLine="432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680"/>
      </w:tabs>
    </w:pPr>
    <w:rPr>
      <w:sz w:val="16"/>
    </w:rPr>
  </w:style>
  <w:style w:type="paragraph" w:customStyle="1" w:styleId="COMMENT">
    <w:name w:val="COMMENT"/>
    <w:basedOn w:val="Bod"/>
    <w:pPr>
      <w:ind w:left="720" w:right="720" w:firstLine="0"/>
    </w:pPr>
    <w:rPr>
      <w:i/>
    </w:rPr>
  </w:style>
  <w:style w:type="character" w:styleId="PageNumber">
    <w:name w:val="page number"/>
    <w:rPr>
      <w:rFonts w:ascii="Times New Roman" w:hAnsi="Times New Roman"/>
      <w:spacing w:val="0"/>
      <w:kern w:val="0"/>
      <w:position w:val="0"/>
      <w:sz w:val="24"/>
      <w:vertAlign w:val="baseline"/>
    </w:rPr>
  </w:style>
  <w:style w:type="paragraph" w:customStyle="1" w:styleId="Head">
    <w:name w:val="Head"/>
    <w:basedOn w:val="Normal"/>
    <w:next w:val="Normal"/>
    <w:pPr>
      <w:keepNext/>
      <w:spacing w:after="240"/>
    </w:pPr>
    <w:rPr>
      <w:b/>
    </w:rPr>
  </w:style>
  <w:style w:type="paragraph" w:customStyle="1" w:styleId="Bod">
    <w:name w:val="Bod"/>
    <w:basedOn w:val="Normal"/>
    <w:pPr>
      <w:spacing w:after="240"/>
      <w:ind w:firstLine="1440"/>
      <w:jc w:val="both"/>
    </w:pPr>
  </w:style>
  <w:style w:type="paragraph" w:styleId="Title">
    <w:name w:val="Title"/>
    <w:basedOn w:val="Normal"/>
    <w:qFormat/>
    <w:pPr>
      <w:spacing w:after="600"/>
      <w:jc w:val="center"/>
    </w:pPr>
    <w:rPr>
      <w:b/>
    </w:rPr>
  </w:style>
  <w:style w:type="paragraph" w:styleId="FootnoteText">
    <w:name w:val="footnote text"/>
    <w:aliases w:val="fn,Footnote Text Char"/>
    <w:basedOn w:val="Normal"/>
    <w:semiHidden/>
    <w:rPr>
      <w:sz w:val="20"/>
    </w:rPr>
  </w:style>
  <w:style w:type="character" w:styleId="FootnoteReference">
    <w:name w:val="footnote reference"/>
    <w:semiHidden/>
    <w:rPr>
      <w:vertAlign w:val="superscript"/>
    </w:rPr>
  </w:style>
  <w:style w:type="paragraph" w:customStyle="1" w:styleId="DeltaViewTableHeading">
    <w:name w:val="DeltaView Table Heading"/>
    <w:basedOn w:val="Normal"/>
    <w:pPr>
      <w:suppressAutoHyphens w:val="0"/>
      <w:autoSpaceDE w:val="0"/>
      <w:autoSpaceDN w:val="0"/>
      <w:adjustRightInd w:val="0"/>
      <w:spacing w:after="120"/>
    </w:pPr>
    <w:rPr>
      <w:rFonts w:ascii="Arial" w:hAnsi="Arial" w:cs="Arial"/>
      <w:b/>
      <w:bCs/>
      <w:szCs w:val="24"/>
    </w:rPr>
  </w:style>
  <w:style w:type="paragraph" w:customStyle="1" w:styleId="DeltaViewTableBody">
    <w:name w:val="DeltaView Table Body"/>
    <w:basedOn w:val="Normal"/>
    <w:pPr>
      <w:suppressAutoHyphens w:val="0"/>
      <w:autoSpaceDE w:val="0"/>
      <w:autoSpaceDN w:val="0"/>
      <w:adjustRightInd w:val="0"/>
    </w:pPr>
    <w:rPr>
      <w:rFonts w:ascii="Arial" w:hAnsi="Arial" w:cs="Arial"/>
      <w:szCs w:val="24"/>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StyleChangeLabel">
    <w:name w:val="DeltaView Style Change Label"/>
    <w:rPr>
      <w:color w:val="000000"/>
      <w:spacing w:val="0"/>
    </w:rPr>
  </w:style>
  <w:style w:type="paragraph" w:customStyle="1" w:styleId="TableText">
    <w:name w:val="Table Text"/>
    <w:basedOn w:val="Normal"/>
    <w:pPr>
      <w:tabs>
        <w:tab w:val="left" w:pos="432"/>
      </w:tabs>
      <w:autoSpaceDE w:val="0"/>
      <w:autoSpaceDN w:val="0"/>
      <w:adjustRightInd w:val="0"/>
      <w:spacing w:after="240"/>
    </w:pPr>
    <w:rPr>
      <w:szCs w:val="24"/>
    </w:rPr>
  </w:style>
  <w:style w:type="paragraph" w:customStyle="1" w:styleId="TableItalics">
    <w:name w:val="Table Italics"/>
    <w:basedOn w:val="TableText"/>
    <w:rPr>
      <w:i/>
      <w:iCs/>
    </w:rPr>
  </w:style>
  <w:style w:type="character" w:styleId="CommentReference">
    <w:name w:val="annotation reference"/>
    <w:rPr>
      <w:sz w:val="16"/>
      <w:szCs w:val="16"/>
    </w:rPr>
  </w:style>
  <w:style w:type="paragraph" w:customStyle="1" w:styleId="Legal2IndeL1">
    <w:name w:val="Legal2Inde_L1"/>
    <w:basedOn w:val="Normal"/>
    <w:next w:val="BodyText"/>
    <w:pPr>
      <w:numPr>
        <w:numId w:val="2"/>
      </w:numPr>
      <w:suppressAutoHyphens w:val="0"/>
      <w:spacing w:after="240"/>
      <w:jc w:val="both"/>
      <w:outlineLvl w:val="0"/>
    </w:pPr>
  </w:style>
  <w:style w:type="paragraph" w:customStyle="1" w:styleId="Legal2IndeL2">
    <w:name w:val="Legal2Inde_L2"/>
    <w:basedOn w:val="Legal2IndeL1"/>
    <w:next w:val="BodyText"/>
    <w:pPr>
      <w:numPr>
        <w:ilvl w:val="1"/>
      </w:numPr>
      <w:outlineLvl w:val="1"/>
    </w:pPr>
  </w:style>
  <w:style w:type="paragraph" w:customStyle="1" w:styleId="Legal2IndeL3">
    <w:name w:val="Legal2Inde_L3"/>
    <w:basedOn w:val="Legal2IndeL2"/>
    <w:next w:val="BodyText"/>
    <w:link w:val="Legal2IndeL3Char"/>
    <w:pPr>
      <w:numPr>
        <w:ilvl w:val="2"/>
      </w:numPr>
      <w:outlineLvl w:val="2"/>
    </w:pPr>
  </w:style>
  <w:style w:type="paragraph" w:customStyle="1" w:styleId="Legal2IndeL4">
    <w:name w:val="Legal2Inde_L4"/>
    <w:basedOn w:val="Legal2IndeL3"/>
    <w:next w:val="BodyText"/>
    <w:pPr>
      <w:numPr>
        <w:ilvl w:val="3"/>
      </w:numPr>
      <w:tabs>
        <w:tab w:val="clear" w:pos="3600"/>
        <w:tab w:val="num" w:pos="360"/>
      </w:tabs>
      <w:outlineLvl w:val="3"/>
    </w:pPr>
  </w:style>
  <w:style w:type="paragraph" w:customStyle="1" w:styleId="Legal2IndeL5">
    <w:name w:val="Legal2Inde_L5"/>
    <w:basedOn w:val="Legal2IndeL4"/>
    <w:next w:val="BodyText"/>
    <w:pPr>
      <w:numPr>
        <w:ilvl w:val="4"/>
      </w:numPr>
      <w:tabs>
        <w:tab w:val="clear" w:pos="4320"/>
        <w:tab w:val="num" w:pos="360"/>
      </w:tabs>
      <w:jc w:val="left"/>
      <w:outlineLvl w:val="4"/>
    </w:pPr>
  </w:style>
  <w:style w:type="paragraph" w:customStyle="1" w:styleId="Legal2IndeL6">
    <w:name w:val="Legal2Inde_L6"/>
    <w:basedOn w:val="Legal2IndeL5"/>
    <w:next w:val="BodyText"/>
    <w:pPr>
      <w:numPr>
        <w:ilvl w:val="5"/>
      </w:numPr>
      <w:tabs>
        <w:tab w:val="clear" w:pos="5040"/>
        <w:tab w:val="num" w:pos="360"/>
      </w:tabs>
      <w:outlineLvl w:val="5"/>
    </w:pPr>
  </w:style>
  <w:style w:type="paragraph" w:customStyle="1" w:styleId="Legal2IndeL7">
    <w:name w:val="Legal2Inde_L7"/>
    <w:basedOn w:val="Legal2IndeL6"/>
    <w:next w:val="BodyText"/>
    <w:pPr>
      <w:numPr>
        <w:ilvl w:val="6"/>
      </w:numPr>
      <w:tabs>
        <w:tab w:val="clear" w:pos="5760"/>
        <w:tab w:val="num" w:pos="360"/>
      </w:tabs>
      <w:outlineLvl w:val="6"/>
    </w:pPr>
  </w:style>
  <w:style w:type="paragraph" w:customStyle="1" w:styleId="Legal2IndeL8">
    <w:name w:val="Legal2Inde_L8"/>
    <w:basedOn w:val="Legal2IndeL7"/>
    <w:next w:val="BodyText"/>
    <w:pPr>
      <w:numPr>
        <w:ilvl w:val="7"/>
      </w:numPr>
      <w:tabs>
        <w:tab w:val="clear" w:pos="6480"/>
        <w:tab w:val="num" w:pos="360"/>
      </w:tabs>
      <w:outlineLvl w:val="7"/>
    </w:pPr>
  </w:style>
  <w:style w:type="paragraph" w:customStyle="1" w:styleId="Legal2IndeL9">
    <w:name w:val="Legal2Inde_L9"/>
    <w:basedOn w:val="Legal2IndeL8"/>
    <w:next w:val="BodyText"/>
    <w:pPr>
      <w:numPr>
        <w:ilvl w:val="8"/>
      </w:numPr>
      <w:tabs>
        <w:tab w:val="clear" w:pos="7200"/>
        <w:tab w:val="num" w:pos="360"/>
      </w:tabs>
      <w:outlineLvl w:val="8"/>
    </w:pPr>
  </w:style>
  <w:style w:type="character" w:customStyle="1" w:styleId="Legal2IndeL3Char">
    <w:name w:val="Legal2Inde_L3 Char"/>
    <w:link w:val="Legal2IndeL3"/>
    <w:rPr>
      <w:sz w:val="24"/>
      <w:lang w:val="en-US" w:eastAsia="en-US" w:bidi="ar-SA"/>
    </w:rPr>
  </w:style>
  <w:style w:type="paragraph" w:styleId="BodyText">
    <w:name w:val="Body Text"/>
    <w:basedOn w:val="Normal"/>
    <w:pPr>
      <w:spacing w:after="120"/>
    </w:pPr>
  </w:style>
  <w:style w:type="character" w:styleId="Hyperlink">
    <w:name w:val="Hyperlink"/>
    <w:rPr>
      <w:color w:val="0000FF"/>
      <w:u w:val="single"/>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lang w:val="x-none" w:eastAsia="x-none"/>
    </w:rPr>
  </w:style>
  <w:style w:type="character" w:customStyle="1" w:styleId="CommentSubjectChar">
    <w:name w:val="Comment Subject Char"/>
    <w:link w:val="CommentSubject"/>
    <w:rPr>
      <w:b/>
      <w:bCs/>
    </w:rPr>
  </w:style>
  <w:style w:type="paragraph" w:styleId="BalloonText">
    <w:name w:val="Balloon Text"/>
    <w:basedOn w:val="Normal"/>
    <w:link w:val="BalloonTextChar"/>
    <w:rPr>
      <w:rFonts w:ascii="Tahoma" w:hAnsi="Tahoma"/>
      <w:sz w:val="16"/>
      <w:szCs w:val="16"/>
      <w:lang w:val="x-none" w:eastAsia="x-none"/>
    </w:rPr>
  </w:style>
  <w:style w:type="character" w:customStyle="1" w:styleId="BalloonTextChar">
    <w:name w:val="Balloon Text Char"/>
    <w:link w:val="BalloonText"/>
    <w:rPr>
      <w:rFonts w:ascii="Tahoma" w:hAnsi="Tahoma" w:cs="Tahoma"/>
      <w:sz w:val="16"/>
      <w:szCs w:val="16"/>
    </w:rPr>
  </w:style>
  <w:style w:type="paragraph" w:customStyle="1" w:styleId="TableTextBU">
    <w:name w:val="Table Text BU"/>
    <w:basedOn w:val="TableText"/>
    <w:pPr>
      <w:keepNext/>
      <w:autoSpaceDE/>
      <w:autoSpaceDN/>
      <w:adjustRightInd/>
    </w:pPr>
    <w:rPr>
      <w:b/>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92F8A6D-7097-814A-9B1B-7C9A8C11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Pages>3</Pages>
  <Words>1411</Words>
  <Characters>6580</Characters>
  <Application>Microsoft Macintosh Word</Application>
  <DocSecurity>0</DocSecurity>
  <PresentationFormat/>
  <Lines>96</Lines>
  <Paragraphs>39</Paragraphs>
  <ScaleCrop>false</ScaleCrop>
  <HeadingPairs>
    <vt:vector size="2" baseType="variant">
      <vt:variant>
        <vt:lpstr>Title</vt:lpstr>
      </vt:variant>
      <vt:variant>
        <vt:i4>1</vt:i4>
      </vt:variant>
    </vt:vector>
  </HeadingPairs>
  <TitlesOfParts>
    <vt:vector size="1" baseType="lpstr">
      <vt:lpstr>New York Angels Seed Series Term Sheet</vt:lpstr>
    </vt:vector>
  </TitlesOfParts>
  <Manager>Seltzer, Richenstein, Schneider, Rose</Manager>
  <Company/>
  <LinksUpToDate>false</LinksUpToDate>
  <CharactersWithSpaces>7952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Angels Seed Series Term Sheet</dc:title>
  <dc:subject>Seed Series Preferred Stock Term Sheet</dc:subject>
  <dc:creator>GUST</dc:creator>
  <cp:keywords/>
  <dc:description/>
  <cp:lastModifiedBy>David S. Rose</cp:lastModifiedBy>
  <cp:revision>3</cp:revision>
  <cp:lastPrinted>2013-01-18T13:40:00Z</cp:lastPrinted>
  <dcterms:created xsi:type="dcterms:W3CDTF">2013-01-19T00:00:00Z</dcterms:created>
  <dcterms:modified xsi:type="dcterms:W3CDTF">2013-01-22T06:07:00Z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9375570v.2</vt:lpwstr>
  </property>
</Properties>
</file>