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AI GOVERNANCE PORTFOLIO REVIEW &amp; INTERVIEW DEFENSE GUIDE</w:t>
      </w:r>
    </w:p>
    <w:p>
      <w:pPr>
        <w:jc w:val="center"/>
      </w:pPr>
      <w:r>
        <w:rPr>
          <w:i/>
        </w:rPr>
        <w:t>David Amoako-Attah | AI Governance Analyst | 8/8/2026</w:t>
      </w:r>
    </w:p>
    <w:p>
      <w:pPr>
        <w:pStyle w:val="Heading1"/>
      </w:pPr>
      <w:r>
        <w:t>1. Senior AI Governance Manager Review</w:t>
      </w:r>
    </w:p>
    <w:p>
      <w:r>
        <w:t>Overall assessment: The portfolio has a strong executive-to-evidence structure: executive presentation → system inventory → acceptable-use controls → NIST AI RMF gap assessment. The central risk story is consistent: a safety-camera AI system can affect worker safety and supervisory action, so governance must address accountability, human review, transparency, performance validation, and incident response.</w:t>
      </w:r>
    </w:p>
    <w:p>
      <w:pPr>
        <w:pStyle w:val="Heading2"/>
      </w:pPr>
      <w:r>
        <w:t>What is already strong</w:t>
      </w:r>
    </w:p>
    <w:p>
      <w:pPr>
        <w:pStyle w:val="ListBullet"/>
      </w:pPr>
      <w:r>
        <w:t>Clear business context and safety consequence rather than generic AI theory.</w:t>
      </w:r>
    </w:p>
    <w:p>
      <w:pPr>
        <w:pStyle w:val="ListBullet"/>
      </w:pPr>
      <w:r>
        <w:t>Human-in-the-loop control prohibits adverse worker action based only on an automated flag.</w:t>
      </w:r>
    </w:p>
    <w:p>
      <w:pPr>
        <w:pStyle w:val="ListBullet"/>
      </w:pPr>
      <w:r>
        <w:t>NIST AI RMF is operationalized through Govern, Map, Measure, and Manage rather than merely named.</w:t>
      </w:r>
    </w:p>
    <w:p>
      <w:pPr>
        <w:pStyle w:val="ListBullet"/>
      </w:pPr>
      <w:r>
        <w:t>Prioritized remediation sequence gives leadership a practical 0–30 / 30–90 / 90+ day roadmap.</w:t>
      </w:r>
    </w:p>
    <w:p>
      <w:pPr>
        <w:pStyle w:val="ListBullet"/>
      </w:pPr>
      <w:r>
        <w:t>System Register demonstrates portfolio-level inventory and risk tiering beyond a single use case.</w:t>
      </w:r>
    </w:p>
    <w:p>
      <w:pPr>
        <w:pStyle w:val="Heading2"/>
      </w:pPr>
      <w:r>
        <w:t>Weaknesses corrected or flagged</w:t>
      </w:r>
    </w:p>
    <w:p>
      <w:pPr>
        <w:pStyle w:val="ListBullet"/>
      </w:pPr>
      <w:r>
        <w:t>Authorship/date placeholders were replaced with David Amoako-Attah and 8/8/2026 where appropriate.</w:t>
      </w:r>
    </w:p>
    <w:p>
      <w:pPr>
        <w:pStyle w:val="ListBullet"/>
      </w:pPr>
      <w:r>
        <w:t>Absolute claims such as “never tested” were softened to evidence-based language where the supplied portfolio did not prove the underlying fact.</w:t>
      </w:r>
    </w:p>
    <w:p>
      <w:pPr>
        <w:pStyle w:val="ListBullet"/>
      </w:pPr>
      <w:r>
        <w:t>Regulatory wording was made more defensible: internal high-risk treatment is separated from a jurisdiction-specific legal classification, which Legal must confirm.</w:t>
      </w:r>
    </w:p>
    <w:p>
      <w:pPr>
        <w:pStyle w:val="ListBullet"/>
      </w:pPr>
      <w:r>
        <w:t>Retention periods are now explicitly proposed values requiring Legal/Records approval rather than appearing as finalized requirements.</w:t>
      </w:r>
    </w:p>
    <w:p>
      <w:pPr>
        <w:pStyle w:val="ListBullet"/>
      </w:pPr>
      <w:r>
        <w:t>The System Register now carries portfolio owner, role, review date, and a validation-status note.</w:t>
      </w:r>
    </w:p>
    <w:p>
      <w:pPr>
        <w:pStyle w:val="Heading2"/>
      </w:pPr>
      <w:r>
        <w:t>Remaining gaps to close before calling this enterprise-ready</w:t>
      </w:r>
    </w:p>
    <w:p>
      <w:pPr>
        <w:pStyle w:val="ListBullet"/>
      </w:pPr>
      <w:r>
        <w:t>Vendor/model names and evidence remain placeholders.</w:t>
      </w:r>
    </w:p>
    <w:p>
      <w:pPr>
        <w:pStyle w:val="ListBullet"/>
      </w:pPr>
      <w:r>
        <w:t>No RACI matrix yet shows Responsible, Accountable, Consulted, and Informed roles across EHS, AI Governance, IT/Security, Legal, HR/Labor, Privacy, and the vendor.</w:t>
      </w:r>
    </w:p>
    <w:p>
      <w:pPr>
        <w:pStyle w:val="ListBullet"/>
      </w:pPr>
      <w:r>
        <w:t>No formal AI impact assessment / risk acceptance record with approval signatures.</w:t>
      </w:r>
    </w:p>
    <w:p>
      <w:pPr>
        <w:pStyle w:val="ListBullet"/>
      </w:pPr>
      <w:r>
        <w:t>No test protocol defines sample size, acceptance thresholds, false-positive/false-negative targets, or subgroup evaluation method.</w:t>
      </w:r>
    </w:p>
    <w:p>
      <w:pPr>
        <w:pStyle w:val="ListBullet"/>
      </w:pPr>
      <w:r>
        <w:t>No AI incident playbook, rollback threshold, model-change log, or post-deployment monitoring dashboard.</w:t>
      </w:r>
    </w:p>
    <w:p>
      <w:pPr>
        <w:pStyle w:val="ListBullet"/>
      </w:pPr>
      <w:r>
        <w:t>No privacy/data-flow assessment showing where video is processed, stored, transmitted, and deleted.</w:t>
      </w:r>
    </w:p>
    <w:p>
      <w:pPr>
        <w:pStyle w:val="ListBullet"/>
      </w:pPr>
      <w:r>
        <w:t>No worker notice/appeal form or evidence that notice was delivered.</w:t>
      </w:r>
    </w:p>
    <w:p>
      <w:pPr>
        <w:pStyle w:val="ListBullet"/>
      </w:pPr>
      <w:r>
        <w:t>The risk-tier methodology is useful but needs formal criteria and an escalation rule for borderline cases.</w:t>
      </w:r>
    </w:p>
    <w:p>
      <w:pPr>
        <w:pStyle w:val="Heading1"/>
      </w:pPr>
      <w:r>
        <w:t>2. Document-by-Document Interview Defense</w:t>
      </w:r>
    </w:p>
    <w:p>
      <w:pPr>
        <w:pStyle w:val="Heading2"/>
      </w:pPr>
      <w:r>
        <w:t>Executive Presentation</w:t>
      </w:r>
    </w:p>
    <w:p>
      <w:r>
        <w:t>Purpose: Translate detailed governance evidence into decisions leadership can approve.</w:t>
      </w:r>
    </w:p>
    <w:p>
      <w:r>
        <w:t>Interview defense: “I built the deck for decision-makers. I reduced the analysis to business impact, risk classification, the largest control gap, NIST AI RMF maturity, and three concrete asks. The supporting documents provide traceability behind the executive message.”</w:t>
      </w:r>
    </w:p>
    <w:p>
      <w:r>
        <w:t>Likely challenge: If challenged on high-risk classification: explain that “high risk” is the internal governance tier because the use case affects physical safety and can influence worker-management actions; jurisdiction-specific legal classification requires Legal review.</w:t>
      </w:r>
    </w:p>
    <w:p>
      <w:pPr>
        <w:pStyle w:val="Heading2"/>
      </w:pPr>
      <w:r>
        <w:t>AI System Register</w:t>
      </w:r>
    </w:p>
    <w:p>
      <w:r>
        <w:t>Purpose: Create a single inventory of AI systems, owners, purposes, data, deployment status, vendors, risk tiers, rationale, and review cadence.</w:t>
      </w:r>
    </w:p>
    <w:p>
      <w:r>
        <w:t>Interview defense: “Governance starts with knowing what AI exists. I used the register as the authoritative inventory and tied risk tier to impact on people, safety, employment, biometrics, and data sensitivity. High-risk systems receive more frequent review.”</w:t>
      </w:r>
    </w:p>
    <w:p>
      <w:r>
        <w:t>Likely challenge: If asked why the camera is high risk without identifying names: say identity is not the only risk driver; physical-safety consequences and downstream supervisory use create material impact.</w:t>
      </w:r>
    </w:p>
    <w:p>
      <w:pPr>
        <w:pStyle w:val="Heading2"/>
      </w:pPr>
      <w:r>
        <w:t>Acceptable Use Policy</w:t>
      </w:r>
    </w:p>
    <w:p>
      <w:r>
        <w:t>Purpose: Convert risk analysis into enforceable operating boundaries.</w:t>
      </w:r>
    </w:p>
    <w:p>
      <w:r>
        <w:t>Interview defense: “The policy defines purpose, scope, permitted and prohibited uses, human review, data handling, worker transparency, performance review, ownership, and enforcement. The key control is that automated flags cannot be the sole basis for adverse action.”</w:t>
      </w:r>
    </w:p>
    <w:p>
      <w:r>
        <w:t>Likely challenge: If asked whether 30-day/1-year retention is final: say no; those are proposed portfolio values and must be approved against legal, privacy, investigation, and records-retention requirements.</w:t>
      </w:r>
    </w:p>
    <w:p>
      <w:pPr>
        <w:pStyle w:val="Heading2"/>
      </w:pPr>
      <w:r>
        <w:t>NIST AI RMF Gap Assessment</w:t>
      </w:r>
    </w:p>
    <w:p>
      <w:r>
        <w:t>Purpose: Measure governance maturity and turn gaps into prioritized remediation.</w:t>
      </w:r>
    </w:p>
    <w:p>
      <w:r>
        <w:t>Interview defense: “I assessed Govern, Map, Measure, and Manage on a 1–5 maturity scale. Measure scored lowest because the evidence package does not establish site-specific validation across operating conditions and relevant variation. I therefore prioritized validation before reliance on AI as a primary safety control.”</w:t>
      </w:r>
    </w:p>
    <w:p>
      <w:r>
        <w:t>Likely challenge: If asked how you know a control is missing: distinguish “no evidence provided” from “definitely does not exist.” In a real assessment, request artifacts and interview owners before closing the finding.</w:t>
      </w:r>
    </w:p>
    <w:p>
      <w:pPr>
        <w:pStyle w:val="Heading1"/>
      </w:pPr>
      <w:r>
        <w:t>3. Hands-On Training: How to Explain Your Workflow</w:t>
      </w:r>
    </w:p>
    <w:p>
      <w:pPr>
        <w:pStyle w:val="ListNumber"/>
      </w:pPr>
      <w:r>
        <w:t>Discover: Identify the AI use case, intended purpose, system owner, users, affected people, data inputs, vendor/model, deployment status, and decision impact.</w:t>
      </w:r>
    </w:p>
    <w:p>
      <w:pPr>
        <w:pStyle w:val="ListNumber"/>
      </w:pPr>
      <w:r>
        <w:t>Inventory &amp; Tier: Create the System Register entry and assign a provisional risk tier with written rationale.</w:t>
      </w:r>
    </w:p>
    <w:p>
      <w:pPr>
        <w:pStyle w:val="ListNumber"/>
      </w:pPr>
      <w:r>
        <w:t>Map Impacts: Document safety, employment/worker-management, privacy, security, operational, legal, and trust impacts; distinguish false-positive from false-negative harm.</w:t>
      </w:r>
    </w:p>
    <w:p>
      <w:pPr>
        <w:pStyle w:val="ListNumber"/>
      </w:pPr>
      <w:r>
        <w:t>Set Guardrails: Draft acceptable/prohibited uses, human oversight, access, retention, transparency, appeal, change-review, and enforcement requirements.</w:t>
      </w:r>
    </w:p>
    <w:p>
      <w:pPr>
        <w:pStyle w:val="ListNumber"/>
      </w:pPr>
      <w:r>
        <w:t>Measure: Define site-specific test scenarios, metrics, thresholds, subgroup/PPE/lighting coverage, monitoring cadence, and evidence retention.</w:t>
      </w:r>
    </w:p>
    <w:p>
      <w:pPr>
        <w:pStyle w:val="ListNumber"/>
      </w:pPr>
      <w:r>
        <w:t>Manage: Define incident escalation, rollback/pause criteria, risk acceptance, remediation owners/dates, and periodic review.</w:t>
      </w:r>
    </w:p>
    <w:p>
      <w:pPr>
        <w:pStyle w:val="ListNumber"/>
      </w:pPr>
      <w:r>
        <w:t>Report: Present leadership with the risk story, evidence, priorities, owners, dates, and explicit decisions requested.</w:t>
      </w:r>
    </w:p>
    <w:p>
      <w:pPr>
        <w:pStyle w:val="Heading1"/>
      </w:pPr>
      <w:r>
        <w:t>4. Questions You Should Be Ready to Answer</w:t>
      </w:r>
    </w:p>
    <w:p>
      <w:r>
        <w:rPr>
          <w:b/>
        </w:rPr>
        <w:t xml:space="preserve">Why NIST AI RMF? </w:t>
      </w:r>
      <w:r>
        <w:t>It gives a lifecycle structure—Govern, Map, Measure, Manage—that connects accountability, context, testing, and response. I used it to organize evidence and remediation rather than treating it as a checklist only.</w:t>
      </w:r>
    </w:p>
    <w:p>
      <w:r>
        <w:rPr>
          <w:b/>
        </w:rPr>
        <w:t xml:space="preserve">What is the most important control here? </w:t>
      </w:r>
      <w:r>
        <w:t>Human review is essential for worker-impact decisions, but the highest remediation priority is evidence-based performance validation because a false negative can miss a real safety hazard.</w:t>
      </w:r>
    </w:p>
    <w:p>
      <w:r>
        <w:rPr>
          <w:b/>
        </w:rPr>
        <w:t xml:space="preserve">How would you validate accuracy? </w:t>
      </w:r>
      <w:r>
        <w:t>First define detection classes and acceptance thresholds with EHS. Build a representative test set across lighting, camera angles, PPE types, zones, and operational conditions; calculate precision/recall or false-positive/false-negative rates by detection class; investigate meaningful subgroup variation where lawful and measurable; document limitations and compensating controls.</w:t>
      </w:r>
    </w:p>
    <w:p>
      <w:r>
        <w:rPr>
          <w:b/>
        </w:rPr>
        <w:t xml:space="preserve">Who owns AI risk? </w:t>
      </w:r>
      <w:r>
        <w:t>The business owner should remain accountable for operational outcomes; AI Governance owns the governance process and challenge; IT/Security owns technical controls; Legal/Privacy interpret obligations. I would document this in a RACI.</w:t>
      </w:r>
    </w:p>
    <w:p>
      <w:r>
        <w:rPr>
          <w:b/>
        </w:rPr>
        <w:t xml:space="preserve">What if the vendor says the model is 98% accurate? </w:t>
      </w:r>
      <w:r>
        <w:t>I would ask what “98%” means, the dataset and conditions used, class-level performance, false-negative rate, subgroup/PPE variation, version tested, and whether results transfer to our site. Vendor benchmarks do not replace local validation.</w:t>
      </w:r>
    </w:p>
    <w:p>
      <w:r>
        <w:rPr>
          <w:b/>
        </w:rPr>
        <w:t xml:space="preserve">How do you prevent function creep? </w:t>
      </w:r>
      <w:r>
        <w:t>State the authorized safety purpose, prohibit productivity/disciplinary repurposing without a new assessment and approval, restrict access, log changes, and re-review new zones/capabilities.</w:t>
      </w:r>
    </w:p>
    <w:p>
      <w:r>
        <w:rPr>
          <w:b/>
        </w:rPr>
        <w:t xml:space="preserve">What evidence would an auditor expect? </w:t>
      </w:r>
      <w:r>
        <w:t>Approved policy, system inventory, risk/impact assessment, RACI, test results, vendor documentation, access records, worker notice, incident/change logs, remediation tracking, monitoring metrics, and approvals/risk acceptances.</w:t>
      </w:r>
    </w:p>
    <w:p>
      <w:pPr>
        <w:pStyle w:val="Heading1"/>
      </w:pPr>
      <w:r>
        <w:t>5. 60-Second Portfolio Pitch</w:t>
      </w:r>
    </w:p>
    <w:p>
      <w:r>
        <w:t>“I built an AI governance starter pack around an industrial safety-camera use case. I began by inventorying the system and risk-tiering it based on its safety and worker-impact context. I then created an Acceptable Use Policy to define permitted use, prohibit automated-only adverse action, establish human oversight, and address data handling and transparency. Next, I assessed the system against NIST AI RMF Govern, Map, Measure, and Manage. The evidence package showed the largest maturity gap in Measure, so I prioritized site-specific accuracy and fairness validation, followed by ownership and AI-specific incident management. Finally, I translated the findings into an executive deck with a phased remediation roadmap and specific leadership decisions. In a real engagement, I would validate all current-state assumptions through artifact requests, stakeholder interviews, vendor evidence, Legal/Privacy review, and documented approvals.”</w:t>
      </w:r>
    </w:p>
    <w:p>
      <w:pPr>
        <w:pStyle w:val="Heading1"/>
      </w:pPr>
      <w:r>
        <w:t>6. Next Portfolio Artifacts to Build</w:t>
      </w:r>
    </w:p>
    <w:p>
      <w:pPr>
        <w:pStyle w:val="ListBullet"/>
      </w:pPr>
      <w:r>
        <w:t>AI System RACI matrix</w:t>
      </w:r>
    </w:p>
    <w:p>
      <w:pPr>
        <w:pStyle w:val="ListBullet"/>
      </w:pPr>
      <w:r>
        <w:t>AI Impact Assessment / Algorithmic Impact Assessment</w:t>
      </w:r>
    </w:p>
    <w:p>
      <w:pPr>
        <w:pStyle w:val="ListBullet"/>
      </w:pPr>
      <w:r>
        <w:t>Site-Specific Model Validation Test Plan and Results Template</w:t>
      </w:r>
    </w:p>
    <w:p>
      <w:pPr>
        <w:pStyle w:val="ListBullet"/>
      </w:pPr>
      <w:r>
        <w:t>AI Incident Response &amp; Model Rollback Playbook</w:t>
      </w:r>
    </w:p>
    <w:p>
      <w:pPr>
        <w:pStyle w:val="ListBullet"/>
      </w:pPr>
      <w:r>
        <w:t>AI Risk Register / POA&amp;M with owners and due dates</w:t>
      </w:r>
    </w:p>
    <w:p>
      <w:pPr>
        <w:pStyle w:val="ListBullet"/>
      </w:pPr>
      <w:r>
        <w:t>Worker AI Notice and Appeal Procedure</w:t>
      </w:r>
    </w:p>
    <w:p>
      <w:pPr>
        <w:pStyle w:val="ListBullet"/>
      </w:pPr>
      <w:r>
        <w:t>Vendor AI Due-Diligence Questionnaire</w:t>
      </w:r>
    </w:p>
    <w:p>
      <w:pPr>
        <w:pStyle w:val="ListBullet"/>
      </w:pPr>
      <w:r>
        <w:t>Quarterly AI Performance &amp; Governance Dashboard</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