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AI INCIDENT RESPONSE &amp; MODEL ROLLBACK PLAYBOOK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AI-Powered Site Safety Camera System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>Document Owner: David Amoako-Attah, AI Governance Lead  |  Version 1.0  |  Effective Date: 8/8/2026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60"/>
      </w:pPr>
      <w:r>
        <w:t xml:space="preserve">This playbook defines how the organization detects, classifies, responds to, and recovers from incidents involving the AI-powered site safety camera system — including both cases where the system fails to catch a real hazard, and cases where it produces a harmful false positive. It also defines the criteria and authority for pausing or rolling back the system.</w:t>
      </w:r>
    </w:p>
    <w:p>
      <w:pPr>
        <w:pStyle w:val="Heading1"/>
        <w:spacing w:after="150" w:before="300"/>
      </w:pPr>
      <w:r>
        <w:t xml:space="preserve">2. Severity Classification</w:t>
      </w:r>
    </w:p>
    <w:p>
      <w:pPr>
        <w:spacing w:after="160"/>
      </w:pPr>
      <w:r>
        <w:t xml:space="preserve">Every reported incident is triaged into one of four severity levels, which determines response time and escalation path.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900"/>
        <w:gridCol w:w="2900"/>
      </w:tblGrid>
      <w:tr>
        <w:tc>
          <w:tcPr>
            <w:tcW w:type="dxa" w:w="13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6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9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9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 Time Target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SEV-1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System failure directly resulted in, or nearly resulted in, a worker injury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Fall not detected; worker injured before manual intervention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Immediate (within 15 min); EHS Director notified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SEV-2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System error caused a wrongful adverse action against a worker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Worker disciplined based on an unreviewed false-positive flag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Within 2 hours; AI Governance Lead notified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SEV-3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System outage or degraded detection without a known harm event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Camera zone offline; model producing elevated false-positive rate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Within 8 business hours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SEV-4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Minor anomaly, no safety or employment impact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Single misclassified alert, corrected on review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Within 5 business days; logged for trend review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Roles and Escalation</w:t>
      </w:r>
    </w:p>
    <w:p>
      <w:pPr>
        <w:spacing w:after="160"/>
      </w:pPr>
      <w:r>
        <w:t xml:space="preserve">Roles below align with the AI System RACI Matrix. Escalation always flows upward on ambiguity — when in doubt, treat an incident as one severity level higher until triage confirms otherwise.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Site Supervisor: first responder; detects or receives report; performs initial containment (e.g., manual oversight of affected zone).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Governance Lead: leads investigation, determines root cause, is Responsible for the rollback decision.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EHS Safety Director: Accountable for the overall response and any decision affecting worker safety; joint sign-off authority on rollback.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Security: executes technical containment (e.g., disabling a feed, isolating a model version).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Legal: consulted on any incident involving potential adverse employment action or regulatory exposure.</w:t>
      </w:r>
    </w:p>
    <w:p>
      <w:pPr>
        <w:pStyle w:val="Heading1"/>
        <w:spacing w:after="150" w:before="300"/>
      </w:pPr>
      <w:r>
        <w:t xml:space="preserve">4. Response Procedure</w:t>
      </w:r>
    </w:p>
    <w:p>
      <w:pPr>
        <w:spacing w:after="120"/>
      </w:pPr>
      <w:r>
        <w:t xml:space="preserve">1. Detect — Incident identified via automated alert, worker report, supervisor observation, or audit.</w:t>
      </w:r>
    </w:p>
    <w:p>
      <w:pPr>
        <w:spacing w:after="120"/>
      </w:pPr>
      <w:r>
        <w:t xml:space="preserve">2. Triage — Site Supervisor or AI Governance Lead assigns severity per Section 2 within the target response time.</w:t>
      </w:r>
    </w:p>
    <w:p>
      <w:pPr>
        <w:spacing w:after="120"/>
      </w:pPr>
      <w:r>
        <w:t xml:space="preserve">3. Contain — Immediate action to prevent further harm: increase manual oversight, pause automated alerting in the affected zone, or halt any pending adverse action tied to the flag.</w:t>
      </w:r>
    </w:p>
    <w:p>
      <w:pPr>
        <w:spacing w:after="120"/>
      </w:pPr>
      <w:r>
        <w:t xml:space="preserve">4. Assess — AI Governance Lead investigates root cause: model failure, process failure (human review skipped), data quality issue, or environmental factor (lighting, camera fault).</w:t>
      </w:r>
    </w:p>
    <w:p>
      <w:pPr>
        <w:spacing w:after="120"/>
      </w:pPr>
      <w:r>
        <w:t xml:space="preserve">5. Communicate — Affected worker(s) notified per the Worker AI Notice and Appeal Procedure; leadership briefed per severity; regulatory notification assessed with Legal if applicable.</w:t>
      </w:r>
    </w:p>
    <w:p>
      <w:pPr>
        <w:spacing w:after="120"/>
      </w:pPr>
      <w:r>
        <w:t xml:space="preserve">6. Remediate — Fix applied: model retraining/tuning, process correction, or system rollback per Section 5 criteria.</w:t>
      </w:r>
    </w:p>
    <w:p>
      <w:pPr>
        <w:spacing w:after="120"/>
      </w:pPr>
      <w:r>
        <w:t xml:space="preserve">7. Review — Post-incident review completed within 10 business days; findings logged in the AI Risk Register / POA&amp;M with an owner and due date.</w:t>
      </w:r>
    </w:p>
    <w:p>
      <w:pPr>
        <w:pStyle w:val="Heading1"/>
        <w:spacing w:after="150" w:before="300"/>
      </w:pPr>
      <w:r>
        <w:t xml:space="preserve">5. Rollback Decision Criteria and Authority</w:t>
      </w:r>
    </w:p>
    <w:p>
      <w:pPr>
        <w:spacing w:after="160"/>
      </w:pPr>
      <w:r>
        <w:t xml:space="preserve">Rollback (pausing automated detection/alerting, in whole or for a specific zone/capability, in favor of manual process) is triggered automatically under the conditions below, or may be initiated at any time by joint EHS Director / AI Governance Lead judgment.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c>
          <w:tcPr>
            <w:tcW w:type="dxa" w:w="36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61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 SEV-1 incident occurs</w:t>
            </w:r>
          </w:p>
        </w:tc>
        <w:tc>
          <w:tcPr>
            <w:tcW w:type="dxa" w:w="6100"/>
          </w:tcPr>
          <w:p>
            <w:r>
              <w:rPr>
                <w:sz w:val="18"/>
                <w:szCs w:val="18"/>
              </w:rPr>
              <w:t xml:space="preserve">Immediate pause of the affected zone/capability pending investigation; joint EHS Director + AI Governance Lead sign-off required to resume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False-negative rate exceeds validated baseline by a defined margin</w:t>
            </w:r>
          </w:p>
        </w:tc>
        <w:tc>
          <w:tcPr>
            <w:tcW w:type="dxa" w:w="6100"/>
          </w:tcPr>
          <w:p>
            <w:r>
              <w:rPr>
                <w:sz w:val="18"/>
                <w:szCs w:val="18"/>
              </w:rPr>
              <w:t xml:space="preserve">AI Governance Lead initiates review within 24 hours; may recommend pause of automated alerting in favor of manual monitoring in affected zone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Vendor issues a model update with unreviewed behavior change</w:t>
            </w:r>
          </w:p>
        </w:tc>
        <w:tc>
          <w:tcPr>
            <w:tcW w:type="dxa" w:w="6100"/>
          </w:tcPr>
          <w:p>
            <w:r>
              <w:rPr>
                <w:sz w:val="18"/>
                <w:szCs w:val="18"/>
              </w:rPr>
              <w:t xml:space="preserve">Update held in staging; not deployed to production until AI Governance Lead completes a change review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Two or more SEV-2 incidents within 30 days</w:t>
            </w:r>
          </w:p>
        </w:tc>
        <w:tc>
          <w:tcPr>
            <w:tcW w:type="dxa" w:w="6100"/>
          </w:tcPr>
          <w:p>
            <w:r>
              <w:rPr>
                <w:sz w:val="18"/>
                <w:szCs w:val="18"/>
              </w:rPr>
              <w:t xml:space="preserve">Mandatory system-wide review; EHS Director and AI Governance Lead jointly decide whether to continue, pause, or roll back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Rollback Procedure</w:t>
      </w:r>
    </w:p>
    <w:p>
      <w:pPr>
        <w:spacing w:after="120"/>
      </w:pPr>
      <w:r>
        <w:t xml:space="preserve">1. IT Security disables automated alerting for the affected scope while preserving logging for investigation.</w:t>
      </w:r>
    </w:p>
    <w:p>
      <w:pPr>
        <w:spacing w:after="120"/>
      </w:pPr>
      <w:r>
        <w:t xml:space="preserve">2. Site Supervisor implements manual oversight coverage for the affected zone until automated detection resumes.</w:t>
      </w:r>
    </w:p>
    <w:p>
      <w:pPr>
        <w:spacing w:after="120"/>
      </w:pPr>
      <w:r>
        <w:t xml:space="preserve">3. AI Governance Lead documents the rollback scope, reason, and expected resumption criteria in the AI Risk Register.</w:t>
      </w:r>
    </w:p>
    <w:p>
      <w:pPr>
        <w:spacing w:after="120"/>
      </w:pPr>
      <w:r>
        <w:t xml:space="preserve">4. Resumption requires: root cause identified, fix validated, and joint EHS Director / AI Governance Lead sign-off.</w:t>
      </w:r>
    </w:p>
    <w:p>
      <w:pPr>
        <w:pStyle w:val="Heading1"/>
        <w:spacing w:after="150" w:before="300"/>
      </w:pPr>
      <w:r>
        <w:t xml:space="preserve">7. Post-Incident Review Template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happened, and how was it detected?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was the root cause (model, process, data, or environmental)?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Was the human-in-the-loop requirement followed? If not, why?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corrective action, who owns it, and what is the due date?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this incident change the system's risk rating in the AI Impact Assessment or AI Risk Register?</w:t>
      </w:r>
    </w:p>
    <w:p>
      <w:pPr>
        <w:pStyle w:val="Heading1"/>
        <w:spacing w:after="150" w:before="300"/>
      </w:pPr>
      <w:r>
        <w:t xml:space="preserve">8. Incident Log</w:t>
      </w:r>
    </w:p>
    <w:p>
      <w:pPr>
        <w:spacing w:after="160"/>
      </w:pPr>
      <w:r>
        <w:t xml:space="preserve">Maintain a running log of all SEV-1 and SEV-2 incidents. SEV-3/4 may be aggregated and reviewed quarterly.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100"/>
        <w:gridCol w:w="2100"/>
        <w:gridCol w:w="1500"/>
        <w:gridCol w:w="1500"/>
      </w:tblGrid>
      <w:tr>
        <w:tc>
          <w:tcPr>
            <w:tcW w:type="dxa" w:w="13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 ID</w:t>
            </w:r>
          </w:p>
        </w:tc>
        <w:tc>
          <w:tcPr>
            <w:tcW w:type="dxa" w:w="21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[Insert]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2026-08-08T20:02:59.505Z</dcterms:created>
  <dcterms:modified xsi:type="dcterms:W3CDTF">2026-08-08T20:02:59.506Z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