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NIST AI RMF GAP ASSESSMENT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AI-Powered Site Safety Camera System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>Framework: NIST AI Risk Management Framework (AI RMF 1.0)  |  Assessment Date: 8/8/2026  |  Prepared by: David Amoako-Attah, AI Governance Analyst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60"/>
      </w:pPr>
      <w:r>
        <w:t>This assessment evaluates the site safety camera AI system against the four core functions of the NIST AI Risk Management Framework: Govern, Map, Measure, and Manage. Scoring uses a 1-5 scale (1 = not addressed, 5 = fully mature and documented). The most significant gap identified is in the MEASURE function: available portfolio evidence does not demonstrate that the system's detection accuracy has been validated across real-world lighting conditions, PPE variation, or worker demographics specific to this site, despite the system directly informing safety interventions. This is the priority recommendation of this assessment.</w:t>
      </w:r>
    </w:p>
    <w:p>
      <w:pPr>
        <w:pStyle w:val="Heading1"/>
        <w:spacing w:after="150" w:before="300"/>
      </w:pPr>
      <w:r>
        <w:t xml:space="preserve">GOVERN</w:t>
      </w:r>
    </w:p>
    <w:p>
      <w:pPr>
        <w:spacing w:after="160"/>
      </w:pPr>
      <w:r>
        <w:t xml:space="preserve">Assesses whether organizational structures, policies, and accountability exist for the System.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50"/>
        <w:gridCol w:w="2050"/>
        <w:gridCol w:w="2050"/>
        <w:gridCol w:w="2610"/>
      </w:tblGrid>
      <w:tr>
        <w:tc>
          <w:tcPr>
            <w:tcW w:type="dxa" w:w="8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 (1-5)</w:t>
            </w:r>
          </w:p>
        </w:tc>
        <w:tc>
          <w:tcPr>
            <w:tcW w:type="dxa" w:w="18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/ Area</w:t>
            </w:r>
          </w:p>
        </w:tc>
        <w:tc>
          <w:tcPr>
            <w:tcW w:type="dxa" w:w="20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0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61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Is there a designated risk owner for this system?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Ownership is informally split between EHS and IT; no single accountable role documented.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No formal RACI or named accountable executive for AI-specific risk decisions.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Name an accountable owner (recommend EHS Safety Director) and document in the AI System Register.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Is there a documented AI use policy?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General IT acceptable use policy exists but does not address AI-specific risks.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No AI-specific acceptable use policy prior to this project.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Adopt the attached Acceptable Use Policy; route through Legal and EHS for formal sign-off.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Is there a process to review new AI deployments before go-live?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New camera zones are added via standard IT change management, without AI-specific risk review.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AI risk review is not a required gate in the deployment process.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Add an AI risk-tiering checkpoint to the existing change management workflow.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MAP</w:t>
      </w:r>
    </w:p>
    <w:p>
      <w:pPr>
        <w:spacing w:after="160"/>
      </w:pPr>
      <w:r>
        <w:t xml:space="preserve">Assesses whether the system's context, use case, and potential impacts are documented and understood.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50"/>
        <w:gridCol w:w="2050"/>
        <w:gridCol w:w="2050"/>
        <w:gridCol w:w="2610"/>
      </w:tblGrid>
      <w:tr>
        <w:tc>
          <w:tcPr>
            <w:tcW w:type="dxa" w:w="8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 (1-5)</w:t>
            </w:r>
          </w:p>
        </w:tc>
        <w:tc>
          <w:tcPr>
            <w:tcW w:type="dxa" w:w="18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/ Area</w:t>
            </w:r>
          </w:p>
        </w:tc>
        <w:tc>
          <w:tcPr>
            <w:tcW w:type="dxa" w:w="20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0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61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Is the system's purpose and scope documented?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Vendor documentation describes detection capabilities at a high level.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No internal document defines what the system is authorized to be used for versus vendor capability.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Use the AI System Register entry as the authoritative scope document; review with vendor for capability drift.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Are consequences of false positives/negatives documented?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Anecdotal awareness among site supervisors; not formally recorded.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No documented impact analysis distinguishing 'alert fatigue from false positives' vs. 'missed real hazard from false negatives.'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Conduct a formal impact analysis; false negatives (missed hazards) should be weighted more heavily than false positives given safety stakes.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Are downstream/adjacent risks mapped (e.g., data reuse, worker perception)?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Not formally assessed.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No documentation of worker trust/morale impact or risk of function creep (safety tool used for other purposes).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Include worker feedback channel in policy rollout; conduct a brief function-creep risk review annually.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MEASURE</w:t>
      </w:r>
    </w:p>
    <w:p>
      <w:pPr>
        <w:spacing w:after="160"/>
      </w:pPr>
      <w:r>
        <w:t xml:space="preserve">Assesses whether the system's performance, accuracy, and fairness are tested and tracked over time.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50"/>
        <w:gridCol w:w="2050"/>
        <w:gridCol w:w="2050"/>
        <w:gridCol w:w="2610"/>
      </w:tblGrid>
      <w:tr>
        <w:tc>
          <w:tcPr>
            <w:tcW w:type="dxa" w:w="8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 (1-5)</w:t>
            </w:r>
          </w:p>
        </w:tc>
        <w:tc>
          <w:tcPr>
            <w:tcW w:type="dxa" w:w="18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/ Area</w:t>
            </w:r>
          </w:p>
        </w:tc>
        <w:tc>
          <w:tcPr>
            <w:tcW w:type="dxa" w:w="20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0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61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Is detection accuracy tested across lighting/weather conditions?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>Portfolio assumption: vendor benchmarks may exist; obtain and verify vendor test evidence.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No site-specific validation across the actual range of lighting, weather, and camera placement conditions on this site.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Commission a site-specific accuracy validation study across representative conditions before relying on the system as a primary control.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Is detection accuracy tested across worker demographics and PPE variation?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>No testing evidence available in this portfolio scenario.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Unknown whether detection accuracy is consistent across skin tone, body type, or non-standard/site-specific PPE.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This is the highest-priority gap. Commission fairness/accuracy testing across demographic and PPE variation; document results and remediation plan.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Is model performance monitored on an ongoing basis post-deployment?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>Portfolio assumption: vendor updates may occur; independent internal performance tracking evidence is not yet documented.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No internal dashboard or metric tracking false positive/negative rates over time.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Establish a quarterly performance review using logged alerts vs. confirmed incidents.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MANAGE</w:t>
      </w:r>
    </w:p>
    <w:p>
      <w:pPr>
        <w:spacing w:after="160"/>
      </w:pPr>
      <w:r>
        <w:t xml:space="preserve">Assesses whether there is a defined process to respond when the system fails or causes harm.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50"/>
        <w:gridCol w:w="2050"/>
        <w:gridCol w:w="2050"/>
        <w:gridCol w:w="2610"/>
      </w:tblGrid>
      <w:tr>
        <w:tc>
          <w:tcPr>
            <w:tcW w:type="dxa" w:w="8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 (1-5)</w:t>
            </w:r>
          </w:p>
        </w:tc>
        <w:tc>
          <w:tcPr>
            <w:tcW w:type="dxa" w:w="18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/ Area</w:t>
            </w:r>
          </w:p>
        </w:tc>
        <w:tc>
          <w:tcPr>
            <w:tcW w:type="dxa" w:w="20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05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61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Is there an incident response plan for AI system failure?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Standard EHS incident investigation process exists but does not specifically address 'AI missed a hazard' as a root-cause category.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No defined protocol for when the AI system fails to catch a real hazard that leads to injury.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Add an 'AI system contribution' root-cause category to incident investigation templates; define escalation path to AI Governance Lead.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Is there a process to disable or roll back the system if it is found unsafe?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Technically possible via IT, but no documented trigger criteria or decision authority.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No pre-defined threshold for when a system should be paused pending investigation.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Document rollback criteria and named decision authority (recommend joint EHS/AI Governance sign-off).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50"/>
          </w:tcPr>
          <w:p>
            <w:r>
              <w:rPr>
                <w:sz w:val="18"/>
                <w:szCs w:val="18"/>
              </w:rPr>
              <w:t xml:space="preserve">Is accountability clear when AI-assisted decisions are later found wrong?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Human-in-the-loop requirement in the new policy assigns final accountability to the human reviewer.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Minor - policy is new and untested in practice.</w:t>
            </w:r>
          </w:p>
        </w:tc>
        <w:tc>
          <w:tcPr>
            <w:tcW w:type="dxa" w:w="2610"/>
          </w:tcPr>
          <w:p>
            <w:r>
              <w:rPr>
                <w:sz w:val="18"/>
                <w:szCs w:val="18"/>
              </w:rPr>
              <w:t xml:space="preserve">Monitor first 90 days of policy rollout and adjust based on real incidents.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Priority Recommendations (Ranked)</w:t>
      </w:r>
    </w:p>
    <w:p>
      <w:pPr>
        <w:spacing w:after="160"/>
      </w:pPr>
      <w:r>
        <w:t xml:space="preserve">1. Commission site-specific accuracy and fairness testing across lighting, PPE, and demographic variation before treating the system as a primary safety control (MEASURE).</w:t>
      </w:r>
    </w:p>
    <w:p>
      <w:pPr>
        <w:spacing w:after="160"/>
      </w:pPr>
      <w:r>
        <w:t xml:space="preserve">2. Formally name an accountable system owner and adopt the Acceptable Use Policy (GOVERN).</w:t>
      </w:r>
    </w:p>
    <w:p>
      <w:pPr>
        <w:spacing w:after="160"/>
      </w:pPr>
      <w:r>
        <w:t xml:space="preserve">3. Add an AI-specific root-cause category and escalation path to incident investigation procedures (MANAGE).</w:t>
      </w:r>
    </w:p>
    <w:p>
      <w:pPr>
        <w:spacing w:after="160"/>
      </w:pPr>
      <w:r>
        <w:t xml:space="preserve">4. Document consequences of false positives vs. false negatives to guide future tuning decisions (MAP).</w:t>
      </w:r>
    </w:p>
    <w:p>
      <w:r>
        <w:rPr>
          <w:i/>
          <w:sz w:val="16"/>
        </w:rPr>
        <w:t>Portfolio note: Prepared by David Amoako-Attah, AI Governance Analyst, 8/8/2026. This document is a governance portfolio scenario. Current-state claims and placeholders must be validated with system owners, Legal/EHS, technical teams, and vendor evidence before operational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2026-08-08T18:39:32.708Z</dcterms:created>
  <dcterms:modified xsi:type="dcterms:W3CDTF">2026-08-08T18:39:32.708Z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