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WORKER AI NOTICE AND APPEAL PROCEDURE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AI-Powered Site Safety Camera System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>Document Owner: EHS Safety Director  |  Version 1.0  |  Effective Date: 8/8/2026</w:t>
      </w:r>
    </w:p>
    <w:p>
      <w:pPr>
        <w:pStyle w:val="Heading1"/>
        <w:spacing w:after="140" w:before="280"/>
      </w:pPr>
      <w:r>
        <w:t xml:space="preserve">1. Purpose</w:t>
      </w:r>
    </w:p>
    <w:p>
      <w:r>
        <w:t>Portfolio Prepared by: David Amoako-Attah, AI Governance Analyst | Portfolio Date: 8/8/2026</w:t>
      </w:r>
    </w:p>
    <w:p>
      <w:pPr>
        <w:spacing w:after="150"/>
      </w:pPr>
      <w:r>
        <w:t xml:space="preserve">This document explains, in plain language, what the site safety camera AI system does, what it means for you as a worker, and how to request review or appeal a finding you believe is wrong. It works alongside the Acceptable Use Policy, which governs how the organization uses the system.</w:t>
      </w:r>
    </w:p>
    <w:p>
      <w:pPr>
        <w:pStyle w:val="Heading1"/>
        <w:spacing w:after="140" w:before="280"/>
      </w:pPr>
      <w:r>
        <w:t xml:space="preserve">2. What You're Being Told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Cameras in your work zone use AI software to detect PPE compliance, restricted-zone entry, falls, and proximity to moving equipment — for safety purposes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does not currently identify you by name or face — it detects objects and situations (e.g., "person without hard hat"), not individuals.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disciplinary action will be taken based on an AI alert alone. A supervisor must review the footage and confirm the finding first.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Footage and alert data are retained only as long as needed for safety review and are not used for general productivity monitoring or performance evaluation.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Signage is posted at the entrance to every monitored zone, and this notice is provided during onboarding and upon any material change to the system.</w:t>
      </w:r>
    </w:p>
    <w:p>
      <w:pPr>
        <w:pStyle w:val="Heading1"/>
        <w:spacing w:after="140" w:before="280"/>
      </w:pPr>
      <w:r>
        <w:t xml:space="preserve">3. Your Right to Request Human Review</w:t>
      </w:r>
    </w:p>
    <w:p>
      <w:pPr>
        <w:spacing w:after="150"/>
      </w:pPr>
      <w:r>
        <w:t xml:space="preserve">If you are informed of an AI-flagged safety finding, you may always ask your supervisor to review the underlying footage with you before any further action is taken. This is a standing right, not something you need to formally request in writing.</w:t>
      </w:r>
    </w:p>
    <w:p>
      <w:pPr>
        <w:pStyle w:val="Heading1"/>
        <w:spacing w:after="140" w:before="280"/>
      </w:pPr>
      <w:r>
        <w:t xml:space="preserve">4. How to File a Formal Appeal</w:t>
      </w:r>
    </w:p>
    <w:p>
      <w:pPr>
        <w:spacing w:after="150"/>
      </w:pPr>
      <w:r>
        <w:t xml:space="preserve">If you believe an AI-flagged finding that led to a disciplinary or corrective action was incorrect, you may file a formal appeal using the steps below.</w:t>
      </w:r>
    </w:p>
    <w:p>
      <w:pPr>
        <w:spacing w:after="110"/>
      </w:pPr>
      <w:r>
        <w:t xml:space="preserve">1. Submit a written or verbal appeal to your supervisor or the EHS Safety Director within 10 business days of the action.</w:t>
      </w:r>
    </w:p>
    <w:p>
      <w:pPr>
        <w:spacing w:after="110"/>
      </w:pPr>
      <w:r>
        <w:t xml:space="preserve">2. State what you believe was incorrect about the finding (e.g., "I was wearing required PPE; the system misclassified my equipment").</w:t>
      </w:r>
    </w:p>
    <w:p>
      <w:pPr>
        <w:spacing w:after="110"/>
      </w:pPr>
      <w:r>
        <w:t xml:space="preserve">3. The EHS Safety Director will review the original footage, the AI alert, and any supporting information you provide, and involve the AI Governance Lead if a system performance issue is suspected.</w:t>
      </w:r>
    </w:p>
    <w:p>
      <w:pPr>
        <w:spacing w:after="110"/>
      </w:pPr>
      <w:r>
        <w:t xml:space="preserve">4. You will receive a written response within 10 business days of filing, including the outcome and, if applicable, next steps.</w:t>
      </w:r>
    </w:p>
    <w:p>
      <w:pPr>
        <w:spacing w:after="110"/>
      </w:pPr>
      <w:r>
        <w:t xml:space="preserve">5. If you disagree with the outcome, you may escalate to [Insert: HR / Employee Relations / Union Representative per site process].</w:t>
      </w:r>
    </w:p>
    <w:p>
      <w:pPr>
        <w:pStyle w:val="Heading1"/>
        <w:spacing w:after="140" w:before="280"/>
      </w:pPr>
      <w:r>
        <w:t xml:space="preserve">5. Non-Retaliation</w:t>
      </w:r>
    </w:p>
    <w:p>
      <w:pPr>
        <w:spacing w:after="150"/>
      </w:pPr>
      <w:r>
        <w:t xml:space="preserve">Filing an appeal or requesting human review will not result in retaliation. Concerns about retaliation related to an appeal should be raised immediately with HR or the EHS Safety Director.</w:t>
      </w:r>
    </w:p>
    <w:p>
      <w:pPr>
        <w:pStyle w:val="Heading1"/>
        <w:spacing w:after="140" w:before="280"/>
      </w:pPr>
      <w:r>
        <w:t xml:space="preserve">6. Questions and Contacts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 questions: AI Governance Lead — [Insert contact]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Safety/appeal questions: EHS Safety Director — [Insert contact]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 relations: [Insert contact / union representative if applicable]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2026-08-08T20:07:26.370Z</dcterms:created>
  <dcterms:modified xsi:type="dcterms:W3CDTF">2026-08-08T20:07:26.380Z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