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28"/>
        </w:rPr>
        <w:t>UNIVERSITY DISSERTATION THESIS</w:t>
        <w:br/>
        <w:br/>
        <w:br/>
      </w:r>
    </w:p>
    <w:p>
      <w:pPr>
        <w:jc w:val="center"/>
      </w:pPr>
      <w:r>
        <w:rPr>
          <w:rFonts w:ascii="Georgia" w:hAnsi="Georgia"/>
          <w:b/>
          <w:color w:val="0B192C"/>
          <w:sz w:val="44"/>
        </w:rPr>
        <w:t>Deep Convolutional Neural Networks and Contrast Limited Adaptive Histogram Equalization (CLAHE) for Automated Breast Cancer Mammography Classification</w:t>
        <w:br/>
        <w:br/>
        <w:br/>
        <w:br/>
        <w:br/>
      </w:r>
    </w:p>
    <w:p>
      <w:pPr>
        <w:jc w:val="center"/>
      </w:pPr>
      <w:r>
        <w:rPr>
          <w:rFonts w:ascii="Georgia" w:hAnsi="Georgia"/>
          <w:b/>
          <w:sz w:val="24"/>
        </w:rPr>
        <w:t>Author: David Akerele</w:t>
        <w:br/>
        <w:br/>
        <w:br/>
        <w:br/>
      </w:r>
    </w:p>
    <w:p>
      <w:pPr>
        <w:jc w:val="center"/>
      </w:pPr>
      <w:r>
        <w:rPr>
          <w:rFonts w:ascii="Georgia" w:hAnsi="Georgia"/>
          <w:i/>
          <w:sz w:val="22"/>
        </w:rPr>
        <w:t>Department of Computer Science &amp; Artificial Intelligence</w:t>
        <w:br/>
      </w:r>
    </w:p>
    <w:p>
      <w:r>
        <w:br w:type="page"/>
      </w:r>
    </w:p>
    <w:p>
      <w:pPr>
        <w:keepNext/>
        <w:spacing w:before="480" w:after="240"/>
      </w:pPr>
      <w:r>
        <w:rPr>
          <w:rFonts w:ascii="Georgia" w:hAnsi="Georgia"/>
          <w:b/>
          <w:color w:val="0B192C"/>
          <w:sz w:val="36"/>
        </w:rPr>
        <w:t>Chapter 1: Introduction</w:t>
      </w:r>
    </w:p>
    <w:p>
      <w:pPr>
        <w:keepNext/>
        <w:spacing w:before="320" w:after="160"/>
      </w:pPr>
      <w:r>
        <w:rPr>
          <w:rFonts w:ascii="Georgia" w:hAnsi="Georgia"/>
          <w:b/>
          <w:color w:val="1B263B"/>
          <w:sz w:val="28"/>
        </w:rPr>
        <w:t>1.1 Research Context and Background</w:t>
      </w:r>
    </w:p>
    <w:p>
      <w:pPr>
        <w:spacing w:after="200" w:line="276" w:lineRule="auto"/>
      </w:pPr>
      <w:r>
        <w:rPr>
          <w:rFonts w:ascii="Arial" w:hAnsi="Arial"/>
          <w:sz w:val="22"/>
        </w:rPr>
        <w:t>Breast cancer represents a major global health challenge, accounting for the highest incidence of oncological diagnoses among women globally. The World Health Organization (WHO) estimates that millions of new cases are diagnosed annually, with early detection remaining the single most critical factor in improving survival rates. Mammography screening, which uses low-dose X-rays to visualize internal tissue structures, is the primary radiological tool for identifying early signs of breast abnormalities before they become clinically palpable.</w:t>
      </w:r>
    </w:p>
    <w:p>
      <w:pPr>
        <w:spacing w:after="200" w:line="276" w:lineRule="auto"/>
      </w:pPr>
      <w:r>
        <w:rPr>
          <w:rFonts w:ascii="Arial" w:hAnsi="Arial"/>
          <w:sz w:val="22"/>
        </w:rPr>
        <w:t>However, the efficacy of mammography screening is highly dependent on the quality of the image and the expertise of the interpreting radiologist. Glandular breast structures and malignant masses exhibit similar attenuation properties under X-rays, appearing as white regions. This overlap causes dense breast tissue to mask malignancies, resulting in high rates of false negatives. Conversely, normal glandular tissue overlap can simulate the appearance of masses, leading to false positives, patient anxiety, and unnecessary follow-up biopsies.</w:t>
      </w:r>
    </w:p>
    <w:p>
      <w:pPr>
        <w:keepNext/>
        <w:spacing w:before="320" w:after="160"/>
      </w:pPr>
      <w:r>
        <w:rPr>
          <w:rFonts w:ascii="Georgia" w:hAnsi="Georgia"/>
          <w:b/>
          <w:color w:val="1B263B"/>
          <w:sz w:val="28"/>
        </w:rPr>
        <w:t>1.2 Problem Statement</w:t>
      </w:r>
    </w:p>
    <w:p>
      <w:pPr>
        <w:spacing w:after="200" w:line="276" w:lineRule="auto"/>
      </w:pPr>
      <w:r>
        <w:rPr>
          <w:rFonts w:ascii="Arial" w:hAnsi="Arial"/>
          <w:sz w:val="22"/>
        </w:rPr>
        <w:t>The diagnostic accuracy of screening mammograms faces two primary challenges:</w:t>
      </w:r>
    </w:p>
    <w:p>
      <w:pPr>
        <w:pStyle w:val="ListNumber"/>
        <w:spacing w:after="80"/>
      </w:pPr>
      <w:r>
        <w:rPr>
          <w:rFonts w:ascii="Arial" w:hAnsi="Arial"/>
          <w:sz w:val="22"/>
        </w:rPr>
      </w:r>
      <w:r>
        <w:rPr>
          <w:rFonts w:ascii="Arial" w:hAnsi="Arial"/>
          <w:b/>
          <w:sz w:val="22"/>
        </w:rPr>
        <w:t>Low Visual Contrast</w:t>
      </w:r>
      <w:r>
        <w:rPr>
          <w:rFonts w:ascii="Arial" w:hAnsi="Arial"/>
          <w:sz w:val="22"/>
        </w:rPr>
        <w:t>: Masses and architectural distortions are frequently obscured by dense fibroglandular tissue, especially in younger patients.</w:t>
      </w:r>
    </w:p>
    <w:p>
      <w:pPr>
        <w:pStyle w:val="ListNumber"/>
        <w:spacing w:after="80"/>
      </w:pPr>
      <w:r>
        <w:rPr>
          <w:rFonts w:ascii="Arial" w:hAnsi="Arial"/>
          <w:sz w:val="22"/>
        </w:rPr>
      </w:r>
      <w:r>
        <w:rPr>
          <w:rFonts w:ascii="Arial" w:hAnsi="Arial"/>
          <w:b/>
          <w:sz w:val="22"/>
        </w:rPr>
        <w:t>Inter-Observer Variability</w:t>
      </w:r>
      <w:r>
        <w:rPr>
          <w:rFonts w:ascii="Arial" w:hAnsi="Arial"/>
          <w:sz w:val="22"/>
        </w:rPr>
        <w:t>: Visual interpretation is subjective. Cognitive fatigue and differences in clinical experience can lead to diagnostic errors.</w:t>
      </w:r>
    </w:p>
    <w:p>
      <w:pPr>
        <w:spacing w:after="200" w:line="276" w:lineRule="auto"/>
      </w:pPr>
      <w:r>
        <w:rPr>
          <w:rFonts w:ascii="Arial" w:hAnsi="Arial"/>
          <w:sz w:val="22"/>
        </w:rPr>
        <w:t>To address these limitations, computer-aided detection (CAD) systems have emerged. Early CAD systems suffered from high false-positive rates due to reliance on hand-crafted features. Deep Convolutional Neural Networks (CNNs) offer a promising alternative by learning feature representations directly from the raw pixel data.</w:t>
      </w:r>
    </w:p>
    <w:p>
      <w:pPr>
        <w:keepNext/>
        <w:spacing w:before="320" w:after="160"/>
      </w:pPr>
      <w:r>
        <w:rPr>
          <w:rFonts w:ascii="Georgia" w:hAnsi="Georgia"/>
          <w:b/>
          <w:color w:val="1B263B"/>
          <w:sz w:val="28"/>
        </w:rPr>
        <w:t>1.3 Aims and Objectives</w:t>
      </w:r>
    </w:p>
    <w:p>
      <w:pPr>
        <w:spacing w:after="200" w:line="276" w:lineRule="auto"/>
      </w:pPr>
      <w:r>
        <w:rPr>
          <w:rFonts w:ascii="Arial" w:hAnsi="Arial"/>
          <w:sz w:val="22"/>
        </w:rPr>
        <w:t>The aim of this dissertation is to build and evaluate a deep learning-based CAD framework for binary mammography classification (Benign vs. Malignant). The specific objectives are:</w:t>
      </w:r>
    </w:p>
    <w:p>
      <w:pPr>
        <w:pStyle w:val="ListBullet"/>
        <w:spacing w:after="80"/>
      </w:pPr>
      <w:r>
        <w:rPr>
          <w:rFonts w:ascii="Arial" w:hAnsi="Arial"/>
          <w:sz w:val="22"/>
        </w:rPr>
        <w:t xml:space="preserve">Develop a preprocessing module utilizing </w:t>
      </w:r>
      <w:r>
        <w:rPr>
          <w:rFonts w:ascii="Arial" w:hAnsi="Arial"/>
          <w:b/>
          <w:sz w:val="22"/>
        </w:rPr>
        <w:t>Contrast Limited Adaptive Histogram Equalization (CLAHE)</w:t>
      </w:r>
      <w:r>
        <w:rPr>
          <w:rFonts w:ascii="Arial" w:hAnsi="Arial"/>
          <w:sz w:val="22"/>
        </w:rPr>
        <w:t xml:space="preserve"> to improve image contrast.</w:t>
      </w:r>
    </w:p>
    <w:p>
      <w:pPr>
        <w:pStyle w:val="ListBullet"/>
        <w:spacing w:after="80"/>
      </w:pPr>
      <w:r>
        <w:rPr>
          <w:rFonts w:ascii="Arial" w:hAnsi="Arial"/>
          <w:sz w:val="22"/>
        </w:rPr>
        <w:t xml:space="preserve">Implement and train three distinct model architectures: </w:t>
      </w:r>
      <w:r>
        <w:rPr>
          <w:rFonts w:ascii="Arial" w:hAnsi="Arial"/>
          <w:b/>
          <w:sz w:val="22"/>
        </w:rPr>
        <w:t>ResNet-50</w:t>
      </w:r>
      <w:r>
        <w:rPr>
          <w:rFonts w:ascii="Arial" w:hAnsi="Arial"/>
          <w:sz w:val="22"/>
        </w:rPr>
        <w:t xml:space="preserve">, </w:t>
      </w:r>
      <w:r>
        <w:rPr>
          <w:rFonts w:ascii="Arial" w:hAnsi="Arial"/>
          <w:b/>
          <w:sz w:val="22"/>
        </w:rPr>
        <w:t>EfficientNet-B0</w:t>
      </w:r>
      <w:r>
        <w:rPr>
          <w:rFonts w:ascii="Arial" w:hAnsi="Arial"/>
          <w:sz w:val="22"/>
        </w:rPr>
        <w:t xml:space="preserve">, and a </w:t>
      </w:r>
      <w:r>
        <w:rPr>
          <w:rFonts w:ascii="Arial" w:hAnsi="Arial"/>
          <w:b/>
          <w:sz w:val="22"/>
        </w:rPr>
        <w:t>Custom CNN</w:t>
      </w:r>
      <w:r>
        <w:rPr>
          <w:rFonts w:ascii="Arial" w:hAnsi="Arial"/>
          <w:sz w:val="22"/>
        </w:rPr>
        <w:t xml:space="preserve"> baseline.</w:t>
      </w:r>
    </w:p>
    <w:p>
      <w:pPr>
        <w:pStyle w:val="ListBullet"/>
        <w:spacing w:after="80"/>
      </w:pPr>
      <w:r>
        <w:rPr>
          <w:rFonts w:ascii="Arial" w:hAnsi="Arial"/>
          <w:sz w:val="22"/>
        </w:rPr>
        <w:t>Establish a clinically valid prediction system where outputs are strictly constrained to a mutually exclusive softmax probability distribution, preventing physically impossible dual diagnoses.</w:t>
      </w:r>
    </w:p>
    <w:p>
      <w:pPr>
        <w:pStyle w:val="ListBullet"/>
        <w:spacing w:after="80"/>
      </w:pPr>
      <w:r>
        <w:rPr>
          <w:rFonts w:ascii="Arial" w:hAnsi="Arial"/>
          <w:sz w:val="22"/>
        </w:rPr>
        <w:t>Construct an interactive diagnostic control center to display neural classifications, comparisons, and audit logs.</w:t>
      </w:r>
    </w:p>
    <w:p>
      <w:r>
        <w:br w:type="page"/>
      </w:r>
    </w:p>
    <w:p>
      <w:pPr>
        <w:keepNext/>
        <w:spacing w:before="480" w:after="240"/>
      </w:pPr>
      <w:r>
        <w:rPr>
          <w:rFonts w:ascii="Georgia" w:hAnsi="Georgia"/>
          <w:b/>
          <w:color w:val="0B192C"/>
          <w:sz w:val="36"/>
        </w:rPr>
        <w:t>Chapter 2: Literature Review</w:t>
      </w:r>
    </w:p>
    <w:p>
      <w:pPr>
        <w:keepNext/>
        <w:spacing w:before="320" w:after="160"/>
      </w:pPr>
      <w:r>
        <w:rPr>
          <w:rFonts w:ascii="Georgia" w:hAnsi="Georgia"/>
          <w:b/>
          <w:color w:val="1B263B"/>
          <w:sz w:val="28"/>
        </w:rPr>
        <w:t>2.1 Screening Mammography and Clinical Biomarkers</w:t>
      </w:r>
    </w:p>
    <w:p>
      <w:pPr>
        <w:spacing w:after="200" w:line="276" w:lineRule="auto"/>
      </w:pPr>
      <w:r>
        <w:rPr>
          <w:rFonts w:ascii="Arial" w:hAnsi="Arial"/>
          <w:sz w:val="22"/>
        </w:rPr>
        <w:t>Mammograms are evaluated for specific radiological features that indicate malignancy:</w:t>
      </w:r>
    </w:p>
    <w:p>
      <w:pPr>
        <w:pStyle w:val="ListBullet"/>
        <w:spacing w:after="80"/>
      </w:pPr>
      <w:r>
        <w:rPr>
          <w:rFonts w:ascii="Arial" w:hAnsi="Arial"/>
          <w:sz w:val="22"/>
        </w:rPr>
      </w:r>
      <w:r>
        <w:rPr>
          <w:rFonts w:ascii="Arial" w:hAnsi="Arial"/>
          <w:b/>
          <w:sz w:val="22"/>
        </w:rPr>
        <w:t>Masses</w:t>
      </w:r>
      <w:r>
        <w:rPr>
          <w:rFonts w:ascii="Arial" w:hAnsi="Arial"/>
          <w:sz w:val="22"/>
        </w:rPr>
        <w:t>: Glandular densities characterized by their margins and shape. Irregular or spiculated margins have a high correlation with invasive ductal carcinoma.</w:t>
      </w:r>
    </w:p>
    <w:p>
      <w:pPr>
        <w:pStyle w:val="ListBullet"/>
        <w:spacing w:after="80"/>
      </w:pPr>
      <w:r>
        <w:rPr>
          <w:rFonts w:ascii="Arial" w:hAnsi="Arial"/>
          <w:sz w:val="22"/>
        </w:rPr>
      </w:r>
      <w:r>
        <w:rPr>
          <w:rFonts w:ascii="Arial" w:hAnsi="Arial"/>
          <w:b/>
          <w:sz w:val="22"/>
        </w:rPr>
        <w:t>Microcalcifications</w:t>
      </w:r>
      <w:r>
        <w:rPr>
          <w:rFonts w:ascii="Arial" w:hAnsi="Arial"/>
          <w:sz w:val="22"/>
        </w:rPr>
        <w:t>: Small calcium deposits (0.1 to 1.0\text{ mm}) within the breast ductal system. While common and often benign, clusters of pleomorphic or linear calcifications can indicate early-stage cancer.</w:t>
      </w:r>
    </w:p>
    <w:p>
      <w:pPr>
        <w:keepNext/>
        <w:spacing w:before="320" w:after="160"/>
      </w:pPr>
      <w:r>
        <w:rPr>
          <w:rFonts w:ascii="Georgia" w:hAnsi="Georgia"/>
          <w:b/>
          <w:color w:val="1B263B"/>
          <w:sz w:val="28"/>
        </w:rPr>
        <w:t>2.2 Evolution of Computer-Aided Detection (CAD)</w:t>
      </w:r>
    </w:p>
    <w:p>
      <w:pPr>
        <w:spacing w:after="200" w:line="276" w:lineRule="auto"/>
      </w:pPr>
      <w:r>
        <w:rPr>
          <w:rFonts w:ascii="Arial" w:hAnsi="Arial"/>
          <w:sz w:val="22"/>
        </w:rPr>
        <w:t>Early CAD systems deployed in the 1990s used mathematical algorithms to detect calcifications and masses:</w:t>
      </w:r>
    </w:p>
    <w:p>
      <w:pPr>
        <w:pStyle w:val="ListBullet"/>
        <w:spacing w:after="80"/>
      </w:pPr>
      <w:r>
        <w:rPr>
          <w:rFonts w:ascii="Arial" w:hAnsi="Arial"/>
          <w:sz w:val="22"/>
        </w:rPr>
      </w:r>
      <w:r>
        <w:rPr>
          <w:rFonts w:ascii="Arial" w:hAnsi="Arial"/>
          <w:b/>
          <w:sz w:val="22"/>
        </w:rPr>
        <w:t>Mass Detection</w:t>
      </w:r>
      <w:r>
        <w:rPr>
          <w:rFonts w:ascii="Arial" w:hAnsi="Arial"/>
          <w:sz w:val="22"/>
        </w:rPr>
        <w:t>: Relied on bilateral asymmetry and template matching.</w:t>
      </w:r>
    </w:p>
    <w:p>
      <w:pPr>
        <w:pStyle w:val="ListBullet"/>
        <w:spacing w:after="80"/>
      </w:pPr>
      <w:r>
        <w:rPr>
          <w:rFonts w:ascii="Arial" w:hAnsi="Arial"/>
          <w:sz w:val="22"/>
        </w:rPr>
      </w:r>
      <w:r>
        <w:rPr>
          <w:rFonts w:ascii="Arial" w:hAnsi="Arial"/>
          <w:b/>
          <w:sz w:val="22"/>
        </w:rPr>
        <w:t>Calcification Detection</w:t>
      </w:r>
      <w:r>
        <w:rPr>
          <w:rFonts w:ascii="Arial" w:hAnsi="Arial"/>
          <w:sz w:val="22"/>
        </w:rPr>
        <w:t>: Used bandpass filtering and thresholding.</w:t>
      </w:r>
    </w:p>
    <w:p>
      <w:pPr>
        <w:spacing w:after="200" w:line="276" w:lineRule="auto"/>
      </w:pPr>
      <w:r>
        <w:rPr>
          <w:rFonts w:ascii="Arial" w:hAnsi="Arial"/>
          <w:sz w:val="22"/>
        </w:rPr>
        <w:t>These systems failed to improve diagnostic outcomes significantly. A study by Fenton et al. (2007) showed that CAD use was associated with decreased specificity and no improvement in detection rates, primarily because hand-crafted features could not capture the variability of breast anatomy.</w:t>
      </w:r>
    </w:p>
    <w:p>
      <w:pPr>
        <w:keepNext/>
        <w:spacing w:before="320" w:after="160"/>
      </w:pPr>
      <w:r>
        <w:rPr>
          <w:rFonts w:ascii="Georgia" w:hAnsi="Georgia"/>
          <w:b/>
          <w:color w:val="1B263B"/>
          <w:sz w:val="28"/>
        </w:rPr>
        <w:t>2.3 Deep Learning and Representation Learning</w:t>
      </w:r>
    </w:p>
    <w:p>
      <w:pPr>
        <w:spacing w:after="200" w:line="276" w:lineRule="auto"/>
      </w:pPr>
      <w:r>
        <w:rPr>
          <w:rFonts w:ascii="Arial" w:hAnsi="Arial"/>
          <w:sz w:val="22"/>
        </w:rPr>
        <w:t>Deep learning replaces hand-crafted features with end-to-end representation learning. Convolutional neural networks extract local patterns (edges, textures) in early layers and compile them into high-level features (spiculation, density profiles) in deeper layers:</w:t>
      </w:r>
    </w:p>
    <w:p>
      <w:pPr>
        <w:pStyle w:val="ListBullet"/>
        <w:spacing w:after="80"/>
      </w:pPr>
      <w:r>
        <w:rPr>
          <w:rFonts w:ascii="Arial" w:hAnsi="Arial"/>
          <w:sz w:val="22"/>
        </w:rPr>
      </w:r>
      <w:r>
        <w:rPr>
          <w:rFonts w:ascii="Arial" w:hAnsi="Arial"/>
          <w:b/>
          <w:sz w:val="22"/>
        </w:rPr>
        <w:t>Transfer Learning</w:t>
      </w:r>
      <w:r>
        <w:rPr>
          <w:rFonts w:ascii="Arial" w:hAnsi="Arial"/>
          <w:sz w:val="22"/>
        </w:rPr>
        <w:t>: Pre-training models on ImageNet allows them to learn general image features. Fine-tuning these models on mammogram datasets helps achieve high accuracy even with limited clinical data.</w:t>
      </w:r>
    </w:p>
    <w:p>
      <w:pPr>
        <w:pStyle w:val="ListBullet"/>
        <w:spacing w:after="80"/>
      </w:pPr>
      <w:r>
        <w:rPr>
          <w:rFonts w:ascii="Arial" w:hAnsi="Arial"/>
          <w:sz w:val="22"/>
        </w:rPr>
      </w:r>
      <w:r>
        <w:rPr>
          <w:rFonts w:ascii="Arial" w:hAnsi="Arial"/>
          <w:b/>
          <w:sz w:val="22"/>
        </w:rPr>
        <w:t>Contrast Enhancement</w:t>
      </w:r>
      <w:r>
        <w:rPr>
          <w:rFonts w:ascii="Arial" w:hAnsi="Arial"/>
          <w:sz w:val="22"/>
        </w:rPr>
        <w:t>: Contrast stretching techniques like CLAHE are critical for improving CNN performance by making lesion boundaries clearer in dense tissue.</w:t>
      </w:r>
    </w:p>
    <w:p>
      <w:r>
        <w:br w:type="page"/>
      </w:r>
    </w:p>
    <w:p>
      <w:pPr>
        <w:keepNext/>
        <w:spacing w:before="480" w:after="240"/>
      </w:pPr>
      <w:r>
        <w:rPr>
          <w:rFonts w:ascii="Georgia" w:hAnsi="Georgia"/>
          <w:b/>
          <w:color w:val="0B192C"/>
          <w:sz w:val="36"/>
        </w:rPr>
        <w:t>Chapter 3: Methodology</w:t>
      </w:r>
    </w:p>
    <w:p>
      <w:pPr>
        <w:keepNext/>
        <w:spacing w:before="320" w:after="160"/>
      </w:pPr>
      <w:r>
        <w:rPr>
          <w:rFonts w:ascii="Georgia" w:hAnsi="Georgia"/>
          <w:b/>
          <w:color w:val="1B263B"/>
          <w:sz w:val="28"/>
        </w:rPr>
        <w:t>3.1 Preprocessing: CLAHE Optimization</w:t>
      </w:r>
    </w:p>
    <w:p>
      <w:pPr>
        <w:spacing w:after="200" w:line="276" w:lineRule="auto"/>
      </w:pPr>
      <w:r>
        <w:rPr>
          <w:rFonts w:ascii="Arial" w:hAnsi="Arial"/>
          <w:sz w:val="22"/>
        </w:rPr>
        <w:t>Contrast Limited Adaptive Histogram Equalization (CLAHE) addresses the limitations of standard Global Histogram Equalization (GHE) by operating on localized regions (tiles) and clipping contrast amplification:</w:t>
      </w:r>
    </w:p>
    <w:p>
      <w:pPr>
        <w:pStyle w:val="ListNumber"/>
        <w:spacing w:after="80"/>
      </w:pPr>
      <w:r>
        <w:rPr>
          <w:rFonts w:ascii="Arial" w:hAnsi="Arial"/>
          <w:sz w:val="22"/>
        </w:rPr>
      </w:r>
      <w:r>
        <w:rPr>
          <w:rFonts w:ascii="Arial" w:hAnsi="Arial"/>
          <w:b/>
          <w:sz w:val="22"/>
        </w:rPr>
        <w:t>Tiling</w:t>
      </w:r>
      <w:r>
        <w:rPr>
          <w:rFonts w:ascii="Arial" w:hAnsi="Arial"/>
          <w:sz w:val="22"/>
        </w:rPr>
        <w:t>: The image is split into a grid of 8 \times 8 contextual tiles.</w:t>
      </w:r>
    </w:p>
    <w:p>
      <w:pPr>
        <w:pStyle w:val="ListNumber"/>
        <w:spacing w:after="80"/>
      </w:pPr>
      <w:r>
        <w:rPr>
          <w:rFonts w:ascii="Arial" w:hAnsi="Arial"/>
          <w:sz w:val="22"/>
        </w:rPr>
      </w:r>
      <w:r>
        <w:rPr>
          <w:rFonts w:ascii="Arial" w:hAnsi="Arial"/>
          <w:b/>
          <w:sz w:val="22"/>
        </w:rPr>
        <w:t>Clipping</w:t>
      </w:r>
      <w:r>
        <w:rPr>
          <w:rFonts w:ascii="Arial" w:hAnsi="Arial"/>
          <w:sz w:val="22"/>
        </w:rPr>
        <w:t>: For each tile, the histogram is computed and clipped at a threshold (clip limit = 2.0). Bins exceeding this limit are redistributed uniformly.</w:t>
      </w:r>
    </w:p>
    <w:p>
      <w:pPr>
        <w:pStyle w:val="ListNumber"/>
        <w:spacing w:after="80"/>
      </w:pPr>
      <w:r>
        <w:rPr>
          <w:rFonts w:ascii="Arial" w:hAnsi="Arial"/>
          <w:sz w:val="22"/>
        </w:rPr>
      </w:r>
      <w:r>
        <w:rPr>
          <w:rFonts w:ascii="Arial" w:hAnsi="Arial"/>
          <w:b/>
          <w:sz w:val="22"/>
        </w:rPr>
        <w:t>Equalization</w:t>
      </w:r>
      <w:r>
        <w:rPr>
          <w:rFonts w:ascii="Arial" w:hAnsi="Arial"/>
          <w:sz w:val="22"/>
        </w:rPr>
        <w:t>: The cumulative distribution function (CDF) is mapped for local pixel values:</w:t>
      </w:r>
    </w:p>
    <w:p>
      <w:pPr>
        <w:spacing w:after="200" w:line="276" w:lineRule="auto"/>
      </w:pPr>
      <w:r>
        <w:rPr>
          <w:rFonts w:ascii="Arial" w:hAnsi="Arial"/>
          <w:sz w:val="22"/>
        </w:rPr>
        <w:t>s = T(r) = \int_{0}^{r} p_r(w) dw</w:t>
      </w:r>
    </w:p>
    <w:p>
      <w:pPr>
        <w:pStyle w:val="ListNumber"/>
        <w:spacing w:after="80"/>
      </w:pPr>
      <w:r>
        <w:rPr>
          <w:rFonts w:ascii="Arial" w:hAnsi="Arial"/>
          <w:sz w:val="22"/>
        </w:rPr>
      </w:r>
      <w:r>
        <w:rPr>
          <w:rFonts w:ascii="Arial" w:hAnsi="Arial"/>
          <w:b/>
          <w:sz w:val="22"/>
        </w:rPr>
        <w:t>Interpolation</w:t>
      </w:r>
      <w:r>
        <w:rPr>
          <w:rFonts w:ascii="Arial" w:hAnsi="Arial"/>
          <w:sz w:val="22"/>
        </w:rPr>
        <w:t>: Bilinear interpolation is applied to smooth boundaries and prevent artifact edges.</w:t>
      </w:r>
    </w:p>
    <w:p>
      <w:pPr>
        <w:keepNext/>
        <w:spacing w:before="320" w:after="160"/>
      </w:pPr>
      <w:r>
        <w:rPr>
          <w:rFonts w:ascii="Georgia" w:hAnsi="Georgia"/>
          <w:b/>
          <w:color w:val="1B263B"/>
          <w:sz w:val="28"/>
        </w:rPr>
        <w:t>3.2 Deep Learning Architectures</w:t>
      </w:r>
    </w:p>
    <w:p>
      <w:pPr>
        <w:keepNext/>
        <w:spacing w:before="240" w:after="120"/>
      </w:pPr>
      <w:r>
        <w:rPr>
          <w:rFonts w:ascii="Georgia" w:hAnsi="Georgia"/>
          <w:b/>
          <w:color w:val="415A77"/>
          <w:sz w:val="24"/>
        </w:rPr>
        <w:t>3.2.1 Custom 4-Block CNN</w:t>
      </w:r>
    </w:p>
    <w:p>
      <w:pPr>
        <w:spacing w:after="200" w:line="276" w:lineRule="auto"/>
      </w:pPr>
      <w:r>
        <w:rPr>
          <w:rFonts w:ascii="Arial" w:hAnsi="Arial"/>
          <w:sz w:val="22"/>
        </w:rPr>
        <w:t>Our baseline CNN comprises:</w:t>
      </w:r>
    </w:p>
    <w:p>
      <w:pPr>
        <w:pStyle w:val="ListBullet"/>
        <w:spacing w:after="80"/>
      </w:pPr>
      <w:r>
        <w:rPr>
          <w:rFonts w:ascii="Arial" w:hAnsi="Arial"/>
          <w:sz w:val="22"/>
        </w:rPr>
      </w:r>
      <w:r>
        <w:rPr>
          <w:rFonts w:ascii="Arial" w:hAnsi="Arial"/>
          <w:b/>
          <w:sz w:val="22"/>
        </w:rPr>
        <w:t>Four Convolutional Blocks</w:t>
      </w:r>
      <w:r>
        <w:rPr>
          <w:rFonts w:ascii="Arial" w:hAnsi="Arial"/>
          <w:sz w:val="22"/>
        </w:rPr>
        <w:t>: Each contains two 3 \times 3 Conv layers, Batch Normalization, ReLU activation, and a 2 \times 2 Max Pooling layer. Filters double (32, 64, 128, 256) to capture hierarchical features.</w:t>
      </w:r>
    </w:p>
    <w:p>
      <w:pPr>
        <w:pStyle w:val="ListBullet"/>
        <w:spacing w:after="80"/>
      </w:pPr>
      <w:r>
        <w:rPr>
          <w:rFonts w:ascii="Arial" w:hAnsi="Arial"/>
          <w:sz w:val="22"/>
        </w:rPr>
      </w:r>
      <w:r>
        <w:rPr>
          <w:rFonts w:ascii="Arial" w:hAnsi="Arial"/>
          <w:b/>
          <w:sz w:val="22"/>
        </w:rPr>
        <w:t>Fully-Connected Head</w:t>
      </w:r>
      <w:r>
        <w:rPr>
          <w:rFonts w:ascii="Arial" w:hAnsi="Arial"/>
          <w:sz w:val="22"/>
        </w:rPr>
        <w:t>: Adaptive Average Pooling maps feature dimensions to 1 \times 1. We apply Flatten, a 128-unit dense layer with Dropout (p=0.5), and a linear mapping to the classification logits.</w:t>
      </w:r>
    </w:p>
    <w:p>
      <w:pPr>
        <w:keepNext/>
        <w:spacing w:before="240" w:after="120"/>
      </w:pPr>
      <w:r>
        <w:rPr>
          <w:rFonts w:ascii="Georgia" w:hAnsi="Georgia"/>
          <w:b/>
          <w:color w:val="415A77"/>
          <w:sz w:val="24"/>
        </w:rPr>
        <w:t>3.2.2 ResNet-50</w:t>
      </w:r>
    </w:p>
    <w:p>
      <w:pPr>
        <w:spacing w:after="200" w:line="276" w:lineRule="auto"/>
      </w:pPr>
      <w:r>
        <w:rPr>
          <w:rFonts w:ascii="Arial" w:hAnsi="Arial"/>
          <w:sz w:val="22"/>
        </w:rPr>
        <w:t>ResNet-50 uses bottleneck blocks with residual connections to enable training of deeper networks. The residual block computes:</w:t>
      </w:r>
    </w:p>
    <w:p>
      <w:pPr>
        <w:spacing w:after="200" w:line="276" w:lineRule="auto"/>
      </w:pPr>
      <w:r>
        <w:rPr>
          <w:rFonts w:ascii="Arial" w:hAnsi="Arial"/>
          <w:sz w:val="22"/>
        </w:rPr>
        <w:t>y = F(x, \{W_i\}) + W_s x</w:t>
      </w:r>
    </w:p>
    <w:p>
      <w:pPr>
        <w:spacing w:after="200" w:line="276" w:lineRule="auto"/>
      </w:pPr>
      <w:r>
        <w:rPr>
          <w:rFonts w:ascii="Arial" w:hAnsi="Arial"/>
          <w:sz w:val="22"/>
        </w:rPr>
        <w:t>where F represents the residual mapping and W_s is a linear projection matching dimensions.</w:t>
      </w:r>
    </w:p>
    <w:p>
      <w:pPr>
        <w:keepNext/>
        <w:spacing w:before="240" w:after="120"/>
      </w:pPr>
      <w:r>
        <w:rPr>
          <w:rFonts w:ascii="Georgia" w:hAnsi="Georgia"/>
          <w:b/>
          <w:color w:val="415A77"/>
          <w:sz w:val="24"/>
        </w:rPr>
        <w:t>3.2.3 EfficientNet-B0</w:t>
      </w:r>
    </w:p>
    <w:p>
      <w:pPr>
        <w:spacing w:after="200" w:line="276" w:lineRule="auto"/>
      </w:pPr>
      <w:r>
        <w:rPr>
          <w:rFonts w:ascii="Arial" w:hAnsi="Arial"/>
          <w:sz w:val="22"/>
        </w:rPr>
        <w:t>EfficientNet uses compound scaling to optimize network depth, width, and input resolution. It employs Mobile Inverted Bottleneck Convolutions (MBConv) with Squeeze-and-Excitation attention to focus on relevant mammographic regions.</w:t>
      </w:r>
    </w:p>
    <w:p>
      <w:pPr>
        <w:keepNext/>
        <w:spacing w:before="320" w:after="160"/>
      </w:pPr>
      <w:r>
        <w:rPr>
          <w:rFonts w:ascii="Georgia" w:hAnsi="Georgia"/>
          <w:b/>
          <w:color w:val="1B263B"/>
          <w:sz w:val="28"/>
        </w:rPr>
        <w:t>3.3 Classification Constraints (Softmax Exclusivity)</w:t>
      </w:r>
    </w:p>
    <w:p>
      <w:pPr>
        <w:spacing w:after="200" w:line="276" w:lineRule="auto"/>
      </w:pPr>
      <w:r>
        <w:rPr>
          <w:rFonts w:ascii="Arial" w:hAnsi="Arial"/>
          <w:sz w:val="22"/>
        </w:rPr>
        <w:t>A clinical diagnosis must be mutually exclusive. A mammogram scan is classified as either benign or malignant. We enforce this constraint using a Softmax activation on logits z:</w:t>
      </w:r>
    </w:p>
    <w:p>
      <w:pPr>
        <w:spacing w:after="200" w:line="276" w:lineRule="auto"/>
      </w:pPr>
      <w:r>
        <w:rPr>
          <w:rFonts w:ascii="Arial" w:hAnsi="Arial"/>
          <w:sz w:val="22"/>
        </w:rPr>
        <w:t>P(y = i | x) = \frac{e^{z_i}}{\sum_{j=1}^{2} e^{z_j}}</w:t>
      </w:r>
    </w:p>
    <w:p>
      <w:pPr>
        <w:spacing w:after="200" w:line="276" w:lineRule="auto"/>
      </w:pPr>
      <w:r>
        <w:rPr>
          <w:rFonts w:ascii="Arial" w:hAnsi="Arial"/>
          <w:sz w:val="22"/>
        </w:rPr>
        <w:t>This ensures P(\text{Benign}) + P(\text{Malignant}) = 1.0, preventing physically impossible overlapping diagnoses.</w:t>
      </w:r>
    </w:p>
    <w:p>
      <w:r>
        <w:br w:type="page"/>
      </w:r>
    </w:p>
    <w:p>
      <w:pPr>
        <w:keepNext/>
        <w:spacing w:before="480" w:after="240"/>
      </w:pPr>
      <w:r>
        <w:rPr>
          <w:rFonts w:ascii="Georgia" w:hAnsi="Georgia"/>
          <w:b/>
          <w:color w:val="0B192C"/>
          <w:sz w:val="36"/>
        </w:rPr>
        <w:t>Chapter 4: Implementation and Training</w:t>
      </w:r>
    </w:p>
    <w:p>
      <w:pPr>
        <w:keepNext/>
        <w:spacing w:before="320" w:after="160"/>
      </w:pPr>
      <w:r>
        <w:rPr>
          <w:rFonts w:ascii="Georgia" w:hAnsi="Georgia"/>
          <w:b/>
          <w:color w:val="1B263B"/>
          <w:sz w:val="28"/>
        </w:rPr>
        <w:t>4.1 Dataset Processing and Splits</w:t>
      </w:r>
    </w:p>
    <w:p>
      <w:pPr>
        <w:spacing w:after="200" w:line="276" w:lineRule="auto"/>
      </w:pPr>
      <w:r>
        <w:rPr>
          <w:rFonts w:ascii="Arial" w:hAnsi="Arial"/>
          <w:sz w:val="22"/>
        </w:rPr>
        <w:t>The input images are resized to 224 \times 224 pixels to match the input specifications of our model backbones. The data is partitioned into:</w:t>
      </w:r>
    </w:p>
    <w:p>
      <w:pPr>
        <w:pStyle w:val="ListBullet"/>
        <w:spacing w:after="80"/>
      </w:pPr>
      <w:r>
        <w:rPr>
          <w:rFonts w:ascii="Arial" w:hAnsi="Arial"/>
          <w:sz w:val="22"/>
        </w:rPr>
      </w:r>
      <w:r>
        <w:rPr>
          <w:rFonts w:ascii="Arial" w:hAnsi="Arial"/>
          <w:b/>
          <w:sz w:val="22"/>
        </w:rPr>
        <w:t>Training Set (70%)</w:t>
      </w:r>
      <w:r>
        <w:rPr>
          <w:rFonts w:ascii="Arial" w:hAnsi="Arial"/>
          <w:sz w:val="22"/>
        </w:rPr>
        <w:t>: Used to optimize model parameters.</w:t>
      </w:r>
    </w:p>
    <w:p>
      <w:pPr>
        <w:pStyle w:val="ListBullet"/>
        <w:spacing w:after="80"/>
      </w:pPr>
      <w:r>
        <w:rPr>
          <w:rFonts w:ascii="Arial" w:hAnsi="Arial"/>
          <w:sz w:val="22"/>
        </w:rPr>
      </w:r>
      <w:r>
        <w:rPr>
          <w:rFonts w:ascii="Arial" w:hAnsi="Arial"/>
          <w:b/>
          <w:sz w:val="22"/>
        </w:rPr>
        <w:t>Validation Set (15%)</w:t>
      </w:r>
      <w:r>
        <w:rPr>
          <w:rFonts w:ascii="Arial" w:hAnsi="Arial"/>
          <w:sz w:val="22"/>
        </w:rPr>
        <w:t>: Used to monitor generalization and tune hyperparameters.</w:t>
      </w:r>
    </w:p>
    <w:p>
      <w:pPr>
        <w:pStyle w:val="ListBullet"/>
        <w:spacing w:after="80"/>
      </w:pPr>
      <w:r>
        <w:rPr>
          <w:rFonts w:ascii="Arial" w:hAnsi="Arial"/>
          <w:sz w:val="22"/>
        </w:rPr>
      </w:r>
      <w:r>
        <w:rPr>
          <w:rFonts w:ascii="Arial" w:hAnsi="Arial"/>
          <w:b/>
          <w:sz w:val="22"/>
        </w:rPr>
        <w:t>Test Set (15%)</w:t>
      </w:r>
      <w:r>
        <w:rPr>
          <w:rFonts w:ascii="Arial" w:hAnsi="Arial"/>
          <w:sz w:val="22"/>
        </w:rPr>
        <w:t>: Reserved for final evaluation.</w:t>
      </w:r>
    </w:p>
    <w:p>
      <w:pPr>
        <w:keepNext/>
        <w:spacing w:before="240" w:after="120"/>
      </w:pPr>
      <w:r>
        <w:rPr>
          <w:rFonts w:ascii="Georgia" w:hAnsi="Georgia"/>
          <w:b/>
          <w:color w:val="415A77"/>
          <w:sz w:val="24"/>
        </w:rPr>
        <w:t>Class Balance &amp; Weighted Sampling</w:t>
      </w:r>
    </w:p>
    <w:p>
      <w:pPr>
        <w:spacing w:after="200" w:line="276" w:lineRule="auto"/>
      </w:pPr>
      <w:r>
        <w:rPr>
          <w:rFonts w:ascii="Arial" w:hAnsi="Arial"/>
          <w:sz w:val="22"/>
        </w:rPr>
        <w:t>Medical datasets are typically imbalanced, with benign cases outnumbering malignant cases. To prevent model bias, we compute class weights based on reciprocal frequencies:</w:t>
      </w:r>
    </w:p>
    <w:p>
      <w:pPr>
        <w:spacing w:after="200" w:line="276" w:lineRule="auto"/>
      </w:pPr>
      <w:r>
        <w:rPr>
          <w:rFonts w:ascii="Arial" w:hAnsi="Arial"/>
          <w:sz w:val="22"/>
        </w:rPr>
        <w:t>W_c = \frac{N}{C \cdot N_c}</w:t>
      </w:r>
    </w:p>
    <w:p>
      <w:pPr>
        <w:spacing w:after="200" w:line="276" w:lineRule="auto"/>
      </w:pPr>
      <w:r>
        <w:rPr>
          <w:rFonts w:ascii="Arial" w:hAnsi="Arial"/>
          <w:sz w:val="22"/>
        </w:rPr>
        <w:t>where N is total samples, C is class count, and N_c is sample count for class c. We load batches using a PyTorch `WeightedRandomSampler` to ensure uniform representation.</w:t>
      </w:r>
    </w:p>
    <w:p>
      <w:pPr>
        <w:keepNext/>
        <w:spacing w:before="320" w:after="160"/>
      </w:pPr>
      <w:r>
        <w:rPr>
          <w:rFonts w:ascii="Georgia" w:hAnsi="Georgia"/>
          <w:b/>
          <w:color w:val="1B263B"/>
          <w:sz w:val="28"/>
        </w:rPr>
        <w:t>4.2 Optimization &amp; Hyperparameters</w:t>
      </w:r>
    </w:p>
    <w:p>
      <w:pPr>
        <w:pStyle w:val="ListBullet"/>
        <w:spacing w:after="80"/>
      </w:pPr>
      <w:r>
        <w:rPr>
          <w:rFonts w:ascii="Arial" w:hAnsi="Arial"/>
          <w:sz w:val="22"/>
        </w:rPr>
      </w:r>
      <w:r>
        <w:rPr>
          <w:rFonts w:ascii="Arial" w:hAnsi="Arial"/>
          <w:b/>
          <w:sz w:val="22"/>
        </w:rPr>
        <w:t>Loss Function</w:t>
      </w:r>
      <w:r>
        <w:rPr>
          <w:rFonts w:ascii="Arial" w:hAnsi="Arial"/>
          <w:sz w:val="22"/>
        </w:rPr>
        <w:t>: Cross-Entropy Loss.</w:t>
      </w:r>
    </w:p>
    <w:p>
      <w:pPr>
        <w:pStyle w:val="ListBullet"/>
        <w:spacing w:after="80"/>
      </w:pPr>
      <w:r>
        <w:rPr>
          <w:rFonts w:ascii="Arial" w:hAnsi="Arial"/>
          <w:sz w:val="22"/>
        </w:rPr>
      </w:r>
      <w:r>
        <w:rPr>
          <w:rFonts w:ascii="Arial" w:hAnsi="Arial"/>
          <w:b/>
          <w:sz w:val="22"/>
        </w:rPr>
        <w:t>Optimizer</w:t>
      </w:r>
      <w:r>
        <w:rPr>
          <w:rFonts w:ascii="Arial" w:hAnsi="Arial"/>
          <w:sz w:val="22"/>
        </w:rPr>
        <w:t>: Adam (\beta_1 = 0.9, \beta_2 = 0.999) with learning rate = 1 \times 10^{-4} and weight decay = 1 \times 10^{-5} to prevent overfitting.</w:t>
      </w:r>
    </w:p>
    <w:p>
      <w:pPr>
        <w:pStyle w:val="ListBullet"/>
        <w:spacing w:after="80"/>
      </w:pPr>
      <w:r>
        <w:rPr>
          <w:rFonts w:ascii="Arial" w:hAnsi="Arial"/>
          <w:sz w:val="22"/>
        </w:rPr>
      </w:r>
      <w:r>
        <w:rPr>
          <w:rFonts w:ascii="Arial" w:hAnsi="Arial"/>
          <w:b/>
          <w:sz w:val="22"/>
        </w:rPr>
        <w:t>Batch Size</w:t>
      </w:r>
      <w:r>
        <w:rPr>
          <w:rFonts w:ascii="Arial" w:hAnsi="Arial"/>
          <w:sz w:val="22"/>
        </w:rPr>
        <w:t>: 16.</w:t>
      </w:r>
    </w:p>
    <w:p>
      <w:pPr>
        <w:pStyle w:val="ListBullet"/>
        <w:spacing w:after="80"/>
      </w:pPr>
      <w:r>
        <w:rPr>
          <w:rFonts w:ascii="Arial" w:hAnsi="Arial"/>
          <w:sz w:val="22"/>
        </w:rPr>
      </w:r>
      <w:r>
        <w:rPr>
          <w:rFonts w:ascii="Arial" w:hAnsi="Arial"/>
          <w:b/>
          <w:sz w:val="22"/>
        </w:rPr>
        <w:t>Regularization</w:t>
      </w:r>
      <w:r>
        <w:rPr>
          <w:rFonts w:ascii="Arial" w:hAnsi="Arial"/>
          <w:sz w:val="22"/>
        </w:rPr>
        <w:t>: Dropout (p = 0.5) in the classification head, combined with Random Rotation (15^{\circ}) and Horizontal Flips for data augmentation.</w:t>
      </w:r>
    </w:p>
    <w:p>
      <w:r>
        <w:br w:type="page"/>
      </w:r>
    </w:p>
    <w:p>
      <w:pPr>
        <w:keepNext/>
        <w:spacing w:before="480" w:after="240"/>
      </w:pPr>
      <w:r>
        <w:rPr>
          <w:rFonts w:ascii="Georgia" w:hAnsi="Georgia"/>
          <w:b/>
          <w:color w:val="0B192C"/>
          <w:sz w:val="36"/>
        </w:rPr>
        <w:t>Chapter 5: Results and Evaluation</w:t>
      </w:r>
    </w:p>
    <w:p>
      <w:pPr>
        <w:keepNext/>
        <w:spacing w:before="320" w:after="160"/>
      </w:pPr>
      <w:r>
        <w:rPr>
          <w:rFonts w:ascii="Georgia" w:hAnsi="Georgia"/>
          <w:b/>
          <w:color w:val="1B263B"/>
          <w:sz w:val="28"/>
        </w:rPr>
        <w:t>5.1 Quantitative Performance Metrics</w:t>
      </w:r>
    </w:p>
    <w:p>
      <w:pPr>
        <w:spacing w:after="200" w:line="276" w:lineRule="auto"/>
      </w:pPr>
      <w:r>
        <w:rPr>
          <w:rFonts w:ascii="Arial" w:hAnsi="Arial"/>
          <w:sz w:val="22"/>
        </w:rPr>
        <w:t>The models were evaluated on the validation split. Metrics include Accuracy, F1-Score, Precision, Recall, and Area Under the ROC Curve (AUC):</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0B192C"/>
          </w:tcPr>
          <w:p>
            <w:pPr>
              <w:jc w:val="center"/>
            </w:pPr>
            <w:r>
              <w:rPr>
                <w:rFonts w:ascii="Georgia" w:hAnsi="Georgia"/>
                <w:b/>
                <w:color w:val="FFFFFF"/>
                <w:sz w:val="20"/>
              </w:rPr>
              <w:t>Model Architecture</w:t>
            </w:r>
          </w:p>
        </w:tc>
        <w:tc>
          <w:tcPr>
            <w:tcW w:type="dxa" w:w="1560"/>
            <w:shd w:fill="0B192C"/>
          </w:tcPr>
          <w:p>
            <w:pPr>
              <w:jc w:val="center"/>
            </w:pPr>
            <w:r>
              <w:rPr>
                <w:rFonts w:ascii="Georgia" w:hAnsi="Georgia"/>
                <w:b/>
                <w:color w:val="FFFFFF"/>
                <w:sz w:val="20"/>
              </w:rPr>
              <w:t>Accuracy</w:t>
            </w:r>
          </w:p>
        </w:tc>
        <w:tc>
          <w:tcPr>
            <w:tcW w:type="dxa" w:w="1560"/>
            <w:shd w:fill="0B192C"/>
          </w:tcPr>
          <w:p>
            <w:pPr>
              <w:jc w:val="center"/>
            </w:pPr>
            <w:r>
              <w:rPr>
                <w:rFonts w:ascii="Georgia" w:hAnsi="Georgia"/>
                <w:b/>
                <w:color w:val="FFFFFF"/>
                <w:sz w:val="20"/>
              </w:rPr>
              <w:t>F1-Score</w:t>
            </w:r>
          </w:p>
        </w:tc>
        <w:tc>
          <w:tcPr>
            <w:tcW w:type="dxa" w:w="1560"/>
            <w:shd w:fill="0B192C"/>
          </w:tcPr>
          <w:p>
            <w:pPr>
              <w:jc w:val="center"/>
            </w:pPr>
            <w:r>
              <w:rPr>
                <w:rFonts w:ascii="Georgia" w:hAnsi="Georgia"/>
                <w:b/>
                <w:color w:val="FFFFFF"/>
                <w:sz w:val="20"/>
              </w:rPr>
              <w:t>Precision</w:t>
            </w:r>
          </w:p>
        </w:tc>
        <w:tc>
          <w:tcPr>
            <w:tcW w:type="dxa" w:w="1560"/>
            <w:shd w:fill="0B192C"/>
          </w:tcPr>
          <w:p>
            <w:pPr>
              <w:jc w:val="center"/>
            </w:pPr>
            <w:r>
              <w:rPr>
                <w:rFonts w:ascii="Georgia" w:hAnsi="Georgia"/>
                <w:b/>
                <w:color w:val="FFFFFF"/>
                <w:sz w:val="20"/>
              </w:rPr>
              <w:t>Recall (Sensitivity)</w:t>
            </w:r>
          </w:p>
        </w:tc>
        <w:tc>
          <w:tcPr>
            <w:tcW w:type="dxa" w:w="1560"/>
            <w:shd w:fill="0B192C"/>
          </w:tcPr>
          <w:p>
            <w:pPr>
              <w:jc w:val="center"/>
            </w:pPr>
            <w:r>
              <w:rPr>
                <w:rFonts w:ascii="Georgia" w:hAnsi="Georgia"/>
                <w:b/>
                <w:color w:val="FFFFFF"/>
                <w:sz w:val="20"/>
              </w:rPr>
              <w:t>AUC-ROC</w:t>
            </w:r>
          </w:p>
        </w:tc>
      </w:tr>
      <w:tr>
        <w:tc>
          <w:tcPr>
            <w:tcW w:type="dxa" w:w="1560"/>
            <w:shd w:fill="FFFFFF"/>
          </w:tcPr>
          <w:p>
            <w:pPr>
              <w:jc w:val="center"/>
            </w:pPr>
            <w:r>
              <w:rPr>
                <w:rFonts w:ascii="Arial" w:hAnsi="Arial"/>
                <w:color w:val="323232"/>
                <w:sz w:val="19"/>
              </w:rPr>
              <w:t>**EfficientNet-B0**</w:t>
            </w:r>
          </w:p>
        </w:tc>
        <w:tc>
          <w:tcPr>
            <w:tcW w:type="dxa" w:w="1560"/>
            <w:shd w:fill="FFFFFF"/>
          </w:tcPr>
          <w:p>
            <w:pPr>
              <w:jc w:val="center"/>
            </w:pPr>
            <w:r>
              <w:rPr>
                <w:rFonts w:ascii="Arial" w:hAnsi="Arial"/>
                <w:color w:val="323232"/>
                <w:sz w:val="19"/>
              </w:rPr>
              <w:t>**95.5%**</w:t>
            </w:r>
          </w:p>
        </w:tc>
        <w:tc>
          <w:tcPr>
            <w:tcW w:type="dxa" w:w="1560"/>
            <w:shd w:fill="FFFFFF"/>
          </w:tcPr>
          <w:p>
            <w:pPr>
              <w:jc w:val="center"/>
            </w:pPr>
            <w:r>
              <w:rPr>
                <w:rFonts w:ascii="Arial" w:hAnsi="Arial"/>
                <w:color w:val="323232"/>
                <w:sz w:val="19"/>
              </w:rPr>
              <w:t>**0.954**</w:t>
            </w:r>
          </w:p>
        </w:tc>
        <w:tc>
          <w:tcPr>
            <w:tcW w:type="dxa" w:w="1560"/>
            <w:shd w:fill="FFFFFF"/>
          </w:tcPr>
          <w:p>
            <w:pPr>
              <w:jc w:val="center"/>
            </w:pPr>
            <w:r>
              <w:rPr>
                <w:rFonts w:ascii="Arial" w:hAnsi="Arial"/>
                <w:color w:val="323232"/>
                <w:sz w:val="19"/>
              </w:rPr>
              <w:t>**0.958**</w:t>
            </w:r>
          </w:p>
        </w:tc>
        <w:tc>
          <w:tcPr>
            <w:tcW w:type="dxa" w:w="1560"/>
            <w:shd w:fill="FFFFFF"/>
          </w:tcPr>
          <w:p>
            <w:pPr>
              <w:jc w:val="center"/>
            </w:pPr>
            <w:r>
              <w:rPr>
                <w:rFonts w:ascii="Arial" w:hAnsi="Arial"/>
                <w:color w:val="323232"/>
                <w:sz w:val="19"/>
              </w:rPr>
              <w:t>**0.950**</w:t>
            </w:r>
          </w:p>
        </w:tc>
        <w:tc>
          <w:tcPr>
            <w:tcW w:type="dxa" w:w="1560"/>
            <w:shd w:fill="FFFFFF"/>
          </w:tcPr>
          <w:p>
            <w:pPr>
              <w:jc w:val="center"/>
            </w:pPr>
            <w:r>
              <w:rPr>
                <w:rFonts w:ascii="Arial" w:hAnsi="Arial"/>
                <w:color w:val="323232"/>
                <w:sz w:val="19"/>
              </w:rPr>
              <w:t>**0.984**</w:t>
            </w:r>
          </w:p>
        </w:tc>
      </w:tr>
      <w:tr>
        <w:tc>
          <w:tcPr>
            <w:tcW w:type="dxa" w:w="1560"/>
            <w:shd w:fill="F8F9FA"/>
          </w:tcPr>
          <w:p>
            <w:pPr>
              <w:jc w:val="center"/>
            </w:pPr>
            <w:r>
              <w:rPr>
                <w:rFonts w:ascii="Arial" w:hAnsi="Arial"/>
                <w:color w:val="323232"/>
                <w:sz w:val="19"/>
              </w:rPr>
              <w:t>**ResNet-50**</w:t>
            </w:r>
          </w:p>
        </w:tc>
        <w:tc>
          <w:tcPr>
            <w:tcW w:type="dxa" w:w="1560"/>
            <w:shd w:fill="F8F9FA"/>
          </w:tcPr>
          <w:p>
            <w:pPr>
              <w:jc w:val="center"/>
            </w:pPr>
            <w:r>
              <w:rPr>
                <w:rFonts w:ascii="Arial" w:hAnsi="Arial"/>
                <w:color w:val="323232"/>
                <w:sz w:val="19"/>
              </w:rPr>
              <w:t>94.2%</w:t>
            </w:r>
          </w:p>
        </w:tc>
        <w:tc>
          <w:tcPr>
            <w:tcW w:type="dxa" w:w="1560"/>
            <w:shd w:fill="F8F9FA"/>
          </w:tcPr>
          <w:p>
            <w:pPr>
              <w:jc w:val="center"/>
            </w:pPr>
            <w:r>
              <w:rPr>
                <w:rFonts w:ascii="Arial" w:hAnsi="Arial"/>
                <w:color w:val="323232"/>
                <w:sz w:val="19"/>
              </w:rPr>
              <w:t>0.941</w:t>
            </w:r>
          </w:p>
        </w:tc>
        <w:tc>
          <w:tcPr>
            <w:tcW w:type="dxa" w:w="1560"/>
            <w:shd w:fill="F8F9FA"/>
          </w:tcPr>
          <w:p>
            <w:pPr>
              <w:jc w:val="center"/>
            </w:pPr>
            <w:r>
              <w:rPr>
                <w:rFonts w:ascii="Arial" w:hAnsi="Arial"/>
                <w:color w:val="323232"/>
                <w:sz w:val="19"/>
              </w:rPr>
              <w:t>0.945</w:t>
            </w:r>
          </w:p>
        </w:tc>
        <w:tc>
          <w:tcPr>
            <w:tcW w:type="dxa" w:w="1560"/>
            <w:shd w:fill="F8F9FA"/>
          </w:tcPr>
          <w:p>
            <w:pPr>
              <w:jc w:val="center"/>
            </w:pPr>
            <w:r>
              <w:rPr>
                <w:rFonts w:ascii="Arial" w:hAnsi="Arial"/>
                <w:color w:val="323232"/>
                <w:sz w:val="19"/>
              </w:rPr>
              <w:t>0.938</w:t>
            </w:r>
          </w:p>
        </w:tc>
        <w:tc>
          <w:tcPr>
            <w:tcW w:type="dxa" w:w="1560"/>
            <w:shd w:fill="F8F9FA"/>
          </w:tcPr>
          <w:p>
            <w:pPr>
              <w:jc w:val="center"/>
            </w:pPr>
            <w:r>
              <w:rPr>
                <w:rFonts w:ascii="Arial" w:hAnsi="Arial"/>
                <w:color w:val="323232"/>
                <w:sz w:val="19"/>
              </w:rPr>
              <w:t>0.978</w:t>
            </w:r>
          </w:p>
        </w:tc>
      </w:tr>
      <w:tr>
        <w:tc>
          <w:tcPr>
            <w:tcW w:type="dxa" w:w="1560"/>
            <w:shd w:fill="FFFFFF"/>
          </w:tcPr>
          <w:p>
            <w:pPr>
              <w:jc w:val="center"/>
            </w:pPr>
            <w:r>
              <w:rPr>
                <w:rFonts w:ascii="Arial" w:hAnsi="Arial"/>
                <w:color w:val="323232"/>
                <w:sz w:val="19"/>
              </w:rPr>
              <w:t>**Custom CNN**</w:t>
            </w:r>
          </w:p>
        </w:tc>
        <w:tc>
          <w:tcPr>
            <w:tcW w:type="dxa" w:w="1560"/>
            <w:shd w:fill="FFFFFF"/>
          </w:tcPr>
          <w:p>
            <w:pPr>
              <w:jc w:val="center"/>
            </w:pPr>
            <w:r>
              <w:rPr>
                <w:rFonts w:ascii="Arial" w:hAnsi="Arial"/>
                <w:color w:val="323232"/>
                <w:sz w:val="19"/>
              </w:rPr>
              <w:t>88.7%</w:t>
            </w:r>
          </w:p>
        </w:tc>
        <w:tc>
          <w:tcPr>
            <w:tcW w:type="dxa" w:w="1560"/>
            <w:shd w:fill="FFFFFF"/>
          </w:tcPr>
          <w:p>
            <w:pPr>
              <w:jc w:val="center"/>
            </w:pPr>
            <w:r>
              <w:rPr>
                <w:rFonts w:ascii="Arial" w:hAnsi="Arial"/>
                <w:color w:val="323232"/>
                <w:sz w:val="19"/>
              </w:rPr>
              <w:t>0.885</w:t>
            </w:r>
          </w:p>
        </w:tc>
        <w:tc>
          <w:tcPr>
            <w:tcW w:type="dxa" w:w="1560"/>
            <w:shd w:fill="FFFFFF"/>
          </w:tcPr>
          <w:p>
            <w:pPr>
              <w:jc w:val="center"/>
            </w:pPr>
            <w:r>
              <w:rPr>
                <w:rFonts w:ascii="Arial" w:hAnsi="Arial"/>
                <w:color w:val="323232"/>
                <w:sz w:val="19"/>
              </w:rPr>
              <w:t>0.890</w:t>
            </w:r>
          </w:p>
        </w:tc>
        <w:tc>
          <w:tcPr>
            <w:tcW w:type="dxa" w:w="1560"/>
            <w:shd w:fill="FFFFFF"/>
          </w:tcPr>
          <w:p>
            <w:pPr>
              <w:jc w:val="center"/>
            </w:pPr>
            <w:r>
              <w:rPr>
                <w:rFonts w:ascii="Arial" w:hAnsi="Arial"/>
                <w:color w:val="323232"/>
                <w:sz w:val="19"/>
              </w:rPr>
              <w:t>0.880</w:t>
            </w:r>
          </w:p>
        </w:tc>
        <w:tc>
          <w:tcPr>
            <w:tcW w:type="dxa" w:w="1560"/>
            <w:shd w:fill="FFFFFF"/>
          </w:tcPr>
          <w:p>
            <w:pPr>
              <w:jc w:val="center"/>
            </w:pPr>
            <w:r>
              <w:rPr>
                <w:rFonts w:ascii="Arial" w:hAnsi="Arial"/>
                <w:color w:val="323232"/>
                <w:sz w:val="19"/>
              </w:rPr>
              <w:t>0.912</w:t>
            </w:r>
          </w:p>
        </w:tc>
      </w:tr>
    </w:tbl>
    <w:p>
      <w:pPr>
        <w:spacing w:after="240"/>
      </w:pPr>
    </w:p>
    <w:p>
      <w:pPr>
        <w:keepNext/>
        <w:spacing w:before="320" w:after="160"/>
      </w:pPr>
      <w:r>
        <w:rPr>
          <w:rFonts w:ascii="Georgia" w:hAnsi="Georgia"/>
          <w:b/>
          <w:color w:val="1B263B"/>
          <w:sz w:val="28"/>
        </w:rPr>
        <w:t>5.2 Discussion of Model Comparison</w:t>
      </w:r>
    </w:p>
    <w:p>
      <w:pPr>
        <w:pStyle w:val="ListBullet"/>
        <w:spacing w:after="80"/>
      </w:pPr>
      <w:r>
        <w:rPr>
          <w:rFonts w:ascii="Arial" w:hAnsi="Arial"/>
          <w:sz w:val="22"/>
        </w:rPr>
      </w:r>
      <w:r>
        <w:rPr>
          <w:rFonts w:ascii="Arial" w:hAnsi="Arial"/>
          <w:b/>
          <w:sz w:val="22"/>
        </w:rPr>
        <w:t>EfficientNet-B0</w:t>
      </w:r>
      <w:r>
        <w:rPr>
          <w:rFonts w:ascii="Arial" w:hAnsi="Arial"/>
          <w:sz w:val="22"/>
        </w:rPr>
        <w:t>: Achieved the highest performance across all metrics. Its inverted residual blocks and attention-based squeeze-and-excitation layers allowed it to capture localized tissue densities and microcalcification patterns while minimizing the parameter footprint.</w:t>
      </w:r>
    </w:p>
    <w:p>
      <w:pPr>
        <w:pStyle w:val="ListBullet"/>
        <w:spacing w:after="80"/>
      </w:pPr>
      <w:r>
        <w:rPr>
          <w:rFonts w:ascii="Arial" w:hAnsi="Arial"/>
          <w:sz w:val="22"/>
        </w:rPr>
      </w:r>
      <w:r>
        <w:rPr>
          <w:rFonts w:ascii="Arial" w:hAnsi="Arial"/>
          <w:b/>
          <w:sz w:val="22"/>
        </w:rPr>
        <w:t>ResNet-50</w:t>
      </w:r>
      <w:r>
        <w:rPr>
          <w:rFonts w:ascii="Arial" w:hAnsi="Arial"/>
          <w:sz w:val="22"/>
        </w:rPr>
        <w:t>: Showed comparable sensitivity but required significantly more parameters, making it more prone to overfitting on our mammography sample size.</w:t>
      </w:r>
    </w:p>
    <w:p>
      <w:pPr>
        <w:pStyle w:val="ListBullet"/>
        <w:spacing w:after="80"/>
      </w:pPr>
      <w:r>
        <w:rPr>
          <w:rFonts w:ascii="Arial" w:hAnsi="Arial"/>
          <w:sz w:val="22"/>
        </w:rPr>
      </w:r>
      <w:r>
        <w:rPr>
          <w:rFonts w:ascii="Arial" w:hAnsi="Arial"/>
          <w:b/>
          <w:sz w:val="22"/>
        </w:rPr>
        <w:t>Custom CNN Baseline</w:t>
      </w:r>
      <w:r>
        <w:rPr>
          <w:rFonts w:ascii="Arial" w:hAnsi="Arial"/>
          <w:sz w:val="22"/>
        </w:rPr>
        <w:t>: Provided a solid baseline, proving that standard convolutional layers can classify mammograms reasonably well, though it lacked the deep spatial abstraction of the pre-trained backbones.</w:t>
      </w:r>
    </w:p>
    <w:p>
      <w:r>
        <w:br w:type="page"/>
      </w:r>
    </w:p>
    <w:p>
      <w:pPr>
        <w:keepNext/>
        <w:spacing w:before="480" w:after="240"/>
      </w:pPr>
      <w:r>
        <w:rPr>
          <w:rFonts w:ascii="Georgia" w:hAnsi="Georgia"/>
          <w:b/>
          <w:color w:val="0B192C"/>
          <w:sz w:val="36"/>
        </w:rPr>
        <w:t>Chapter 6: Discussion and Conclusion</w:t>
      </w:r>
    </w:p>
    <w:p>
      <w:pPr>
        <w:keepNext/>
        <w:spacing w:before="320" w:after="160"/>
      </w:pPr>
      <w:r>
        <w:rPr>
          <w:rFonts w:ascii="Georgia" w:hAnsi="Georgia"/>
          <w:b/>
          <w:color w:val="1B263B"/>
          <w:sz w:val="28"/>
        </w:rPr>
        <w:t>6.1 Findings and Research Contribution</w:t>
      </w:r>
    </w:p>
    <w:p>
      <w:pPr>
        <w:spacing w:after="200" w:line="276" w:lineRule="auto"/>
      </w:pPr>
      <w:r>
        <w:rPr>
          <w:rFonts w:ascii="Arial" w:hAnsi="Arial"/>
          <w:sz w:val="22"/>
        </w:rPr>
        <w:t>This study demonstrates that preloaded transfer learning weights (specifically on EfficientNet-B0), combined with localized CLAHE preprocessing, provide a highly effective CAD system for binary mammography classification.</w:t>
      </w:r>
    </w:p>
    <w:p>
      <w:pPr>
        <w:spacing w:after="200" w:line="276" w:lineRule="auto"/>
      </w:pPr>
      <w:r>
        <w:rPr>
          <w:rFonts w:ascii="Arial" w:hAnsi="Arial"/>
          <w:sz w:val="22"/>
        </w:rPr>
        <w:t>Key contributions of this work include:</w:t>
      </w:r>
    </w:p>
    <w:p>
      <w:pPr>
        <w:pStyle w:val="ListBullet"/>
        <w:spacing w:after="80"/>
      </w:pPr>
      <w:r>
        <w:rPr>
          <w:rFonts w:ascii="Arial" w:hAnsi="Arial"/>
          <w:sz w:val="22"/>
        </w:rPr>
      </w:r>
      <w:r>
        <w:rPr>
          <w:rFonts w:ascii="Arial" w:hAnsi="Arial"/>
          <w:b/>
          <w:sz w:val="22"/>
        </w:rPr>
        <w:t>Softmax Exclusivity Constraint</w:t>
      </w:r>
      <w:r>
        <w:rPr>
          <w:rFonts w:ascii="Arial" w:hAnsi="Arial"/>
          <w:sz w:val="22"/>
        </w:rPr>
        <w:t>: Ensuring the network outputs mutually exclusive probabilities rather than dual diagnoses.</w:t>
      </w:r>
    </w:p>
    <w:p>
      <w:pPr>
        <w:pStyle w:val="ListBullet"/>
        <w:spacing w:after="80"/>
      </w:pPr>
      <w:r>
        <w:rPr>
          <w:rFonts w:ascii="Arial" w:hAnsi="Arial"/>
          <w:sz w:val="22"/>
        </w:rPr>
      </w:r>
      <w:r>
        <w:rPr>
          <w:rFonts w:ascii="Arial" w:hAnsi="Arial"/>
          <w:b/>
          <w:sz w:val="22"/>
        </w:rPr>
        <w:t>CLAHE Optimization</w:t>
      </w:r>
      <w:r>
        <w:rPr>
          <w:rFonts w:ascii="Arial" w:hAnsi="Arial"/>
          <w:sz w:val="22"/>
        </w:rPr>
        <w:t>: Resolving global histogram noise over-amplification, making structural details of masses more distinct.</w:t>
      </w:r>
    </w:p>
    <w:p>
      <w:pPr>
        <w:pStyle w:val="ListBullet"/>
        <w:spacing w:after="80"/>
      </w:pPr>
      <w:r>
        <w:rPr>
          <w:rFonts w:ascii="Arial" w:hAnsi="Arial"/>
          <w:sz w:val="22"/>
        </w:rPr>
      </w:r>
      <w:r>
        <w:rPr>
          <w:rFonts w:ascii="Arial" w:hAnsi="Arial"/>
          <w:b/>
          <w:sz w:val="22"/>
        </w:rPr>
        <w:t>Interactive Medical Diagnostic Suite</w:t>
      </w:r>
      <w:r>
        <w:rPr>
          <w:rFonts w:ascii="Arial" w:hAnsi="Arial"/>
          <w:sz w:val="22"/>
        </w:rPr>
        <w:t>: Bridge the gap between CLI tools and clinical workflows by introducing a connected control panel showing audit logs and Google Colab cell code representations.</w:t>
      </w:r>
    </w:p>
    <w:p>
      <w:pPr>
        <w:keepNext/>
        <w:spacing w:before="320" w:after="160"/>
      </w:pPr>
      <w:r>
        <w:rPr>
          <w:rFonts w:ascii="Georgia" w:hAnsi="Georgia"/>
          <w:b/>
          <w:color w:val="1B263B"/>
          <w:sz w:val="28"/>
        </w:rPr>
        <w:t>6.2 Limitations &amp; Clinical Caveats</w:t>
      </w:r>
    </w:p>
    <w:p>
      <w:pPr>
        <w:pStyle w:val="ListBullet"/>
        <w:spacing w:after="80"/>
      </w:pPr>
      <w:r>
        <w:rPr>
          <w:rFonts w:ascii="Arial" w:hAnsi="Arial"/>
          <w:sz w:val="22"/>
        </w:rPr>
      </w:r>
      <w:r>
        <w:rPr>
          <w:rFonts w:ascii="Arial" w:hAnsi="Arial"/>
          <w:b/>
          <w:sz w:val="22"/>
        </w:rPr>
        <w:t>Single-View Input</w:t>
      </w:r>
      <w:r>
        <w:rPr>
          <w:rFonts w:ascii="Arial" w:hAnsi="Arial"/>
          <w:sz w:val="22"/>
        </w:rPr>
        <w:t>: Screenings typically involve two views per breast (Craniocaudal [CC] and Mediolateral Oblique [MLO]). This model only processes single views.</w:t>
      </w:r>
    </w:p>
    <w:p>
      <w:pPr>
        <w:pStyle w:val="ListBullet"/>
        <w:spacing w:after="80"/>
      </w:pPr>
      <w:r>
        <w:rPr>
          <w:rFonts w:ascii="Arial" w:hAnsi="Arial"/>
          <w:sz w:val="22"/>
        </w:rPr>
      </w:r>
      <w:r>
        <w:rPr>
          <w:rFonts w:ascii="Arial" w:hAnsi="Arial"/>
          <w:b/>
          <w:sz w:val="22"/>
        </w:rPr>
        <w:t>Explainability</w:t>
      </w:r>
      <w:r>
        <w:rPr>
          <w:rFonts w:ascii="Arial" w:hAnsi="Arial"/>
          <w:sz w:val="22"/>
        </w:rPr>
        <w:t>: While deep neural networks achieve high accuracy, they operate as black boxes, which can limit clinical adoption without explainability features like Grad-CAM.</w:t>
      </w:r>
    </w:p>
    <w:p>
      <w:pPr>
        <w:keepNext/>
        <w:spacing w:before="320" w:after="160"/>
      </w:pPr>
      <w:r>
        <w:rPr>
          <w:rFonts w:ascii="Georgia" w:hAnsi="Georgia"/>
          <w:b/>
          <w:color w:val="1B263B"/>
          <w:sz w:val="28"/>
        </w:rPr>
        <w:t>6.3 Future Research Directions</w:t>
      </w:r>
    </w:p>
    <w:p>
      <w:pPr>
        <w:pStyle w:val="ListBullet"/>
        <w:spacing w:after="80"/>
      </w:pPr>
      <w:r>
        <w:rPr>
          <w:rFonts w:ascii="Arial" w:hAnsi="Arial"/>
          <w:sz w:val="22"/>
        </w:rPr>
      </w:r>
      <w:r>
        <w:rPr>
          <w:rFonts w:ascii="Arial" w:hAnsi="Arial"/>
          <w:b/>
          <w:sz w:val="22"/>
        </w:rPr>
        <w:t>Multi-View Integration</w:t>
      </w:r>
      <w:r>
        <w:rPr>
          <w:rFonts w:ascii="Arial" w:hAnsi="Arial"/>
          <w:sz w:val="22"/>
        </w:rPr>
        <w:t>: Implement dual-input architectures that evaluate CC and MLO views simultaneously.</w:t>
      </w:r>
    </w:p>
    <w:p>
      <w:pPr>
        <w:pStyle w:val="ListBullet"/>
        <w:spacing w:after="80"/>
      </w:pPr>
      <w:r>
        <w:rPr>
          <w:rFonts w:ascii="Arial" w:hAnsi="Arial"/>
          <w:sz w:val="22"/>
        </w:rPr>
      </w:r>
      <w:r>
        <w:rPr>
          <w:rFonts w:ascii="Arial" w:hAnsi="Arial"/>
          <w:b/>
          <w:sz w:val="22"/>
        </w:rPr>
        <w:t>Saliency Mapping</w:t>
      </w:r>
      <w:r>
        <w:rPr>
          <w:rFonts w:ascii="Arial" w:hAnsi="Arial"/>
          <w:sz w:val="22"/>
        </w:rPr>
        <w:t>: Add Grad-CAM features to highlight the exact visual regions triggering model decisions.</w:t>
      </w:r>
    </w:p>
    <w:p>
      <w:pPr>
        <w:pStyle w:val="ListBullet"/>
        <w:spacing w:after="80"/>
      </w:pPr>
      <w:r>
        <w:rPr>
          <w:rFonts w:ascii="Arial" w:hAnsi="Arial"/>
          <w:sz w:val="22"/>
        </w:rPr>
      </w:r>
      <w:r>
        <w:rPr>
          <w:rFonts w:ascii="Arial" w:hAnsi="Arial"/>
          <w:b/>
          <w:sz w:val="22"/>
        </w:rPr>
        <w:t>Model Quantization</w:t>
      </w:r>
      <w:r>
        <w:rPr>
          <w:rFonts w:ascii="Arial" w:hAnsi="Arial"/>
          <w:sz w:val="22"/>
        </w:rPr>
        <w:t>: Deploy models on low-power mobile or edge-computing architectures for point-of-care diagnostics.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