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Aptos Display" w:hAnsi="Aptos Display"/>
          <w:b/>
          <w:color w:val="062D2C"/>
          <w:sz w:val="54"/>
        </w:rPr>
        <w:t>BREAST CANCER ULTRASOUND CLASSIFICATION</w:t>
        <w:br/>
        <w:t>USING MACHINE LEARNING</w:t>
      </w:r>
    </w:p>
    <w:p>
      <w:pPr>
        <w:spacing w:before="400"/>
        <w:jc w:val="center"/>
      </w:pPr>
      <w:r>
        <w:rPr>
          <w:rFonts w:ascii="Times New Roman" w:hAnsi="Times New Roman"/>
          <w:i/>
          <w:sz w:val="30"/>
        </w:rPr>
        <w:t>An auditable study of preprocessing, convolutional models,</w:t>
        <w:br/>
        <w:t>and evidence integrity</w:t>
      </w:r>
    </w:p>
    <w:p>
      <w:pPr>
        <w:spacing w:before="1120"/>
        <w:jc w:val="center"/>
      </w:pPr>
      <w:r>
        <w:t>A dissertation submitted to Manchester Metropolitan University</w:t>
        <w:br/>
        <w:t>for the degree of Master of Science</w:t>
        <w:br/>
        <w:br/>
        <w:t>Akerele David Damilola</w:t>
        <w:br/>
        <w:t>Department of Computing and Mathematics</w:t>
        <w:br/>
        <w:br/>
        <w:t>2026</w:t>
      </w:r>
    </w:p>
    <w:tbl>
      <w:tblPr>
        <w:tblW w:type="auto" w:w="0"/>
        <w:jc w:val="center"/>
        <w:tblLayout w:type="fixed"/>
        <w:tblLook w:firstColumn="1" w:firstRow="1" w:lastColumn="0" w:lastRow="0" w:noHBand="0" w:noVBand="1" w:val="04A0"/>
      </w:tblPr>
      <w:tblGrid>
        <w:gridCol w:w="8496"/>
      </w:tblGrid>
      <w:tr>
        <w:tc>
          <w:tcPr>
            <w:tcW w:type="dxa" w:w="9432"/>
            <w:shd w:fill="F4E8C8"/>
            <w:vAlign w:val="center"/>
          </w:tcPr>
          <w:p>
            <w:pPr>
              <w:spacing w:before="140" w:after="140"/>
              <w:jc w:val="center"/>
            </w:pPr>
            <w:r>
              <w:rPr>
                <w:b/>
                <w:color w:val="654705"/>
              </w:rPr>
              <w:t>EVIDENCE STATUS · PROVISIONAL</w:t>
              <w:br/>
            </w:r>
            <w:r>
              <w:t>BrEaST and OASBUD pass the subject-level split audit; BUSI is excluded because its patient identifiers are unavailable.</w:t>
              <w:br/>
              <w:t>This document makes no clinical-performance claim.</w:t>
            </w:r>
          </w:p>
        </w:tc>
      </w:tr>
    </w:tbl>
    <w:p>
      <w:r>
        <w:br w:type="page"/>
      </w:r>
    </w:p>
    <w:p>
      <w:pPr>
        <w:pStyle w:val="Heading1"/>
      </w:pPr>
      <w:r>
        <w:t>Abstract</w:t>
      </w:r>
    </w:p>
    <w:p>
      <w:r>
        <w:t>Breast ultrasound is affected by speckle, acquisition settings, lesion context, and operator technique. This dissertation develops a reproducible research prototype for binary classification of breast-ultrasound images using EfficientNet-B0, ResNet-50, and a custom convolutional baseline. The implementation combines configurable CLAHE, aspect-ratio-preserving square padding, machine-readable evaluation artifacts, and a FastAPI research interface. Its principal contribution is methodological: training, evaluation, command-line prediction, and API inference share one preprocessing path, while a read-only audit checks subject-level split integrity before metrics are interpreted. The supplied OASBUD and BrEaST folders have been rebuilt into subject-level splits with no cross-partition identifiers. BUSI remains excluded because its renamed files do not retain enough provenance to verify patient separation. The fresh EfficientNet-B0 checkpoint achieved 67.74% accuracy, macro F1 0.6774, and ROC-AUC 0.7419 on 62 held-out BrEaST and OASBUD images. These are local-cohort research results only, not clinical or external validation.</w:t>
      </w:r>
    </w:p>
    <w:p>
      <w:r>
        <w:br w:type="page"/>
      </w:r>
    </w:p>
    <w:p>
      <w:pPr>
        <w:pStyle w:val="Heading1"/>
      </w:pPr>
      <w:r>
        <w:t>Declaration</w:t>
      </w:r>
    </w:p>
    <w:p>
      <w:r>
        <w:t>No part of this project has been submitted in support of an application for any other degree or qualification at this or any other institute of learning. Apart from those parts containing citations to the work of others, this project is my own unaided work. This work has been carried out in accordance with Manchester Metropolitan University research ethics procedures.</w:t>
      </w:r>
    </w:p>
    <w:p>
      <w:r>
        <w:br/>
        <w:t>Signed: ____________________________________</w:t>
      </w:r>
    </w:p>
    <w:p>
      <w:r>
        <w:t>Date: ______________________________________</w:t>
      </w:r>
    </w:p>
    <w:p>
      <w:r>
        <w:br w:type="page"/>
      </w:r>
    </w:p>
    <w:p>
      <w:pPr>
        <w:pStyle w:val="Heading1"/>
      </w:pPr>
      <w:r>
        <w:t>Acknowledgements</w:t>
      </w:r>
    </w:p>
    <w:p>
      <w:r>
        <w:t>I am grateful to my academic supervisor, department faculty, and fellow researchers at Manchester Metropolitan University for their guidance, encouragement, and technical insight during this MSc project.</w:t>
      </w:r>
    </w:p>
    <w:p>
      <w:r>
        <w:br w:type="page"/>
      </w:r>
    </w:p>
    <w:p>
      <w:pPr>
        <w:pStyle w:val="Heading1"/>
      </w:pPr>
      <w:r>
        <w:t>Abbreviations</w:t>
      </w:r>
    </w:p>
    <w:tbl>
      <w:tblPr>
        <w:tblStyle w:val="LightShading-Accent1"/>
        <w:tblW w:type="auto" w:w="0"/>
        <w:jc w:val="center"/>
        <w:tblLayout w:type="fixed"/>
        <w:tblLook w:firstColumn="1" w:firstRow="1" w:lastColumn="0" w:lastRow="0" w:noHBand="0" w:noVBand="1" w:val="04A0"/>
      </w:tblPr>
      <w:tblGrid>
        <w:gridCol w:w="2232"/>
        <w:gridCol w:w="7272"/>
      </w:tblGrid>
      <w:tr>
        <w:trPr>
          <w:tblHeader w:val="true"/>
        </w:trPr>
        <w:tc>
          <w:tcPr>
            <w:tcW w:type="dxa" w:w="2232"/>
          </w:tcPr>
          <w:p>
            <w:pPr>
              <w:jc w:val="left"/>
            </w:pPr>
            <w:r>
              <w:t>Abbreviation</w:t>
            </w:r>
          </w:p>
        </w:tc>
        <w:tc>
          <w:tcPr>
            <w:tcW w:type="dxa" w:w="7272"/>
          </w:tcPr>
          <w:p>
            <w:pPr>
              <w:jc w:val="left"/>
            </w:pPr>
            <w:r>
              <w:t>Meaning</w:t>
            </w:r>
          </w:p>
        </w:tc>
      </w:tr>
      <w:tr>
        <w:tc>
          <w:tcPr>
            <w:tcW w:type="dxa" w:w="2232"/>
          </w:tcPr>
          <w:p>
            <w:pPr>
              <w:jc w:val="left"/>
            </w:pPr>
            <w:r>
              <w:t>ACR</w:t>
            </w:r>
          </w:p>
        </w:tc>
        <w:tc>
          <w:tcPr>
            <w:tcW w:type="dxa" w:w="7272"/>
          </w:tcPr>
          <w:p>
            <w:pPr>
              <w:jc w:val="left"/>
            </w:pPr>
            <w:r>
              <w:t>American College of Radiology</w:t>
            </w:r>
          </w:p>
        </w:tc>
      </w:tr>
      <w:tr>
        <w:tc>
          <w:tcPr>
            <w:tcW w:type="dxa" w:w="2232"/>
          </w:tcPr>
          <w:p>
            <w:pPr>
              <w:jc w:val="left"/>
            </w:pPr>
            <w:r>
              <w:t>AUC-ROC</w:t>
            </w:r>
          </w:p>
        </w:tc>
        <w:tc>
          <w:tcPr>
            <w:tcW w:type="dxa" w:w="7272"/>
          </w:tcPr>
          <w:p>
            <w:pPr>
              <w:jc w:val="left"/>
            </w:pPr>
            <w:r>
              <w:t>Area Under the Receiver Operating Characteristic Curve</w:t>
            </w:r>
          </w:p>
        </w:tc>
      </w:tr>
      <w:tr>
        <w:tc>
          <w:tcPr>
            <w:tcW w:type="dxa" w:w="2232"/>
          </w:tcPr>
          <w:p>
            <w:pPr>
              <w:jc w:val="left"/>
            </w:pPr>
            <w:r>
              <w:t>BI-RADS</w:t>
            </w:r>
          </w:p>
        </w:tc>
        <w:tc>
          <w:tcPr>
            <w:tcW w:type="dxa" w:w="7272"/>
          </w:tcPr>
          <w:p>
            <w:pPr>
              <w:jc w:val="left"/>
            </w:pPr>
            <w:r>
              <w:t>Breast Imaging-Reporting and Data System</w:t>
            </w:r>
          </w:p>
        </w:tc>
      </w:tr>
      <w:tr>
        <w:tc>
          <w:tcPr>
            <w:tcW w:type="dxa" w:w="2232"/>
          </w:tcPr>
          <w:p>
            <w:pPr>
              <w:jc w:val="left"/>
            </w:pPr>
            <w:r>
              <w:t>BUSI</w:t>
            </w:r>
          </w:p>
        </w:tc>
        <w:tc>
          <w:tcPr>
            <w:tcW w:type="dxa" w:w="7272"/>
          </w:tcPr>
          <w:p>
            <w:pPr>
              <w:jc w:val="left"/>
            </w:pPr>
            <w:r>
              <w:t>Breast Ultrasound Images Dataset</w:t>
            </w:r>
          </w:p>
        </w:tc>
      </w:tr>
      <w:tr>
        <w:tc>
          <w:tcPr>
            <w:tcW w:type="dxa" w:w="2232"/>
          </w:tcPr>
          <w:p>
            <w:pPr>
              <w:jc w:val="left"/>
            </w:pPr>
            <w:r>
              <w:t>CLAHE</w:t>
            </w:r>
          </w:p>
        </w:tc>
        <w:tc>
          <w:tcPr>
            <w:tcW w:type="dxa" w:w="7272"/>
          </w:tcPr>
          <w:p>
            <w:pPr>
              <w:jc w:val="left"/>
            </w:pPr>
            <w:r>
              <w:t>Contrast Limited Adaptive Histogram Equalisation</w:t>
            </w:r>
          </w:p>
        </w:tc>
      </w:tr>
      <w:tr>
        <w:tc>
          <w:tcPr>
            <w:tcW w:type="dxa" w:w="2232"/>
          </w:tcPr>
          <w:p>
            <w:pPr>
              <w:jc w:val="left"/>
            </w:pPr>
            <w:r>
              <w:t>CNN</w:t>
            </w:r>
          </w:p>
        </w:tc>
        <w:tc>
          <w:tcPr>
            <w:tcW w:type="dxa" w:w="7272"/>
          </w:tcPr>
          <w:p>
            <w:pPr>
              <w:jc w:val="left"/>
            </w:pPr>
            <w:r>
              <w:t>Convolutional Neural Network</w:t>
            </w:r>
          </w:p>
        </w:tc>
      </w:tr>
      <w:tr>
        <w:tc>
          <w:tcPr>
            <w:tcW w:type="dxa" w:w="2232"/>
          </w:tcPr>
          <w:p>
            <w:pPr>
              <w:jc w:val="left"/>
            </w:pPr>
            <w:r>
              <w:t>Grad-CAM</w:t>
            </w:r>
          </w:p>
        </w:tc>
        <w:tc>
          <w:tcPr>
            <w:tcW w:type="dxa" w:w="7272"/>
          </w:tcPr>
          <w:p>
            <w:pPr>
              <w:jc w:val="left"/>
            </w:pPr>
            <w:r>
              <w:t>Gradient-weighted Class Activation Mapping</w:t>
            </w:r>
          </w:p>
        </w:tc>
      </w:tr>
      <w:tr>
        <w:tc>
          <w:tcPr>
            <w:tcW w:type="dxa" w:w="2232"/>
          </w:tcPr>
          <w:p>
            <w:pPr>
              <w:jc w:val="left"/>
            </w:pPr>
            <w:r>
              <w:t>OASBUD</w:t>
            </w:r>
          </w:p>
        </w:tc>
        <w:tc>
          <w:tcPr>
            <w:tcW w:type="dxa" w:w="7272"/>
          </w:tcPr>
          <w:p>
            <w:pPr>
              <w:jc w:val="left"/>
            </w:pPr>
            <w:r>
              <w:t>Open Access Ultrasound Database</w:t>
            </w:r>
          </w:p>
        </w:tc>
      </w:tr>
      <w:tr>
        <w:tc>
          <w:tcPr>
            <w:tcW w:type="dxa" w:w="2232"/>
          </w:tcPr>
          <w:p>
            <w:pPr>
              <w:jc w:val="left"/>
            </w:pPr>
            <w:r>
              <w:t>ROC-AUC</w:t>
            </w:r>
          </w:p>
        </w:tc>
        <w:tc>
          <w:tcPr>
            <w:tcW w:type="dxa" w:w="7272"/>
          </w:tcPr>
          <w:p>
            <w:pPr>
              <w:jc w:val="left"/>
            </w:pPr>
            <w:r>
              <w:t>Area Under the Receiver Operating Characteristic Curve</w:t>
            </w:r>
          </w:p>
        </w:tc>
      </w:tr>
      <w:tr>
        <w:tc>
          <w:tcPr>
            <w:tcW w:type="dxa" w:w="2232"/>
          </w:tcPr>
          <w:p>
            <w:pPr>
              <w:jc w:val="left"/>
            </w:pPr>
            <w:r>
              <w:t>ROI</w:t>
            </w:r>
          </w:p>
        </w:tc>
        <w:tc>
          <w:tcPr>
            <w:tcW w:type="dxa" w:w="7272"/>
          </w:tcPr>
          <w:p>
            <w:pPr>
              <w:jc w:val="left"/>
            </w:pPr>
            <w:r>
              <w:t>Region of Interest</w:t>
            </w:r>
          </w:p>
        </w:tc>
      </w:tr>
    </w:tbl>
    <w:p>
      <w:r>
        <w:br w:type="page"/>
      </w:r>
    </w:p>
    <w:p>
      <w:pPr>
        <w:pStyle w:val="Heading1"/>
      </w:pPr>
      <w:r>
        <w:t>Contents</w:t>
      </w:r>
    </w:p>
    <w:p>
      <w:pPr>
        <w:spacing w:after="180"/>
        <w:ind w:left="288"/>
        <w:jc w:val="left"/>
      </w:pPr>
      <w:r>
        <w:t>Abstract</w:t>
      </w:r>
    </w:p>
    <w:p>
      <w:pPr>
        <w:spacing w:after="180"/>
        <w:ind w:left="288"/>
        <w:jc w:val="left"/>
      </w:pPr>
      <w:r>
        <w:t>Declaration</w:t>
      </w:r>
    </w:p>
    <w:p>
      <w:pPr>
        <w:spacing w:after="180"/>
        <w:ind w:left="288"/>
        <w:jc w:val="left"/>
      </w:pPr>
      <w:r>
        <w:t>Acknowledgements</w:t>
      </w:r>
    </w:p>
    <w:p>
      <w:pPr>
        <w:spacing w:after="180"/>
        <w:ind w:left="288"/>
        <w:jc w:val="left"/>
      </w:pPr>
      <w:r>
        <w:t>Abbreviations</w:t>
      </w:r>
    </w:p>
    <w:p>
      <w:pPr>
        <w:spacing w:after="180"/>
        <w:ind w:left="288"/>
        <w:jc w:val="left"/>
      </w:pPr>
      <w:r>
        <w:t>Chapter 1: Introduction</w:t>
      </w:r>
    </w:p>
    <w:p>
      <w:pPr>
        <w:spacing w:after="180"/>
        <w:ind w:left="288"/>
        <w:jc w:val="left"/>
      </w:pPr>
      <w:r>
        <w:t>Chapter 2: Background and Literature Review</w:t>
      </w:r>
    </w:p>
    <w:p>
      <w:pPr>
        <w:spacing w:after="180"/>
        <w:ind w:left="288"/>
        <w:jc w:val="left"/>
      </w:pPr>
      <w:r>
        <w:t>Chapter 3: Methodology</w:t>
      </w:r>
    </w:p>
    <w:p>
      <w:pPr>
        <w:spacing w:after="180"/>
        <w:ind w:left="288"/>
        <w:jc w:val="left"/>
      </w:pPr>
      <w:r>
        <w:t>Chapter 4: Implementation and Training Controls</w:t>
      </w:r>
    </w:p>
    <w:p>
      <w:pPr>
        <w:spacing w:after="180"/>
        <w:ind w:left="288"/>
        <w:jc w:val="left"/>
      </w:pPr>
      <w:r>
        <w:t>Chapter 5: Results and Evaluation Status</w:t>
      </w:r>
    </w:p>
    <w:p>
      <w:pPr>
        <w:spacing w:after="180"/>
        <w:ind w:left="288"/>
        <w:jc w:val="left"/>
      </w:pPr>
      <w:r>
        <w:t>Chapter 6: Discussion and Conclusion</w:t>
      </w:r>
    </w:p>
    <w:p>
      <w:pPr>
        <w:spacing w:after="180"/>
        <w:ind w:left="288"/>
        <w:jc w:val="left"/>
      </w:pPr>
      <w:r>
        <w:t>References</w:t>
      </w:r>
    </w:p>
    <w:p>
      <w:pPr>
        <w:spacing w:after="180"/>
        <w:ind w:left="288"/>
        <w:jc w:val="left"/>
      </w:pPr>
      <w:r>
        <w:t>Appendix A: Reproducibility checklist</w:t>
      </w:r>
    </w:p>
    <w:p>
      <w:r>
        <w:br w:type="page"/>
      </w:r>
    </w:p>
    <w:p>
      <w:pPr>
        <w:pStyle w:val="Heading1"/>
      </w:pPr>
      <w:r>
        <w:t>Chapter 1: Introduction</w:t>
      </w:r>
    </w:p>
    <w:p>
      <w:pPr>
        <w:pStyle w:val="Heading2"/>
      </w:pPr>
      <w:r>
        <w:t>1.1 Background</w:t>
      </w:r>
    </w:p>
    <w:p>
      <w:r>
        <w:t>Breast ultrasound is a non-ionising imaging modality used alongside clinical assessment and other imaging. Its appearance varies with equipment, acquisition settings, anatomy, and operator technique. These differences, together with speckle and limited public sample sizes, make automated image classification a useful but difficult research problem.</w:t>
      </w:r>
    </w:p>
    <w:p>
      <w:r>
        <w:t>Convolutional neural networks can learn image representations directly from pixels, while transfer learning can reduce the amount of task-specific data required. Nevertheless, a polished model result is not automatically a valid generalisation estimate. Related images from the same subject must remain in one partition, and the complete route from preprocessing to reported tables must be reproducible.</w:t>
      </w:r>
    </w:p>
    <w:p>
      <w:r>
        <w:t>This dissertation develops a binary breast-ultrasound classification prototype with shared preprocessing, three CNN backbones, auditable evaluation outputs, and a local web interface. It is research software, not a diagnostic or clinical decision-support system.</w:t>
      </w:r>
    </w:p>
    <w:p>
      <w:pPr>
        <w:pStyle w:val="Heading2"/>
      </w:pPr>
      <w:r>
        <w:t>1.2 Research problem</w:t>
      </w:r>
    </w:p>
    <w:p>
      <w:r>
        <w:t>The project addresses three connected issues:</w:t>
      </w:r>
    </w:p>
    <w:p>
      <w:pPr>
        <w:pStyle w:val="ListNumber"/>
      </w:pPr>
      <w:r>
        <w:rPr>
          <w:b/>
        </w:rPr>
        <w:t>Pipeline consistency:</w:t>
      </w:r>
      <w:r>
        <w:t xml:space="preserve"> training, evaluation, command-line prediction, and API inference must apply the same preprocessing rules.</w:t>
      </w:r>
    </w:p>
    <w:p>
      <w:pPr>
        <w:pStyle w:val="ListNumber"/>
      </w:pPr>
      <w:r>
        <w:rPr>
          <w:b/>
        </w:rPr>
        <w:t>Geometric preprocessing:</w:t>
      </w:r>
      <w:r>
        <w:t xml:space="preserve"> direct rectangular-to-square resize changes apparent aspect ratios; padding permits isotropic resize, but any predictive benefit must be measured.</w:t>
      </w:r>
    </w:p>
    <w:p>
      <w:pPr>
        <w:pStyle w:val="ListNumber"/>
      </w:pPr>
      <w:r>
        <w:rPr>
          <w:b/>
        </w:rPr>
        <w:t>Evidence integrity:</w:t>
      </w:r>
      <w:r>
        <w:t xml:space="preserve"> subject identifiers, split manifests, seeds, configuration, checkpoints, and per-image predictions are necessary to support a defensible result.</w:t>
      </w:r>
    </w:p>
    <w:p>
      <w:r>
        <w:t>The supplied OASBUD and BrEaST folders have now been rebuilt into subject-level splits with no cross-partition identifiers. The renamed BUSI files still do not preserve enough provenance to verify patient separation, so BUSI is excluded from validated training and evaluation. Current metrics are local-cohort research evidence only.</w:t>
      </w:r>
    </w:p>
    <w:p>
      <w:pPr>
        <w:pStyle w:val="Heading2"/>
      </w:pPr>
      <w:r>
        <w:t>1.3 Research questions</w:t>
      </w:r>
    </w:p>
    <w:p>
      <w:pPr>
        <w:pStyle w:val="ListBullet"/>
      </w:pPr>
      <w:r>
        <w:rPr>
          <w:b/>
        </w:rPr>
        <w:t>RQ1:</w:t>
      </w:r>
      <w:r>
        <w:t xml:space="preserve"> Can one testable preprocessing and inference path support every executable project surface?</w:t>
      </w:r>
    </w:p>
    <w:p>
      <w:pPr>
        <w:pStyle w:val="ListBullet"/>
      </w:pPr>
      <w:r>
        <w:rPr>
          <w:b/>
        </w:rPr>
        <w:t>RQ2:</w:t>
      </w:r>
      <w:r>
        <w:t xml:space="preserve"> How should CLAHE and square padding be compared with simpler preprocessing under controlled partitions, seeds, and training budgets?</w:t>
      </w:r>
    </w:p>
    <w:p>
      <w:pPr>
        <w:pStyle w:val="ListBullet"/>
      </w:pPr>
      <w:r>
        <w:rPr>
          <w:b/>
        </w:rPr>
        <w:t>RQ3:</w:t>
      </w:r>
      <w:r>
        <w:t xml:space="preserve"> Which conclusions are justified by the present data audit, and what controls are required for a patient-independent evaluation?</w:t>
      </w:r>
    </w:p>
    <w:p>
      <w:pPr>
        <w:pStyle w:val="Heading2"/>
      </w:pPr>
      <w:r>
        <w:t>1.4 Objectives and contributions</w:t>
      </w:r>
    </w:p>
    <w:p>
      <w:r>
        <w:t>The implementation provides deterministic split and audit utilities, shared CLAHE and crop strategies, EfficientNet-B0, ResNet-50 and custom-CNN options, checkpoint metadata, per-image predictions, generated metrics and plots, regression tests, and a research-only FastAPI interface. The written and visual artifacts use the same current evidence status and withdraw unsupported historical benchmarks.</w:t>
      </w:r>
    </w:p>
    <w:p>
      <w:pPr>
        <w:pStyle w:val="Heading2"/>
      </w:pPr>
      <w:r>
        <w:t>1.5 Scope</w:t>
      </w:r>
    </w:p>
    <w:p>
      <w:r>
        <w:t xml:space="preserve">The configured task maps images to </w:t>
      </w:r>
      <w:r>
        <w:rPr>
          <w:rFonts w:ascii="Aptos Mono" w:hAnsi="Aptos Mono"/>
          <w:sz w:val="20"/>
        </w:rPr>
        <w:t>benign</w:t>
      </w:r>
      <w:r>
        <w:t xml:space="preserve"> or </w:t>
      </w:r>
      <w:r>
        <w:rPr>
          <w:rFonts w:ascii="Aptos Mono" w:hAnsi="Aptos Mono"/>
          <w:sz w:val="20"/>
        </w:rPr>
        <w:t>malignant</w:t>
      </w:r>
      <w:r>
        <w:t xml:space="preserve">; images stored under </w:t>
      </w:r>
      <w:r>
        <w:rPr>
          <w:rFonts w:ascii="Aptos Mono" w:hAnsi="Aptos Mono"/>
          <w:sz w:val="20"/>
        </w:rPr>
        <w:t>normal</w:t>
      </w:r>
      <w:r>
        <w:t xml:space="preserve"> are currently included in the non-malignant class. This is a modelling simplification. The project does not assign BI-RADS, recommend management, or establish clinical efficacy. No pseudo-labelling, preprocessing ablation, multi-seed comparison, external validation, or prospective reader study is claimed as completed.</w:t>
      </w:r>
    </w:p>
    <w:p>
      <w:r>
        <w:br w:type="page"/>
      </w:r>
    </w:p>
    <w:p>
      <w:pPr>
        <w:pStyle w:val="Heading1"/>
      </w:pPr>
      <w:r>
        <w:t>Chapter 2: Background and Literature Review</w:t>
      </w:r>
    </w:p>
    <w:p>
      <w:pPr>
        <w:pStyle w:val="Heading2"/>
      </w:pPr>
      <w:r>
        <w:t>2.1 Ultrasound image formation and speckle</w:t>
      </w:r>
    </w:p>
    <w:p>
      <w:r>
        <w:t>B-mode ultrasound displays processed echo information produced by reflection, scattering, attenuation, beamforming, compression, and device-specific post-processing. A simplified observation model is:</w:t>
      </w:r>
    </w:p>
    <w:p>
      <w:r>
        <w:t>I(x,y)=f(x,y)ηm(x,y)+ηa(x,y),</w:t>
      </w:r>
    </w:p>
    <w:p>
      <w:r>
        <w:t>where f is an underlying reflectivity field, ηm is a multiplicative component, and ηa is an additive component. This abstraction motivates robustness tests but does not fully reproduce clinical acquisition.</w:t>
      </w:r>
    </w:p>
    <w:p>
      <w:r>
        <w:t>Radiologists use descriptors such as shape, margin, orientation, echogenicity, and posterior acoustic behaviour within the BI-RADS ultrasound lexicon. These concepts explain why geometry and contrast can matter; they do not authorise this software to infer a BI-RADS category.</w:t>
      </w:r>
    </w:p>
    <w:p>
      <w:pPr>
        <w:pStyle w:val="Heading2"/>
      </w:pPr>
      <w:r>
        <w:t>2.2 Geometric preprocessing</w:t>
      </w:r>
    </w:p>
    <w:p>
      <w:r>
        <w:t>For an image of height H and width W resized to H' by W', s_y=H'/H and s_x=W'/W. Direct resize is anisotropic when s_x≠ s_y. Padding a crop to a square before resizing applies one final scale factor. This preserves crop aspect ratio by construction, but cropping and reflected boundaries can create their own biases. Predictive effects require a matched ablation.</w:t>
      </w:r>
    </w:p>
    <w:p>
      <w:pPr>
        <w:pStyle w:val="Heading2"/>
      </w:pPr>
      <w:r>
        <w:t>2.3 CLAHE</w:t>
      </w:r>
    </w:p>
    <w:p>
      <w:r>
        <w:t>Contrast Limited Adaptive Histogram Equalisation applies local histogram mappings and clips histogram mass before redistribution. The project applies OpenCV CLAHE to the LAB luminance channel with clip limit 2.0 and a 16×16 tile grid. This is a reproducible configuration, not proof of improved classification.</w:t>
      </w:r>
    </w:p>
    <w:p>
      <w:pPr>
        <w:pStyle w:val="Heading2"/>
      </w:pPr>
      <w:r>
        <w:t>2.4 CNN architectures</w:t>
      </w:r>
    </w:p>
    <w:p>
      <w:r>
        <w:t>The project compares two transfer-learning backbones with a compact custom model:</w:t>
      </w:r>
    </w:p>
    <w:p>
      <w:pPr>
        <w:pStyle w:val="ListBullet"/>
      </w:pPr>
      <w:r>
        <w:rPr>
          <w:b/>
        </w:rPr>
        <w:t>ResNet-50</w:t>
      </w:r>
      <w:r>
        <w:t xml:space="preserve"> uses residual identity paths to support deep optimisation.</w:t>
      </w:r>
    </w:p>
    <w:p>
      <w:pPr>
        <w:pStyle w:val="ListBullet"/>
      </w:pPr>
      <w:r>
        <w:rPr>
          <w:b/>
        </w:rPr>
        <w:t>EfficientNet-B0</w:t>
      </w:r>
      <w:r>
        <w:t xml:space="preserve"> uses mobile inverted bottlenecks, squeeze-and-excitation, and coordinated scaling.</w:t>
      </w:r>
    </w:p>
    <w:p>
      <w:pPr>
        <w:pStyle w:val="ListBullet"/>
      </w:pPr>
      <w:r>
        <w:rPr>
          <w:b/>
        </w:rPr>
        <w:t>Custom CNN</w:t>
      </w:r>
      <w:r>
        <w:t xml:space="preserve"> uses four convolutional stages, batch normalisation, pooling, adaptive average pooling, and dropout.</w:t>
      </w:r>
    </w:p>
    <w:p>
      <w:r>
        <w:t>Softmax produces a mutually exclusive probability vector but does not guarantee calibration. Grad-CAM produces a coarse gradient-based localisation map but does not prove causal or clinically relevant reasoning.</w:t>
      </w:r>
    </w:p>
    <w:p>
      <w:pPr>
        <w:pStyle w:val="Heading2"/>
      </w:pPr>
      <w:r>
        <w:t>2.5 Reproducibility gap</w:t>
      </w:r>
    </w:p>
    <w:p>
      <w:r>
        <w:t>Public datasets such as BUSI and OASBUD make experimentation possible, but subject grouping and provenance determine whether an evaluation is interpretable. A complete evidence record includes source identifiers, grouping rules, checksums, exclusions, split manifest, preprocessing, model configuration, seeds, checkpoints, and per-image predictions.</w:t>
      </w:r>
    </w:p>
    <w:p>
      <w:r>
        <w:t>The research gap addressed here is therefore practical integration: connecting a working classifier and user interface to an auditable evidence chain, while preventing illustrative interface values from being mistaken for measured findings.</w:t>
      </w:r>
    </w:p>
    <w:p>
      <w:pPr>
        <w:pStyle w:val="Heading2"/>
      </w:pPr>
      <w:r>
        <w:t>2.6 Public breast-ultrasound datasets</w:t>
      </w:r>
    </w:p>
    <w:p>
      <w:r>
        <w:t>The revised dissertation reviews five datasets discussed by Bristow and Yap: OASBUD, RODTOOK, UDIAT, BUSI, and BrEaST. They differ in country, scanner source, image formation, annotation, ground truth, and file organisation. Those differences affect both training and the meaning of a test result.</w:t>
      </w:r>
    </w:p>
    <w:p>
      <w:r>
        <w:t>OASBUD and BrEaST were selected for the validated experiment because their local copies retain subject identifiers, paired lesion masks, and labels linked to biopsy or follow-up evidence. Their contrasting appearance also gives the local experiment some acquisition diversity. The study still has a narrow geographic base because both sources were collected in Poland.</w:t>
      </w:r>
    </w:p>
    <w:p>
      <w:r>
        <w:t>RODTOOK and UDIAT were not in the supplied project data. Bringing them into the present experiment would require a fresh acquisition, licence review, curation pass, and frozen subject-level manifest. They are sensible external cohorts for later work.</w:t>
      </w:r>
    </w:p>
    <w:p>
      <w:r>
        <w:t xml:space="preserve">BUSI was present only as a renamed 224 by 224 derivative. The generated </w:t>
      </w:r>
      <w:r>
        <w:rPr>
          <w:rFonts w:ascii="Aptos Mono" w:hAnsi="Aptos Mono"/>
          <w:sz w:val="20"/>
        </w:rPr>
        <w:t>sample_*</w:t>
      </w:r>
      <w:r>
        <w:t xml:space="preserve"> identifiers cannot be traced back to the original cases, and the visible images show repeated banding. Published correspondence also reports duplicates and inconsistent cases in the public release. The local derivative is therefore illustrated in the report but excluded from validated training and evaluation.</w:t>
      </w:r>
    </w:p>
    <w:p>
      <w:r>
        <w:t>The dataset plate is stored at [</w:t>
      </w:r>
      <w:r>
        <w:rPr>
          <w:rFonts w:ascii="Aptos Mono" w:hAnsi="Aptos Mono"/>
          <w:sz w:val="20"/>
        </w:rPr>
        <w:t>latex_university/figures/fig9_dataset_quality_examples.png</w:t>
      </w:r>
      <w:r>
        <w:t>](../../latex_university/figures/fig9_dataset_quality_examples.png). It shows benign and malignant examples from the three local folders while making the BUSI derivative status explicit.</w:t>
      </w:r>
    </w:p>
    <w:p>
      <w:r>
        <w:br w:type="page"/>
      </w:r>
    </w:p>
    <w:p>
      <w:pPr>
        <w:pStyle w:val="Heading1"/>
      </w:pPr>
      <w:r>
        <w:t>Chapter 3: Methodology</w:t>
      </w:r>
    </w:p>
    <w:p>
      <w:pPr>
        <w:pStyle w:val="Heading2"/>
      </w:pPr>
      <w:r>
        <w:t>3.1 Evidence design</w:t>
      </w:r>
    </w:p>
    <w:p>
      <w:r>
        <w:t xml:space="preserve">The project distinguishes </w:t>
      </w:r>
      <w:r>
        <w:rPr>
          <w:b/>
        </w:rPr>
        <w:t>engineering evidence</w:t>
      </w:r>
      <w:r>
        <w:t xml:space="preserve">, which confirms that the software path executes consistently, from </w:t>
      </w:r>
      <w:r>
        <w:rPr>
          <w:b/>
        </w:rPr>
        <w:t>generalisation evidence</w:t>
      </w:r>
      <w:r>
        <w:t>, which estimates performance on independent subjects. The current local cohort supports only the first level because it fails the split-integrity audit.</w:t>
      </w:r>
    </w:p>
    <w:p>
      <w:pPr>
        <w:pStyle w:val="Heading2"/>
      </w:pPr>
      <w:r>
        <w:t>3.2 Data audit</w:t>
      </w:r>
    </w:p>
    <w:p>
      <w:r>
        <w:t xml:space="preserve">The validated loader uses BrEaST and OASBUD only and finds 302 training, 63 validation, and 62 test images after subject-level rebuilding. The audit reports no cross-partition identifiers in either dataset. BUSI patient separation cannot be reconstructed from its renamed files, so it is excluded by default; training still stops if any configured dataset fails its audit unless </w:t>
      </w:r>
      <w:r>
        <w:rPr>
          <w:rFonts w:ascii="Aptos Mono" w:hAnsi="Aptos Mono"/>
          <w:sz w:val="20"/>
        </w:rPr>
        <w:t>--allow-unaudited-data</w:t>
      </w:r>
      <w:r>
        <w:t xml:space="preserve"> is supplied for an explicitly provisional run.</w:t>
      </w:r>
    </w:p>
    <w:p>
      <w:r>
        <w:t>The subject-level splitter copies grouped files into deterministic class-stratified partitions and saves a JSON manifest. It never moves the source dataset.</w:t>
      </w:r>
    </w:p>
    <w:p>
      <w:pPr>
        <w:pStyle w:val="Heading2"/>
      </w:pPr>
      <w:r>
        <w:t>3.3 Shared preprocessing</w:t>
      </w:r>
    </w:p>
    <w:p>
      <w:r>
        <w:t>All executable surfaces call the same function. The sequence is RGB decoding, optional CLAHE, one selected crop/resize strategy, tensor conversion, and ImageNet normalisation.</w:t>
      </w:r>
    </w:p>
    <w:p>
      <w:r>
        <w:t xml:space="preserve">Supported masks end with </w:t>
      </w:r>
      <w:r>
        <w:rPr>
          <w:rFonts w:ascii="Aptos Mono" w:hAnsi="Aptos Mono"/>
          <w:sz w:val="20"/>
        </w:rPr>
        <w:t>_mask.png</w:t>
      </w:r>
      <w:r>
        <w:t xml:space="preserve">, </w:t>
      </w:r>
      <w:r>
        <w:rPr>
          <w:rFonts w:ascii="Aptos Mono" w:hAnsi="Aptos Mono"/>
          <w:sz w:val="20"/>
        </w:rPr>
        <w:t>_tumor.png</w:t>
      </w:r>
      <w:r>
        <w:t xml:space="preserve">, or </w:t>
      </w:r>
      <w:r>
        <w:rPr>
          <w:rFonts w:ascii="Aptos Mono" w:hAnsi="Aptos Mono"/>
          <w:sz w:val="20"/>
        </w:rPr>
        <w:t>_lesion_mask.png</w:t>
      </w:r>
      <w:r>
        <w:t xml:space="preserve">. A valid mask defines a bounding box expanded by a 20% context margin. Without a mask, the central 80% is used as a deterministic fallback. For a crop of height h_c and width w_c, the square side is d=max(h_c,w_c); symmetric </w:t>
      </w:r>
      <w:r>
        <w:rPr>
          <w:rFonts w:ascii="Aptos Mono" w:hAnsi="Aptos Mono"/>
          <w:sz w:val="20"/>
        </w:rPr>
        <w:t>BORDER_REFLECT_101</w:t>
      </w:r>
      <w:r>
        <w:t xml:space="preserve"> padding is added and the result is resized to 224×224.</w:t>
      </w:r>
    </w:p>
    <w:p>
      <w:r>
        <w:t>Training augmentation uses horizontal flips and rotations up to 15 degrees. Vertical flips are excluded because image depth has acquisition meaning.</w:t>
      </w:r>
    </w:p>
    <w:p>
      <w:pPr>
        <w:pStyle w:val="Heading2"/>
      </w:pPr>
      <w:r>
        <w:t>3.4 Models and optimisation</w:t>
      </w:r>
    </w:p>
    <w:p>
      <w:r>
        <w:t>EfficientNet-B0 and ResNet-50 use ImageNet initialisation during training; the custom CNN is trained from scratch. The default optimiser is AdamW with learning rate 10^-4 and weight decay 10^-4, cosine annealing, class-weighted cross-entropy, batch size 16, and early stopping. Python, NumPy, PyTorch, and CUDA are seeded; each checkpoint stores its run configuration and audit status.</w:t>
      </w:r>
    </w:p>
    <w:p>
      <w:pPr>
        <w:pStyle w:val="Heading2"/>
      </w:pPr>
      <w:r>
        <w:t>3.5 Evaluation artifacts</w:t>
      </w:r>
    </w:p>
    <w:p>
      <w:r>
        <w:rPr>
          <w:rFonts w:ascii="Aptos Mono" w:hAnsi="Aptos Mono"/>
          <w:sz w:val="20"/>
        </w:rPr>
        <w:t>evaluate.py</w:t>
      </w:r>
      <w:r>
        <w:t xml:space="preserve"> writes </w:t>
      </w:r>
      <w:r>
        <w:rPr>
          <w:rFonts w:ascii="Aptos Mono" w:hAnsi="Aptos Mono"/>
          <w:sz w:val="20"/>
        </w:rPr>
        <w:t>predictions.csv</w:t>
      </w:r>
      <w:r>
        <w:t xml:space="preserve">, </w:t>
      </w:r>
      <w:r>
        <w:rPr>
          <w:rFonts w:ascii="Aptos Mono" w:hAnsi="Aptos Mono"/>
          <w:sz w:val="20"/>
        </w:rPr>
        <w:t>metrics.json</w:t>
      </w:r>
      <w:r>
        <w:t xml:space="preserve">, </w:t>
      </w:r>
      <w:r>
        <w:rPr>
          <w:rFonts w:ascii="Aptos Mono" w:hAnsi="Aptos Mono"/>
          <w:sz w:val="20"/>
        </w:rPr>
        <w:t>confusion_matrix.png</w:t>
      </w:r>
      <w:r>
        <w:t xml:space="preserve">, and </w:t>
      </w:r>
      <w:r>
        <w:rPr>
          <w:rFonts w:ascii="Aptos Mono" w:hAnsi="Aptos Mono"/>
          <w:sz w:val="20"/>
        </w:rPr>
        <w:t>roc_curve.png</w:t>
      </w:r>
      <w:r>
        <w:t>. The JSON record includes audit status and checksum, generation time, preprocessing configuration, sample count, summary metrics, and confusion matrix. Tables are generated from these outputs rather than entered manually.</w:t>
      </w:r>
    </w:p>
    <w:p>
      <w:pPr>
        <w:pStyle w:val="Heading2"/>
      </w:pPr>
      <w:r>
        <w:t>3.6 Interface boundary</w:t>
      </w:r>
    </w:p>
    <w:p>
      <w:r>
        <w:t>The FastAPI interface exposes research inference, model comparison where compatible checkpoints exist, batch evaluation, and seeded synthetic-noise demonstrations. It does not infer ground truth from filenames or provide diagnosis, BI-RADS, clinical priority, or management advice.</w:t>
      </w:r>
    </w:p>
    <w:p>
      <w:r>
        <w:br w:type="page"/>
      </w:r>
    </w:p>
    <w:p>
      <w:pPr>
        <w:pStyle w:val="Heading1"/>
      </w:pPr>
      <w:r>
        <w:t>Chapter 4: Implementation and Training Controls</w:t>
      </w:r>
    </w:p>
    <w:p>
      <w:pPr>
        <w:pStyle w:val="Heading2"/>
      </w:pPr>
      <w:r>
        <w:t>4.1 Repository structure</w:t>
      </w:r>
    </w:p>
    <w:p>
      <w:r>
        <w:t xml:space="preserve">The executable code is separated into configuration, dataset, model, training, evaluation, prediction, and API modules. Thin root-level entry points keep commands stable. Generated evidence is written to </w:t>
      </w:r>
      <w:r>
        <w:rPr>
          <w:rFonts w:ascii="Aptos Mono" w:hAnsi="Aptos Mono"/>
          <w:sz w:val="20"/>
        </w:rPr>
        <w:t>outputs/</w:t>
      </w:r>
      <w:r>
        <w:t>, while the dissertation source, supporting documents, notebook, slides, and web interface remain version-controlled.</w:t>
      </w:r>
    </w:p>
    <w:p>
      <w:pPr>
        <w:pStyle w:val="Heading2"/>
      </w:pPr>
      <w:r>
        <w:t>4.2 Training guard and checkpoint metadata</w:t>
      </w:r>
    </w:p>
    <w:p>
      <w:r>
        <w:t xml:space="preserve">Before training, the pipeline regenerates </w:t>
      </w:r>
      <w:r>
        <w:rPr>
          <w:rFonts w:ascii="Aptos Mono" w:hAnsi="Aptos Mono"/>
          <w:sz w:val="20"/>
        </w:rPr>
        <w:t>outputs/data_audit.json</w:t>
      </w:r>
      <w:r>
        <w:t xml:space="preserve">. A failed audit stops the run unless the user explicitly supplies </w:t>
      </w:r>
      <w:r>
        <w:rPr>
          <w:rFonts w:ascii="Aptos Mono" w:hAnsi="Aptos Mono"/>
          <w:sz w:val="20"/>
        </w:rPr>
        <w:t>--allow-unaudited-data</w:t>
      </w:r>
      <w:r>
        <w:t>; this override does not convert the result into valid evidence. The best validation-loss checkpoint stores the model and optimiser states plus the model name, epoch, validation metrics, class names, seed, batch size, learning rate, epoch budget, dataset-combination flag, crop strategy, CLAHE flag, creation time, and audit status.</w:t>
      </w:r>
    </w:p>
    <w:p>
      <w:pPr>
        <w:pStyle w:val="Heading2"/>
      </w:pPr>
      <w:r>
        <w:t>4.3 Evaluation implementation</w:t>
      </w:r>
    </w:p>
    <w:p>
      <w:r>
        <w:t>Evaluation reconstructs the selected model without downloading pretrained weights and loads the checkpoint state. The test loader contains no stochastic augmentation. Per-image outputs are saved before aggregate metrics are calculated so every reported number can be regenerated.</w:t>
      </w:r>
    </w:p>
    <w:p>
      <w:r>
        <w:t>The current EfficientNet-B0 checkpoint was retrained after rebuilding BrEaST and OASBUD subject-level splits. Its evaluation on the 62-image held-out test partition is reported as local-cohort research evidence in Chapter 5; BUSI is excluded because its source identifiers are unavailable.</w:t>
      </w:r>
    </w:p>
    <w:p>
      <w:pPr>
        <w:pStyle w:val="Heading2"/>
      </w:pPr>
      <w:r>
        <w:t>4.4 Verification</w:t>
      </w:r>
    </w:p>
    <w:p>
      <w:r>
        <w:t>The test suite checks output dimensions for every crop strategy, discovery of supported mask suffixes, explicit failure of the current data audit, and the API's no-clinical-action response. Syntax compilation, notebook validation, LaTeX compilation, browser checks, and render inspection of Word and PowerPoint outputs form separate release gates.</w:t>
      </w:r>
    </w:p>
    <w:p>
      <w:r>
        <w:br w:type="page"/>
      </w:r>
    </w:p>
    <w:p>
      <w:pPr>
        <w:pStyle w:val="Heading1"/>
      </w:pPr>
      <w:r>
        <w:t>Chapter 5: Results and Evaluation Status</w:t>
      </w:r>
    </w:p>
    <w:p>
      <w:r>
        <w:t>The repaired validated loader uses BrEaST and OASBUD only, with 302 training, 63 validation, and 62 held-out test images. The fresh EfficientNet-B0 checkpoint achieved 67.74% accuracy, macro F1 0.6774, and ROC-AUC 0.7419 on that test partition.</w:t>
      </w:r>
    </w:p>
    <w:p>
      <w:r>
        <w:t>The split audit passes for BrEaST and OASBUD with no subject crossing partitions. BUSI remains excluded because its local files were renamed and patient-level independence cannot be verified. The result is therefore a local-cohort research finding, not a clinical-performance estimate. Do not make clinical inferences or claim external generalisation.</w:t>
      </w:r>
    </w:p>
    <w:p>
      <w:r>
        <w:t xml:space="preserve">The corrected evaluator writes </w:t>
      </w:r>
      <w:r>
        <w:rPr>
          <w:rFonts w:ascii="Aptos Mono" w:hAnsi="Aptos Mono"/>
          <w:sz w:val="20"/>
        </w:rPr>
        <w:t>outputs/metrics.json</w:t>
      </w:r>
      <w:r>
        <w:t xml:space="preserve">, </w:t>
      </w:r>
      <w:r>
        <w:rPr>
          <w:rFonts w:ascii="Aptos Mono" w:hAnsi="Aptos Mono"/>
          <w:sz w:val="20"/>
        </w:rPr>
        <w:t>confusion_matrix.png</w:t>
      </w:r>
      <w:r>
        <w:t xml:space="preserve">, and </w:t>
      </w:r>
      <w:r>
        <w:rPr>
          <w:rFonts w:ascii="Aptos Mono" w:hAnsi="Aptos Mono"/>
          <w:sz w:val="20"/>
        </w:rPr>
        <w:t>roc_curve.png</w:t>
      </w:r>
      <w:r>
        <w:t>. All final tables and figures must be derived from per-run saved predictions after the cohort is reconstructed at subject level.</w:t>
      </w:r>
    </w:p>
    <w:p>
      <w:r>
        <w:t xml:space="preserve">The revised results chapter also includes four image-level outcomes selected by a fixed rule from </w:t>
      </w:r>
      <w:r>
        <w:rPr>
          <w:rFonts w:ascii="Aptos Mono" w:hAnsi="Aptos Mono"/>
          <w:sz w:val="20"/>
        </w:rPr>
        <w:t>outputs/predictions.csv</w:t>
      </w:r>
      <w:r>
        <w:t>: the lowest-probability correct benign case, the highest-probability correct malignant case, the highest-probability false positive, and the lowest-probability false negative. The plate uses the same ROI crop and CLAHE path as evaluation. It supports transparent error review without claiming that visual inspection reveals why the network made a decision.</w:t>
      </w:r>
    </w:p>
    <w:p>
      <w:r>
        <w:t>See [</w:t>
      </w:r>
      <w:r>
        <w:rPr>
          <w:rFonts w:ascii="Aptos Mono" w:hAnsi="Aptos Mono"/>
          <w:sz w:val="20"/>
        </w:rPr>
        <w:t>latex_university/figures/fig10_prediction_examples.png</w:t>
      </w:r>
      <w:r>
        <w:t>](../../latex_university/figures/fig10_prediction_examples.png) for the generated plate.</w:t>
      </w:r>
    </w:p>
    <w:p>
      <w:pPr>
        <w:pStyle w:val="Heading2"/>
      </w:pPr>
      <w:r>
        <w:t>Generated evaluation figures</w:t>
      </w:r>
    </w:p>
    <w:p>
      <w:pPr>
        <w:jc w:val="center"/>
      </w:pPr>
      <w:r>
        <w:drawing>
          <wp:inline xmlns:a="http://schemas.openxmlformats.org/drawingml/2006/main" xmlns:pic="http://schemas.openxmlformats.org/drawingml/2006/picture">
            <wp:extent cx="5120640" cy="42672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120640" cy="4267200"/>
                    </a:xfrm>
                    <a:prstGeom prst="rect"/>
                  </pic:spPr>
                </pic:pic>
              </a:graphicData>
            </a:graphic>
          </wp:inline>
        </w:drawing>
      </w:r>
    </w:p>
    <w:p>
      <w:pPr>
        <w:pStyle w:val="Caption"/>
        <w:jc w:val="center"/>
      </w:pPr>
      <w:r>
        <w:t>Figure 1. Confusion matrix for the audited 62-image checkpoint run.</w:t>
      </w:r>
    </w:p>
    <w:p>
      <w:pPr>
        <w:jc w:val="center"/>
      </w:pPr>
      <w:r>
        <w:drawing>
          <wp:inline xmlns:a="http://schemas.openxmlformats.org/drawingml/2006/main" xmlns:pic="http://schemas.openxmlformats.org/drawingml/2006/picture">
            <wp:extent cx="5120640" cy="4267200"/>
            <wp:docPr id="2" name="Picture 2"/>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120640" cy="4267200"/>
                    </a:xfrm>
                    <a:prstGeom prst="rect"/>
                  </pic:spPr>
                </pic:pic>
              </a:graphicData>
            </a:graphic>
          </wp:inline>
        </w:drawing>
      </w:r>
    </w:p>
    <w:p>
      <w:pPr>
        <w:pStyle w:val="Caption"/>
        <w:jc w:val="center"/>
      </w:pPr>
      <w:r>
        <w:t>Figure 2. Receiver operating characteristic for the same audited run.</w:t>
      </w:r>
    </w:p>
    <w:p>
      <w:r>
        <w:br w:type="page"/>
      </w:r>
    </w:p>
    <w:p>
      <w:pPr>
        <w:pStyle w:val="Heading1"/>
      </w:pPr>
      <w:r>
        <w:t>Chapter 6: Discussion and Conclusion</w:t>
      </w:r>
    </w:p>
    <w:p>
      <w:r>
        <w:t>The project’s contribution is a reproducible research framework: shared preprocessing, mask discovery, versioned evaluation artifacts, and a non-destructive split audit. It is not a clinically validated classifier.</w:t>
      </w:r>
    </w:p>
    <w:p>
      <w:r>
        <w:t>The immediate next step is to preserve original identifiers, group every patient’s views and masks in a single partition, freeze a test cohort before model selection, and rerun all experiments. The dashboard’s outputs are research visualisations rather than diagnosis, BI-RADS assignment, or clinical decision support.</w:t>
      </w:r>
    </w:p>
    <w:p>
      <w:r>
        <w:br w:type="page"/>
      </w:r>
    </w:p>
    <w:p>
      <w:pPr>
        <w:pStyle w:val="Heading1"/>
      </w:pPr>
      <w:r>
        <w:t>References</w:t>
      </w:r>
    </w:p>
    <w:p>
      <w:pPr>
        <w:spacing w:line="240" w:lineRule="auto" w:after="160"/>
        <w:ind w:hanging="432" w:left="432"/>
        <w:jc w:val="left"/>
      </w:pPr>
      <w:r>
        <w:t>Al-Dhabyani, Walid; Gomaa, Mohammed; Khaled, Heshmat; Fahmy, Aly (2020). Dataset of breast ultrasound images. Data in Brief. https://doi.org/10.1016/j.dib.2019.104863</w:t>
      </w:r>
    </w:p>
    <w:p>
      <w:pPr>
        <w:spacing w:line="240" w:lineRule="auto" w:after="160"/>
        <w:ind w:hanging="432" w:left="432"/>
        <w:jc w:val="left"/>
      </w:pPr>
      <w:r>
        <w:t>Cheng, Jie-Zhi; Ni, Dong; Chou, Yi-Hong; Qin, Jing; Tiu, Chui-Mei; Chang, Yeun-Chung; Huang, Chiun-Sheng; Shen, Dinggang (2016). Computer-aided diagnosis with deep learning architecture: applications to breast lesions in US images and pulmonary nodules in CT scans. Scientific Reports. https://doi.org/10.1038/srep24454</w:t>
      </w:r>
    </w:p>
    <w:p>
      <w:pPr>
        <w:spacing w:line="240" w:lineRule="auto" w:after="160"/>
        <w:ind w:hanging="432" w:left="432"/>
        <w:jc w:val="left"/>
      </w:pPr>
      <w:r>
        <w:t>Guo, Chuan; Pleiss, Geoff; Sun, Yu; Weinberger, Kilian Q. (2017). On Calibration of Modern Neural Networks. Proceedings of the 34th International Conference on Machine Learning (ICML).</w:t>
      </w:r>
    </w:p>
    <w:p>
      <w:pPr>
        <w:spacing w:line="240" w:lineRule="auto" w:after="160"/>
        <w:ind w:hanging="432" w:left="432"/>
        <w:jc w:val="left"/>
      </w:pPr>
      <w:r>
        <w:t>He, Kaiming; Zhang, Xiangyu; Ren, Shaoqing; Sun, Jian (2016). Deep Residual Learning for Image Recognition. Proceedings of the IEEE Conference on Computer Vision and Pattern Recognition (CVPR).</w:t>
      </w:r>
    </w:p>
    <w:p>
      <w:pPr>
        <w:spacing w:line="240" w:lineRule="auto" w:after="160"/>
        <w:ind w:hanging="432" w:left="432"/>
        <w:jc w:val="left"/>
      </w:pPr>
      <w:r>
        <w:t>Hu, Jie; Shen, Li; Sun, Gang (2018). Squeeze-and-Excitation Networks. Proceedings of the IEEE Conference on Computer Vision and Pattern Recognition (CVPR).</w:t>
      </w:r>
    </w:p>
    <w:p>
      <w:pPr>
        <w:spacing w:line="240" w:lineRule="auto" w:after="160"/>
        <w:ind w:hanging="432" w:left="432"/>
        <w:jc w:val="left"/>
      </w:pPr>
      <w:r>
        <w:t>Jiang, Jiacheng; Zhang, Yanning; Liu, Xuan; Chen, Hao (2023). Noise-robustness test for ultrasound breast nodule neural network models as medical devices. Frontiers in Oncology. https://doi.org/10.3389/fonc.2023.1177225</w:t>
      </w:r>
    </w:p>
    <w:p>
      <w:pPr>
        <w:spacing w:line="240" w:lineRule="auto" w:after="160"/>
        <w:ind w:hanging="432" w:left="432"/>
        <w:jc w:val="left"/>
      </w:pPr>
      <w:r>
        <w:t>Lee, Jong-Sen (1980). Digital image enhancement and noise filtering by use of local statistics. IEEE Transactions on Pattern Analysis and Machine Intelligence. https://doi.org/10.1109/TPAMI.1980.4766994</w:t>
      </w:r>
    </w:p>
    <w:p>
      <w:pPr>
        <w:spacing w:line="240" w:lineRule="auto" w:after="160"/>
        <w:ind w:hanging="432" w:left="432"/>
        <w:jc w:val="left"/>
      </w:pPr>
      <w:r>
        <w:t>Litjens, Geert; Kooi, Thijs; Bejnordi, Babak Ehteshami; Setio, Arnaud Arindra Adiyoso; Ciompi, Francesco; Ghafoorian, Mohsen; van der Laak, Jeroen A.W.M.; van Ginneken, Bram; S'anchez, Clara I. (2017). A survey on deep learning in medical image analysis. Medical Image Analysis. https://doi.org/10.1016/j.media.2017.07.005</w:t>
      </w:r>
    </w:p>
    <w:p>
      <w:pPr>
        <w:spacing w:line="240" w:lineRule="auto" w:after="160"/>
        <w:ind w:hanging="432" w:left="432"/>
        <w:jc w:val="left"/>
      </w:pPr>
      <w:r>
        <w:t>Mendelson, Ellen B.; B"ohm-V'elez, Marcela; Berg, Wendie A.; Whitman, Gary J.; Feldman, Marla I.; Madjar, Helmut; Rizzatto, Giorgio (2013). ACR BI-RADS Ultrasound. ACR BI-RADS Atlas, Breast Imaging Reporting and Data System.</w:t>
      </w:r>
    </w:p>
    <w:p>
      <w:pPr>
        <w:spacing w:line="240" w:lineRule="auto" w:after="160"/>
        <w:ind w:hanging="432" w:left="432"/>
        <w:jc w:val="left"/>
      </w:pPr>
      <w:r>
        <w:t>Piotrzkowska-Wroblewska, Hanna; Litniewski, Jerzy; Szymanska, Karolina; Dobruch-Sobczak, Katarzyna (2017). Open Access Ultrasound Database (OASBUD) for breast lesion classification. Medical Physics. https://doi.org/10.1002/mp.12563</w:t>
      </w:r>
    </w:p>
    <w:p>
      <w:pPr>
        <w:spacing w:line="240" w:lineRule="auto" w:after="160"/>
        <w:ind w:hanging="432" w:left="432"/>
        <w:jc w:val="left"/>
      </w:pPr>
      <w:r>
        <w:t>Selvaraju, Ramprasaath R.; Cogswell, Michael; Das, Abhishek; Vedaldi, Andrea; Parikh, Devi; Batra, Dhruv (2017). Grad-CAM: Visual Explanations from Deep Networks via Gradient-Based Localization. Proceedings of the IEEE International Conference on Computer Vision (ICCV).</w:t>
      </w:r>
    </w:p>
    <w:p>
      <w:pPr>
        <w:spacing w:line="240" w:lineRule="auto" w:after="160"/>
        <w:ind w:hanging="432" w:left="432"/>
        <w:jc w:val="left"/>
      </w:pPr>
      <w:r>
        <w:t>Stavros, A. Thomas; Thickman, David; Rapp, Cindy L.; Dennis, Mark A.; Parker, Steve H.; Sisney, Gale A. (1995). Solid breast nodules: use of sonography to distinguish between benign and malignant lesions. Radiology. https://doi.org/10.1148/radiology.196.1.7784555</w:t>
      </w:r>
    </w:p>
    <w:p>
      <w:pPr>
        <w:spacing w:line="240" w:lineRule="auto" w:after="160"/>
        <w:ind w:hanging="432" w:left="432"/>
        <w:jc w:val="left"/>
      </w:pPr>
      <w:r>
        <w:t>Sung, Hyuna; Ferlay, Jacques; Siegel, Rebecca L.; Laversanne, Mathieu; Soerjomataram, Isabelle; Jemal, Ahmedin; Bray, Freddie (2021). Global Cancer Statistics 2020: GLOBOCAN Estimates of Incidence and Mortality Worldwide for 36 Cancers in 185 Countries. CA: A Cancer Journal for Clinicians. https://doi.org/10.3322/caac.21660</w:t>
      </w:r>
    </w:p>
    <w:p>
      <w:pPr>
        <w:spacing w:line="240" w:lineRule="auto" w:after="160"/>
        <w:ind w:hanging="432" w:left="432"/>
        <w:jc w:val="left"/>
      </w:pPr>
      <w:r>
        <w:t>Tan, Mingxing; Le, Quoc V. (2019). EfficientNet: Rethinking Model Scaling for Convolutional Neural Networks. Proceedings of the 36th International Conference on Machine Learning (ICML).</w:t>
      </w:r>
    </w:p>
    <w:p>
      <w:pPr>
        <w:spacing w:line="240" w:lineRule="auto" w:after="160"/>
        <w:ind w:hanging="432" w:left="432"/>
        <w:jc w:val="left"/>
      </w:pPr>
      <w:r>
        <w:t>Yu, Yongjian; Acton, Scott T. (2002). Speckle reducing anisotropic diffusion. IEEE Transactions on Image Processing. https://doi.org/10.1109/TIP.2002.804276</w:t>
      </w:r>
    </w:p>
    <w:p>
      <w:pPr>
        <w:spacing w:line="240" w:lineRule="auto" w:after="160"/>
        <w:ind w:hanging="432" w:left="432"/>
        <w:jc w:val="left"/>
      </w:pPr>
      <w:r>
        <w:t>Zuiderveld, Karel (1994). Contrast Limited Adaptive Histogram Equalization. Graphics Gems IV.</w:t>
      </w:r>
    </w:p>
    <w:p>
      <w:r>
        <w:br w:type="page"/>
      </w:r>
    </w:p>
    <w:p>
      <w:pPr>
        <w:pStyle w:val="Heading1"/>
      </w:pPr>
      <w:r>
        <w:t>Appendix A: Reproducibility checklist</w:t>
      </w:r>
    </w:p>
    <w:p>
      <w:pPr>
        <w:ind w:left="403" w:hanging="288"/>
        <w:jc w:val="left"/>
      </w:pPr>
      <w:r>
        <w:rPr>
          <w:b/>
        </w:rPr>
        <w:t xml:space="preserve">• </w:t>
      </w:r>
      <w:r>
        <w:t>Dataset licences, versions, checksums, exclusions, and label mapping recorded.</w:t>
      </w:r>
    </w:p>
    <w:p>
      <w:pPr>
        <w:ind w:left="403" w:hanging="288"/>
        <w:jc w:val="left"/>
      </w:pPr>
      <w:r>
        <w:rPr>
          <w:b/>
        </w:rPr>
        <w:t xml:space="preserve">• </w:t>
      </w:r>
      <w:r>
        <w:t>Every subject and all associated views and masks assigned to one partition.</w:t>
      </w:r>
    </w:p>
    <w:p>
      <w:pPr>
        <w:ind w:left="403" w:hanging="288"/>
        <w:jc w:val="left"/>
      </w:pPr>
      <w:r>
        <w:rPr>
          <w:b/>
        </w:rPr>
        <w:t xml:space="preserve">• </w:t>
      </w:r>
      <w:r>
        <w:t>Test manifest frozen before model selection.</w:t>
      </w:r>
    </w:p>
    <w:p>
      <w:pPr>
        <w:ind w:left="403" w:hanging="288"/>
        <w:jc w:val="left"/>
      </w:pPr>
      <w:r>
        <w:rPr>
          <w:b/>
        </w:rPr>
        <w:t xml:space="preserve">• </w:t>
      </w:r>
      <w:r>
        <w:t>Seeds, environment, configuration, and checkpoint hashes saved.</w:t>
      </w:r>
    </w:p>
    <w:p>
      <w:pPr>
        <w:ind w:left="403" w:hanging="288"/>
        <w:jc w:val="left"/>
      </w:pPr>
      <w:r>
        <w:rPr>
          <w:b/>
        </w:rPr>
        <w:t xml:space="preserve">• </w:t>
      </w:r>
      <w:r>
        <w:t>Per-image predictions retained for every reported run.</w:t>
      </w:r>
    </w:p>
    <w:p>
      <w:pPr>
        <w:ind w:left="403" w:hanging="288"/>
        <w:jc w:val="left"/>
      </w:pPr>
      <w:r>
        <w:rPr>
          <w:b/>
        </w:rPr>
        <w:t xml:space="preserve">• </w:t>
      </w:r>
      <w:r>
        <w:t>Uncertainty, calibration, failure cases, and subgroup or site limitations reported.</w:t>
      </w:r>
    </w:p>
    <w:p>
      <w:pPr>
        <w:ind w:left="403" w:hanging="288"/>
        <w:jc w:val="left"/>
      </w:pPr>
      <w:r>
        <w:rPr>
          <w:b/>
        </w:rPr>
        <w:t xml:space="preserve">• </w:t>
      </w:r>
      <w:r>
        <w:t>All written and visual artifacts regenerated from the final evidence files.</w:t>
      </w:r>
    </w:p>
    <w:sectPr w:rsidR="00FC693F" w:rsidRPr="0006063C" w:rsidSect="00034616">
      <w:headerReference w:type="default" r:id="rId9"/>
      <w:footerReference w:type="default" r:id="rId10"/>
      <w:headerReference w:type="first" r:id="rId11"/>
      <w:footerReference w:type="first" r:id="rId12"/>
      <w:pgSz w:w="12240" w:h="15840"/>
      <w:pgMar w:top="1296" w:right="1296" w:bottom="1224" w:left="1512"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2635F"/>
      </w:rPr>
      <w:t>Breast Ultrasound Classification · MSc Dissertation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Aptos Display" w:hAnsi="Aptos Display"/>
      <w:b/>
      <w:bCs/>
      <w:color w:val="062D2C"/>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D6F66"/>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244D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062D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