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519"/>
      </w:tblGrid>
      <w:tr>
        <w:tc>
          <w:tcPr>
            <w:tcW w:type="dxa" w:w="9518"/>
            <w:shd w:fill="1B2838" w:val="clear"/>
          </w:tcPr>
          <w:p>
            <w:pPr>
              <w:spacing w:after="0" w:before="0" w:line="240" w:lineRule="auto"/>
              <w:jc w:val="left"/>
            </w:pPr>
            <w:r/>
            <w:r>
              <w:rPr>
                <w:rFonts w:ascii="Calibri" w:hAnsi="Calibri" w:eastAsia="Calibri"/>
                <w:b/>
                <w:i w:val="0"/>
                <w:color w:val="FFFFFF"/>
                <w:sz w:val="24"/>
              </w:rPr>
              <w:t>TECNOLÓGICO DE SOFTWARE</w:t>
            </w:r>
          </w:p>
          <w:p>
            <w:pPr>
              <w:spacing w:after="40" w:before="0" w:line="240" w:lineRule="auto"/>
              <w:jc w:val="left"/>
            </w:pPr>
            <w:r>
              <w:rPr>
                <w:rFonts w:ascii="Calibri" w:hAnsi="Calibri" w:eastAsia="Calibri"/>
                <w:b w:val="0"/>
                <w:i w:val="0"/>
                <w:color w:val="F0C27A"/>
                <w:sz w:val="22"/>
              </w:rPr>
              <w:t>TSU en Desarrollo e Innovación de Software</w:t>
            </w:r>
          </w:p>
          <w:p>
            <w:pPr>
              <w:spacing w:after="0" w:before="40" w:line="240" w:lineRule="auto"/>
              <w:jc w:val="left"/>
            </w:pPr>
            <w:r>
              <w:rPr>
                <w:rFonts w:ascii="Calibri" w:hAnsi="Calibri" w:eastAsia="Calibri"/>
                <w:b w:val="0"/>
                <w:i w:val="0"/>
                <w:color w:val="E6EBF0"/>
                <w:sz w:val="22"/>
              </w:rPr>
              <w:t>Fundamentos de Arquitectura de Software y Desarrollo Backend</w:t>
            </w:r>
          </w:p>
        </w:tc>
      </w:tr>
    </w:tbl>
    <w:p>
      <w:pPr>
        <w:spacing w:after="0" w:before="200" w:line="240" w:lineRule="auto"/>
        <w:jc w:val="both"/>
      </w:pPr>
      <w:r>
        <w:rPr>
          <w:rFonts w:ascii="Calibri" w:hAnsi="Calibri" w:eastAsia="Calibri"/>
          <w:b w:val="0"/>
          <w:i w:val="0"/>
          <w:color w:val="1A1F26"/>
          <w:sz w:val="24"/>
        </w:rPr>
        <w:t xml:space="preserve"> </w:t>
      </w:r>
    </w:p>
    <w:p>
      <w:pPr>
        <w:spacing w:after="40" w:before="120" w:line="240" w:lineRule="auto"/>
        <w:jc w:val="left"/>
      </w:pPr>
      <w:r>
        <w:rPr>
          <w:rFonts w:ascii="Calibri" w:hAnsi="Calibri" w:eastAsia="Calibri"/>
          <w:b/>
          <w:i w:val="0"/>
          <w:color w:val="1A1F26"/>
          <w:sz w:val="24"/>
        </w:rPr>
        <w:t>REPORTE DE INVESTIGACIÓN</w:t>
      </w:r>
    </w:p>
    <w:p>
      <w:pPr>
        <w:spacing w:after="160" w:before="0" w:line="240" w:lineRule="auto"/>
        <w:jc w:val="left"/>
      </w:pPr>
      <w:r>
        <w:rPr>
          <w:rFonts w:ascii="Calibri" w:hAnsi="Calibri" w:eastAsia="Calibri"/>
          <w:b/>
          <w:i w:val="0"/>
          <w:color w:val="1B2838"/>
          <w:sz w:val="52"/>
        </w:rPr>
        <w:t>Amazon Web Services (AWS)</w:t>
      </w:r>
    </w:p>
    <w:p>
      <w:pPr>
        <w:spacing w:after="160" w:before="0" w:line="240" w:lineRule="auto"/>
        <w:jc w:val="left"/>
      </w:pPr>
      <w:r>
        <w:rPr>
          <w:rFonts w:ascii="Calibri" w:hAnsi="Calibri" w:eastAsia="Calibri"/>
          <w:b w:val="0"/>
          <w:i w:val="0"/>
          <w:color w:val="1A1F26"/>
          <w:sz w:val="26"/>
        </w:rPr>
        <w:t>Servicios en la nube para correr la API, la base, los archivos y el despliegue</w:t>
      </w:r>
    </w:p>
    <w:p>
      <w:pPr>
        <w:spacing w:after="240" w:before="40" w:line="240" w:lineRule="auto"/>
        <w:jc w:val="left"/>
      </w:pPr>
      <w:r>
        <w:rPr>
          <w:rFonts w:ascii="Calibri" w:hAnsi="Calibri" w:eastAsia="Calibri"/>
          <w:b w:val="0"/>
          <w:i/>
          <w:color w:val="1A1F26"/>
          <w:sz w:val="24"/>
        </w:rPr>
        <w:t>Unidad II  ·  Exposición  ·  Una herramienta de backend</w:t>
      </w:r>
    </w:p>
    <w:tbl>
      <w:tblPr>
        <w:tblW w:type="auto" w:w="0"/>
        <w:tblLayout w:type="fixed"/>
        <w:tblLook w:firstColumn="1" w:firstRow="1" w:lastColumn="0" w:lastRow="0" w:noHBand="0" w:noVBand="1" w:val="04A0"/>
      </w:tblPr>
      <w:tblGrid>
        <w:gridCol w:w="2041"/>
        <w:gridCol w:w="7478"/>
      </w:tblGrid>
      <w:tr>
        <w:tc>
          <w:tcPr>
            <w:tcW w:type="dxa" w:w="4759"/>
            <w:shd w:fill="F6F4EF" w:val="clear"/>
            <w:tcBorders>
              <w:top w:val="single" w:sz="4" w:color="D9D3C8"/>
              <w:left w:val="single" w:sz="4" w:color="D9D3C8"/>
              <w:bottom w:val="single" w:sz="4" w:color="D9D3C8"/>
              <w:right w:val="single" w:sz="4" w:color="D9D3C8"/>
            </w:tcBorders>
          </w:tcPr>
          <w:p>
            <w:pPr>
              <w:spacing w:after="0" w:before="0" w:line="240" w:lineRule="auto"/>
              <w:jc w:val="left"/>
            </w:pPr>
            <w:r/>
            <w:r>
              <w:rPr>
                <w:rFonts w:ascii="Calibri" w:hAnsi="Calibri" w:eastAsia="Calibri"/>
                <w:b/>
                <w:i w:val="0"/>
                <w:color w:val="E87A00"/>
                <w:sz w:val="22"/>
              </w:rPr>
              <w:t>Equipo</w:t>
            </w:r>
          </w:p>
        </w:tc>
        <w:tc>
          <w:tcPr>
            <w:tcW w:type="dxa" w:w="4759"/>
            <w:tcBorders>
              <w:top w:val="single" w:sz="4" w:color="D9D3C8"/>
              <w:left w:val="single" w:sz="4" w:color="D9D3C8"/>
              <w:bottom w:val="single" w:sz="4" w:color="D9D3C8"/>
              <w:right w:val="single" w:sz="4" w:color="D9D3C8"/>
            </w:tcBorders>
          </w:tcPr>
          <w:p>
            <w:pPr>
              <w:spacing w:after="0" w:before="0" w:line="240" w:lineRule="auto"/>
              <w:jc w:val="left"/>
            </w:pPr>
            <w:r/>
            <w:r>
              <w:rPr>
                <w:rFonts w:ascii="Calibri" w:hAnsi="Calibri" w:eastAsia="Calibri"/>
                <w:b w:val="0"/>
                <w:i w:val="0"/>
                <w:color w:val="1A1F26"/>
                <w:sz w:val="24"/>
              </w:rPr>
              <w:t>4</w:t>
            </w:r>
          </w:p>
        </w:tc>
      </w:tr>
      <w:tr>
        <w:tc>
          <w:tcPr>
            <w:tcW w:type="dxa" w:w="4759"/>
            <w:shd w:fill="F6F4EF" w:val="clear"/>
            <w:tcBorders>
              <w:top w:val="single" w:sz="4" w:color="D9D3C8"/>
              <w:left w:val="single" w:sz="4" w:color="D9D3C8"/>
              <w:bottom w:val="single" w:sz="4" w:color="D9D3C8"/>
              <w:right w:val="single" w:sz="4" w:color="D9D3C8"/>
            </w:tcBorders>
          </w:tcPr>
          <w:p>
            <w:pPr>
              <w:spacing w:after="0" w:before="0" w:line="240" w:lineRule="auto"/>
              <w:jc w:val="left"/>
            </w:pPr>
            <w:r/>
            <w:r>
              <w:rPr>
                <w:rFonts w:ascii="Calibri" w:hAnsi="Calibri" w:eastAsia="Calibri"/>
                <w:b/>
                <w:i w:val="0"/>
                <w:color w:val="E87A00"/>
                <w:sz w:val="22"/>
              </w:rPr>
              <w:t>Integrantes</w:t>
            </w:r>
          </w:p>
        </w:tc>
        <w:tc>
          <w:tcPr>
            <w:tcW w:type="dxa" w:w="4759"/>
            <w:tcBorders>
              <w:top w:val="single" w:sz="4" w:color="D9D3C8"/>
              <w:left w:val="single" w:sz="4" w:color="D9D3C8"/>
              <w:bottom w:val="single" w:sz="4" w:color="D9D3C8"/>
              <w:right w:val="single" w:sz="4" w:color="D9D3C8"/>
            </w:tcBorders>
          </w:tcPr>
          <w:p>
            <w:pPr>
              <w:spacing w:after="0" w:before="0" w:line="240" w:lineRule="auto"/>
              <w:jc w:val="left"/>
            </w:pPr>
            <w:r/>
            <w:r>
              <w:rPr>
                <w:rFonts w:ascii="Calibri" w:hAnsi="Calibri" w:eastAsia="Calibri"/>
                <w:b w:val="0"/>
                <w:i w:val="0"/>
                <w:color w:val="1A1F26"/>
                <w:sz w:val="24"/>
              </w:rPr>
              <w:t>David Alonso Romero Medina</w:t>
            </w:r>
          </w:p>
          <w:p>
            <w:pPr>
              <w:spacing w:after="0" w:before="0" w:line="240" w:lineRule="auto"/>
              <w:jc w:val="left"/>
            </w:pPr>
            <w:r>
              <w:rPr>
                <w:rFonts w:ascii="Calibri" w:hAnsi="Calibri" w:eastAsia="Calibri"/>
                <w:b w:val="0"/>
                <w:i w:val="0"/>
                <w:color w:val="1A1F26"/>
                <w:sz w:val="24"/>
              </w:rPr>
              <w:t>Roberto Balmes Solis</w:t>
            </w:r>
          </w:p>
          <w:p>
            <w:pPr>
              <w:spacing w:after="0" w:before="0" w:line="240" w:lineRule="auto"/>
              <w:jc w:val="left"/>
            </w:pPr>
            <w:r>
              <w:rPr>
                <w:rFonts w:ascii="Calibri" w:hAnsi="Calibri" w:eastAsia="Calibri"/>
                <w:b w:val="0"/>
                <w:i w:val="0"/>
                <w:color w:val="1A1F26"/>
                <w:sz w:val="24"/>
              </w:rPr>
              <w:t>Luis Enrique Ramos Díaz</w:t>
            </w:r>
          </w:p>
        </w:tc>
      </w:tr>
      <w:tr>
        <w:tc>
          <w:tcPr>
            <w:tcW w:type="dxa" w:w="4759"/>
            <w:shd w:fill="F6F4EF" w:val="clear"/>
            <w:tcBorders>
              <w:top w:val="single" w:sz="4" w:color="D9D3C8"/>
              <w:left w:val="single" w:sz="4" w:color="D9D3C8"/>
              <w:bottom w:val="single" w:sz="4" w:color="D9D3C8"/>
              <w:right w:val="single" w:sz="4" w:color="D9D3C8"/>
            </w:tcBorders>
          </w:tcPr>
          <w:p>
            <w:pPr>
              <w:spacing w:after="0" w:before="0" w:line="240" w:lineRule="auto"/>
              <w:jc w:val="left"/>
            </w:pPr>
            <w:r/>
            <w:r>
              <w:rPr>
                <w:rFonts w:ascii="Calibri" w:hAnsi="Calibri" w:eastAsia="Calibri"/>
                <w:b/>
                <w:i w:val="0"/>
                <w:color w:val="E87A00"/>
                <w:sz w:val="22"/>
              </w:rPr>
              <w:t>Documento</w:t>
            </w:r>
          </w:p>
        </w:tc>
        <w:tc>
          <w:tcPr>
            <w:tcW w:type="dxa" w:w="4759"/>
            <w:tcBorders>
              <w:top w:val="single" w:sz="4" w:color="D9D3C8"/>
              <w:left w:val="single" w:sz="4" w:color="D9D3C8"/>
              <w:bottom w:val="single" w:sz="4" w:color="D9D3C8"/>
              <w:right w:val="single" w:sz="4" w:color="D9D3C8"/>
            </w:tcBorders>
          </w:tcPr>
          <w:p>
            <w:pPr>
              <w:spacing w:after="0" w:before="0" w:line="240" w:lineRule="auto"/>
              <w:jc w:val="left"/>
            </w:pPr>
            <w:r/>
            <w:r>
              <w:rPr>
                <w:rFonts w:ascii="Calibri" w:hAnsi="Calibri" w:eastAsia="Calibri"/>
                <w:b w:val="0"/>
                <w:i w:val="0"/>
                <w:color w:val="1A1F26"/>
                <w:sz w:val="24"/>
              </w:rPr>
              <w:t>21 de octubre de 2026</w:t>
            </w:r>
          </w:p>
        </w:tc>
      </w:tr>
      <w:tr>
        <w:tc>
          <w:tcPr>
            <w:tcW w:type="dxa" w:w="4759"/>
            <w:shd w:fill="F6F4EF" w:val="clear"/>
            <w:tcBorders>
              <w:top w:val="single" w:sz="4" w:color="D9D3C8"/>
              <w:left w:val="single" w:sz="4" w:color="D9D3C8"/>
              <w:bottom w:val="single" w:sz="4" w:color="D9D3C8"/>
              <w:right w:val="single" w:sz="4" w:color="D9D3C8"/>
            </w:tcBorders>
          </w:tcPr>
          <w:p>
            <w:pPr>
              <w:spacing w:after="0" w:before="0" w:line="240" w:lineRule="auto"/>
              <w:jc w:val="left"/>
            </w:pPr>
            <w:r/>
            <w:r>
              <w:rPr>
                <w:rFonts w:ascii="Calibri" w:hAnsi="Calibri" w:eastAsia="Calibri"/>
                <w:b/>
                <w:i w:val="0"/>
                <w:color w:val="E87A00"/>
                <w:sz w:val="22"/>
              </w:rPr>
              <w:t>Exposición</w:t>
            </w:r>
          </w:p>
        </w:tc>
        <w:tc>
          <w:tcPr>
            <w:tcW w:type="dxa" w:w="4759"/>
            <w:tcBorders>
              <w:top w:val="single" w:sz="4" w:color="D9D3C8"/>
              <w:left w:val="single" w:sz="4" w:color="D9D3C8"/>
              <w:bottom w:val="single" w:sz="4" w:color="D9D3C8"/>
              <w:right w:val="single" w:sz="4" w:color="D9D3C8"/>
            </w:tcBorders>
          </w:tcPr>
          <w:p>
            <w:pPr>
              <w:spacing w:after="0" w:before="0" w:line="240" w:lineRule="auto"/>
              <w:jc w:val="left"/>
            </w:pPr>
            <w:r/>
            <w:r>
              <w:rPr>
                <w:rFonts w:ascii="Calibri" w:hAnsi="Calibri" w:eastAsia="Calibri"/>
                <w:b w:val="0"/>
                <w:i w:val="0"/>
                <w:color w:val="1A1F26"/>
                <w:sz w:val="24"/>
              </w:rPr>
              <w:t>26 de octubre de 2026  ·  15 minutos</w:t>
            </w:r>
          </w:p>
        </w:tc>
      </w:tr>
    </w:tbl>
    <w:p>
      <w:pPr>
        <w:spacing w:after="0" w:before="280" w:line="240" w:lineRule="auto"/>
        <w:jc w:val="left"/>
      </w:pPr>
      <w:r>
        <w:rPr>
          <w:rFonts w:ascii="Calibri" w:hAnsi="Calibri" w:eastAsia="Calibri"/>
          <w:b w:val="0"/>
          <w:i/>
          <w:color w:val="1A1F26"/>
          <w:sz w:val="22"/>
        </w:rPr>
        <w:t>El reporte desarrolla el borrador de la exposición. Las diapositivas conservan una idea por pantalla; aquí está el argumento, el ejemplo y las fuentes.</w:t>
      </w:r>
    </w:p>
    <w:p>
      <w:pPr>
        <w:sectPr>
          <w:pgSz w:w="12240" w:h="15840"/>
          <w:pgMar w:top="1247" w:right="1361" w:bottom="1134" w:left="1361" w:header="340" w:footer="283" w:gutter="0"/>
          <w:cols w:space="720"/>
          <w:titlePg/>
          <w:docGrid w:linePitch="360"/>
        </w:sectPr>
      </w:pPr>
    </w:p>
    <w:p>
      <w:pPr>
        <w:spacing w:after="80" w:before="200" w:line="240" w:lineRule="auto"/>
        <w:jc w:val="left"/>
      </w:pPr>
      <w:r>
        <w:rPr>
          <w:rFonts w:ascii="Calibri" w:hAnsi="Calibri" w:eastAsia="Calibri"/>
          <w:b/>
          <w:i w:val="0"/>
          <w:color w:val="1B2838"/>
          <w:sz w:val="32"/>
        </w:rPr>
        <w:t>1. Qué problema resuelve esta tecnología</w:t>
      </w:r>
    </w:p>
    <w:p>
      <w:pPr>
        <w:spacing w:after="120" w:before="0" w:line="240" w:lineRule="auto"/>
        <w:ind w:firstLine="283"/>
        <w:jc w:val="both"/>
      </w:pPr>
      <w:r>
        <w:rPr>
          <w:rFonts w:ascii="Calibri" w:hAnsi="Calibri" w:eastAsia="Calibri"/>
          <w:b w:val="0"/>
          <w:i w:val="0"/>
          <w:color w:val="1A1F26"/>
          <w:sz w:val="24"/>
        </w:rPr>
        <w:t>En el laboratorio, la API, MySQL y Docker ya resuelven el funcionamiento. Hay endpoints, hay filas y hay una imagen que levanta el servicio. Ese conjunto vive en la computadora de quien está desarrollando. Sirve para probar un caso de uso con el equipo sentado enfrente. Se queda corto cuando otra persona tiene que llamar la API por internet, cuando el comprobante en PDF conviene separarlo de la fila, o cuando hace falta una segunda copia del proceso porque la primera está ocupada.</w:t>
      </w:r>
    </w:p>
    <w:p>
      <w:pPr>
        <w:spacing w:after="120" w:before="0" w:line="240" w:lineRule="auto"/>
        <w:ind w:firstLine="283"/>
        <w:jc w:val="both"/>
      </w:pPr>
      <w:r>
        <w:rPr>
          <w:rFonts w:ascii="Calibri" w:hAnsi="Calibri" w:eastAsia="Calibri"/>
          <w:b w:val="0"/>
          <w:i w:val="0"/>
          <w:color w:val="1A1F26"/>
          <w:sz w:val="24"/>
        </w:rPr>
        <w:t xml:space="preserve">Atender ese hueco con un servidor propio implica elegirlo, instalarlo, parcharlo y pagarlo también en las semanas en que nadie lo consulta. Amazon Web Services ofrece esa infraestructura, desde 2006, como servicios por internet: cómputo, almacenamiento, bases de datos y herramientas de despliegue, disponibles bajo demanda y con un costo que varía según el uso. El whitepaper </w:t>
      </w:r>
      <w:r>
        <w:rPr>
          <w:rFonts w:ascii="Calibri" w:hAnsi="Calibri" w:eastAsia="Calibri"/>
          <w:b w:val="0"/>
          <w:i/>
          <w:color w:val="1A1F26"/>
          <w:sz w:val="24"/>
        </w:rPr>
        <w:t>Overview of Amazon Web Services</w:t>
      </w:r>
      <w:r>
        <w:rPr>
          <w:rFonts w:ascii="Calibri" w:hAnsi="Calibri" w:eastAsia="Calibri"/>
          <w:b w:val="0"/>
          <w:i w:val="0"/>
          <w:color w:val="1A1F26"/>
          <w:sz w:val="24"/>
        </w:rPr>
        <w:t>, con fecha de publicación del 2 de junio de 2026, describe la nube como la entrega bajo demanda de poder de cómputo, bases, almacenamiento y aplicaciones, con pago por uso y sin la inversión inicial del hardware. AWS posee y mantiene el equipo conectado a la red; quien lo usa aprovisiona lo que necesita. El mismo documento sitúa el catálogo por encima de los 200 servicios.</w:t>
      </w:r>
    </w:p>
    <w:p>
      <w:pPr>
        <w:spacing w:after="120" w:before="0" w:line="240" w:lineRule="auto"/>
        <w:ind w:firstLine="283"/>
        <w:jc w:val="both"/>
      </w:pPr>
      <w:r>
        <w:rPr>
          <w:rFonts w:ascii="Calibri" w:hAnsi="Calibri" w:eastAsia="Calibri"/>
          <w:b w:val="0"/>
          <w:i w:val="0"/>
          <w:color w:val="1A1F26"/>
          <w:sz w:val="24"/>
        </w:rPr>
        <w:t>Para la API de esta materia el catálogo se recorta. La decisión útil es una: publicar el servidor que el equipo ya escribió, con su base y con sus archivos, y poder apagarlo cuando la práctica termina. AWS entra en ese momento. GraphQL, Docker o el token resuelven otras preguntas —cómo se pide un dato, cómo se empaqueta el proceso, quién puede llamar un endpoint— y siguen haciendo falta dentro de la aplicación.</w:t>
      </w:r>
    </w:p>
    <w:p>
      <w:pPr>
        <w:spacing w:after="80" w:before="200" w:line="240" w:lineRule="auto"/>
        <w:jc w:val="left"/>
      </w:pPr>
      <w:r>
        <w:rPr>
          <w:rFonts w:ascii="Calibri" w:hAnsi="Calibri" w:eastAsia="Calibri"/>
          <w:b/>
          <w:i w:val="0"/>
          <w:color w:val="1B2838"/>
          <w:sz w:val="32"/>
        </w:rPr>
        <w:t>2. Las piezas con las que se trabaja</w:t>
      </w:r>
    </w:p>
    <w:p>
      <w:pPr>
        <w:spacing w:after="120" w:before="0" w:line="240" w:lineRule="auto"/>
        <w:ind w:firstLine="283"/>
        <w:jc w:val="both"/>
      </w:pPr>
      <w:r>
        <w:rPr>
          <w:rFonts w:ascii="Calibri" w:hAnsi="Calibri" w:eastAsia="Calibri"/>
          <w:b w:val="0"/>
          <w:i w:val="0"/>
          <w:color w:val="1A1F26"/>
          <w:sz w:val="24"/>
        </w:rPr>
        <w:t>La actividad pide reconocer servidor, cliente, archivo de configuración y servicio en la nube. En este diseño cada uno tiene un lugar concreto.</w:t>
      </w:r>
    </w:p>
    <w:p>
      <w:pPr>
        <w:spacing w:after="120" w:before="0" w:line="240" w:lineRule="auto"/>
        <w:ind w:firstLine="283"/>
        <w:jc w:val="both"/>
      </w:pPr>
      <w:r>
        <w:rPr>
          <w:rFonts w:ascii="Calibri" w:hAnsi="Calibri" w:eastAsia="Calibri"/>
          <w:b w:val="0"/>
          <w:i w:val="0"/>
          <w:color w:val="1A1F26"/>
          <w:sz w:val="24"/>
        </w:rPr>
        <w:t xml:space="preserve">El cliente de la API es el de siempre: el programa que envía </w:t>
      </w:r>
      <w:r>
        <w:rPr>
          <w:rFonts w:ascii="Calibri" w:hAnsi="Calibri" w:eastAsia="Calibri"/>
          <w:b/>
          <w:i w:val="0"/>
          <w:color w:val="1A1F26"/>
          <w:sz w:val="24"/>
        </w:rPr>
        <w:t>POST /ingresos</w:t>
      </w:r>
      <w:r>
        <w:rPr>
          <w:rFonts w:ascii="Calibri" w:hAnsi="Calibri" w:eastAsia="Calibri"/>
          <w:b w:val="0"/>
          <w:i w:val="0"/>
          <w:color w:val="1A1F26"/>
          <w:sz w:val="24"/>
        </w:rPr>
        <w:t xml:space="preserve"> con su token. El cliente de la plataforma es otro. Es la consola de AWS o la AWS CLI, con una identidad de IAM distinta del usuario raíz de la cuenta. El servidor deja de ser la laptop. Si el equipo publica la imagen de Docker, el servidor es una tarea de AWS Fargate: un contenedor con CPU y memoria asignadas, aislado de las demás tareas. La guía de Fargate para Amazon ECS dice que así se corren contenedores sin administrar servidores ni grupos de instancias EC2. Si el equipo entra por Elastic Beanstalk, el servidor es una o varias instancias EC2. Al crear el entorno, Beanstalk aprovisiona el balanceador, el grupo de Auto Scaling y las instancias, y entrega un nombre DNS del entorno.</w:t>
      </w:r>
    </w:p>
    <w:p>
      <w:pPr>
        <w:spacing w:after="120" w:before="0" w:line="240" w:lineRule="auto"/>
        <w:ind w:firstLine="283"/>
        <w:jc w:val="both"/>
      </w:pPr>
      <w:r>
        <w:rPr>
          <w:rFonts w:ascii="Calibri" w:hAnsi="Calibri" w:eastAsia="Calibri"/>
          <w:b w:val="0"/>
          <w:i w:val="0"/>
          <w:color w:val="1A1F26"/>
          <w:sz w:val="24"/>
        </w:rPr>
        <w:t xml:space="preserve">El archivo de configuración cambia de forma según la puerta de entrada. En ECS es la definición de la tarea: imagen, puerto, CPU, memoria, variables de entorno y roles. En Beanstalk, cuando la imagen ya está en un registro, el paquete lleva un </w:t>
      </w:r>
      <w:r>
        <w:rPr>
          <w:rFonts w:ascii="Calibri" w:hAnsi="Calibri" w:eastAsia="Calibri"/>
          <w:b w:val="0"/>
          <w:i/>
          <w:color w:val="1A1F26"/>
          <w:sz w:val="24"/>
        </w:rPr>
        <w:t>Dockerrun.aws.json</w:t>
      </w:r>
      <w:r>
        <w:rPr>
          <w:rFonts w:ascii="Calibri" w:hAnsi="Calibri" w:eastAsia="Calibri"/>
          <w:b w:val="0"/>
          <w:i w:val="0"/>
          <w:color w:val="1A1F26"/>
          <w:sz w:val="24"/>
        </w:rPr>
        <w:t xml:space="preserve"> o un </w:t>
      </w:r>
      <w:r>
        <w:rPr>
          <w:rFonts w:ascii="Calibri" w:hAnsi="Calibri" w:eastAsia="Calibri"/>
          <w:b w:val="0"/>
          <w:i/>
          <w:color w:val="1A1F26"/>
          <w:sz w:val="24"/>
        </w:rPr>
        <w:t>docker-compose.yml</w:t>
      </w:r>
      <w:r>
        <w:rPr>
          <w:rFonts w:ascii="Calibri" w:hAnsi="Calibri" w:eastAsia="Calibri"/>
          <w:b w:val="0"/>
          <w:i w:val="0"/>
          <w:color w:val="1A1F26"/>
          <w:sz w:val="24"/>
        </w:rPr>
        <w:t xml:space="preserve"> en la raíz. La guía de despliegue con contenedores documenta esas dos vías. En ambas el Dockerfile del equipo se conserva: la imagen se construye igual que en el laboratorio.</w:t>
      </w:r>
    </w:p>
    <w:p>
      <w:pPr>
        <w:spacing w:after="120" w:before="0" w:line="240" w:lineRule="auto"/>
        <w:ind w:firstLine="283"/>
        <w:jc w:val="both"/>
      </w:pPr>
      <w:r>
        <w:rPr>
          <w:rFonts w:ascii="Calibri" w:hAnsi="Calibri" w:eastAsia="Calibri"/>
          <w:b w:val="0"/>
          <w:i w:val="0"/>
          <w:color w:val="1A1F26"/>
          <w:sz w:val="24"/>
        </w:rPr>
        <w:t xml:space="preserve">Cinco servicios sostienen el ejemplo. Amazon Elastic Container Registry (ECR) guarda la imagen. Amazon Elastic Container Service (ECS) la ejecuta. Express Mode es una forma de crear ese servicio pidiendo tres datos: la imagen, un rol de ejecución y un rol de infraestructura. Con eso arma la tarea en Fargate, el balanceo con TLS, el escalado, la red y una URL propia, de la forma </w:t>
      </w:r>
      <w:r>
        <w:rPr>
          <w:rFonts w:ascii="Calibri" w:hAnsi="Calibri" w:eastAsia="Calibri"/>
          <w:b w:val="0"/>
          <w:i/>
          <w:color w:val="1A1F26"/>
          <w:sz w:val="24"/>
        </w:rPr>
        <w:t>https://&lt;servicio&gt;.ecs.&lt;región&gt;.on.aws/</w:t>
      </w:r>
      <w:r>
        <w:rPr>
          <w:rFonts w:ascii="Calibri" w:hAnsi="Calibri" w:eastAsia="Calibri"/>
          <w:b w:val="0"/>
          <w:i w:val="0"/>
          <w:color w:val="1A1F26"/>
          <w:sz w:val="24"/>
        </w:rPr>
        <w:t>. La documentación lo destina a aplicaciones web y a APIs sin estado, y a prototipos en los que el equipo quiere evitar el armado manual de balanceador, certificado y políticas de escalado. Cada recurso nace en la región que se elige al crearlo.</w:t>
      </w:r>
    </w:p>
    <w:p>
      <w:pPr>
        <w:spacing w:after="120" w:before="0" w:line="240" w:lineRule="auto"/>
        <w:ind w:firstLine="283"/>
        <w:jc w:val="both"/>
      </w:pPr>
      <w:r>
        <w:rPr>
          <w:rFonts w:ascii="Calibri" w:hAnsi="Calibri" w:eastAsia="Calibri"/>
          <w:b w:val="0"/>
          <w:i w:val="0"/>
          <w:color w:val="1A1F26"/>
          <w:sz w:val="24"/>
        </w:rPr>
        <w:t>Amazon RDS for MySQL sigue siendo MySQL. Se consulta con el cliente y el SQL del curso. La guía del servicio describe lo que RDS agrega alrededor del motor: cambiar el tamaño de la instancia, autorizar conexiones, tomar respaldos y snapshots, crear réplicas de lectura y un despliegue Multi-AZ como camino de conmutación si la zona de disponibilidad falla. Para poder operar el motor como servicio, RDS no entrega shell: no hay Telnet ni SSH al host, y el acceso a ciertos procedimientos y tablas del sistema está restringido. La guía de inicio crea la instancia en una subred privada de una VPC. Lo que vive en esa red puede conectarse; lo que está fuera de ella, no. En el ejemplo, el security group de la base acepta el puerto de MySQL solo desde el security group de la API.</w:t>
      </w:r>
    </w:p>
    <w:p>
      <w:pPr>
        <w:spacing w:after="120" w:before="0" w:line="240" w:lineRule="auto"/>
        <w:ind w:firstLine="283"/>
        <w:jc w:val="both"/>
      </w:pPr>
      <w:r>
        <w:rPr>
          <w:rFonts w:ascii="Calibri" w:hAnsi="Calibri" w:eastAsia="Calibri"/>
          <w:b w:val="0"/>
          <w:i w:val="0"/>
          <w:color w:val="1A1F26"/>
          <w:sz w:val="24"/>
        </w:rPr>
        <w:t xml:space="preserve">Amazon S3 guarda objetos. La guía </w:t>
      </w:r>
      <w:r>
        <w:rPr>
          <w:rFonts w:ascii="Calibri" w:hAnsi="Calibri" w:eastAsia="Calibri"/>
          <w:b w:val="0"/>
          <w:i/>
          <w:color w:val="1A1F26"/>
          <w:sz w:val="24"/>
        </w:rPr>
        <w:t>What is Amazon S3?</w:t>
      </w:r>
      <w:r>
        <w:rPr>
          <w:rFonts w:ascii="Calibri" w:hAnsi="Calibri" w:eastAsia="Calibri"/>
          <w:b w:val="0"/>
          <w:i w:val="0"/>
          <w:color w:val="1A1F26"/>
          <w:sz w:val="24"/>
        </w:rPr>
        <w:t xml:space="preserve"> define un objeto como el archivo y los metadatos que lo describen. El objeto vive en un bucket y se identifica con una clave, única dentro de ese bucket. Buckets y objetos son privados por defecto: solo quien los crea entra, hasta que una política diga otra cosa. El bloqueo de acceso público viene encendido a nivel de bucket, y la recomendación de AWS es dejarlo así salvo un caso en el que el archivo deba ser público a propósito. El PDF del comprobante va a S3. La fila de MySQL conserva la clave, por ejemplo </w:t>
      </w:r>
      <w:r>
        <w:rPr>
          <w:rFonts w:ascii="Calibri" w:hAnsi="Calibri" w:eastAsia="Calibri"/>
          <w:b w:val="0"/>
          <w:i/>
          <w:color w:val="1A1F26"/>
          <w:sz w:val="24"/>
        </w:rPr>
        <w:t>comprobantes/2026/10/ingreso-184.pdf</w:t>
      </w:r>
      <w:r>
        <w:rPr>
          <w:rFonts w:ascii="Calibri" w:hAnsi="Calibri" w:eastAsia="Calibri"/>
          <w:b w:val="0"/>
          <w:i w:val="0"/>
          <w:color w:val="1A1F26"/>
          <w:sz w:val="24"/>
        </w:rPr>
        <w:t>.</w:t>
      </w:r>
    </w:p>
    <w:p>
      <w:pPr>
        <w:spacing w:after="120" w:before="0" w:line="240" w:lineRule="auto"/>
        <w:ind w:firstLine="283"/>
        <w:jc w:val="both"/>
      </w:pPr>
      <w:r>
        <w:rPr>
          <w:rFonts w:ascii="Calibri" w:hAnsi="Calibri" w:eastAsia="Calibri"/>
          <w:b w:val="0"/>
          <w:i w:val="0"/>
          <w:color w:val="1A1F26"/>
          <w:sz w:val="24"/>
        </w:rPr>
        <w:t>IAM es el servicio con el que se controla quién está autenticado y quién está autorizado para usar recursos de la cuenta. Un rol es una identidad que se asume: no trae contraseña de largo plazo y, al asumirlo, entrega credenciales temporales. La tarea de la API asume un rol limitado a leer y escribir el bucket de comprobantes. Esa credencial no se copia dentro de la imagen.</w:t>
      </w:r>
    </w:p>
    <w:p>
      <w:pPr>
        <w:spacing w:after="120" w:before="0" w:line="240" w:lineRule="auto"/>
        <w:ind w:firstLine="283"/>
        <w:jc w:val="both"/>
      </w:pPr>
      <w:r>
        <w:rPr>
          <w:rFonts w:ascii="Calibri" w:hAnsi="Calibri" w:eastAsia="Calibri"/>
          <w:b w:val="0"/>
          <w:i w:val="0"/>
          <w:color w:val="1A1F26"/>
          <w:sz w:val="24"/>
        </w:rPr>
        <w:t>El token del curso y el rol de IAM cubren puertas distintas. El token viaja en la petición HTTP y autoriza un caso de uso del negocio: esta persona puede registrar un ingreso. El rol autoriza una llamada de plataforma: este proceso puede guardar un objeto. GraphQL, visto en la materia, define la forma en que el cliente pide los datos. AWS define el lugar donde corre el proceso que los responde. Las tres piezas se pueden usar en la misma API. Cada una responde una pregunta diferente.</w:t>
      </w:r>
    </w:p>
    <w:p>
      <w:pPr>
        <w:spacing w:after="120" w:before="0" w:line="240" w:lineRule="auto"/>
        <w:ind w:firstLine="283"/>
        <w:jc w:val="both"/>
      </w:pPr>
      <w:r>
        <w:rPr>
          <w:rFonts w:ascii="Calibri" w:hAnsi="Calibri" w:eastAsia="Calibri"/>
          <w:b w:val="0"/>
          <w:i w:val="0"/>
          <w:color w:val="1A1F26"/>
          <w:sz w:val="24"/>
        </w:rPr>
        <w:t>La seguridad se reparte, y el reparto depende del servicio. AWS lo llama responsabilidad compartida: seguridad de la nube, del lado de AWS, y seguridad en la nube, del lado de quien la usa. AWS protege la infraestructura que corre los servicios: hardware, software de la plataforma, red y edificios. En EC2, el cliente administra el sistema operativo invitado, los parches de su aplicación y el security group. En S3 y en otros servicios más abstractos, AWS opera también el sistema y la plataforma; el cliente clasifica los datos, elige el cifrado y aplica los permisos con IAM. Un bucket abierto o un puerto de MySQL expuesto a internet quedan del lado del equipo.</w:t>
      </w:r>
    </w:p>
    <w:p>
      <w:pPr>
        <w:spacing w:after="80" w:before="160" w:line="240" w:lineRule="auto"/>
        <w:jc w:val="left"/>
      </w:pPr>
      <w:r>
        <w:rPr>
          <w:rFonts w:ascii="Calibri" w:hAnsi="Calibri" w:eastAsia="Calibri"/>
          <w:b/>
          <w:i w:val="0"/>
          <w:color w:val="1B2838"/>
          <w:sz w:val="26"/>
        </w:rPr>
        <w:t>Cómo se usa, en pasos</w:t>
      </w:r>
    </w:p>
    <w:p>
      <w:pPr>
        <w:spacing w:after="120" w:before="0" w:line="240" w:lineRule="auto"/>
        <w:ind w:firstLine="283"/>
        <w:jc w:val="both"/>
      </w:pPr>
      <w:r>
        <w:rPr>
          <w:rFonts w:ascii="Calibri" w:hAnsi="Calibri" w:eastAsia="Calibri"/>
          <w:b w:val="0"/>
          <w:i w:val="0"/>
          <w:color w:val="1A1F26"/>
          <w:sz w:val="24"/>
        </w:rPr>
        <w:t>El orden importa porque cada paso depende del anterior. Primero se abre la cuenta, se elige la región y se crea una identidad de trabajo. El usuario raíz se reserva para las operaciones que solo él puede hacer. Después se crean el bucket, con el acceso público bloqueado, y la instancia de RDS for MySQL en subred privada. La contraseña de la base se guarda como secreto, fuera del código y fuera de la imagen. Enseguida se construye la imagen con el Dockerfile del laboratorio y se sube a ECR. Con esa imagen se crea el servicio de ECS Express Mode: puerto de la API, variables de conexión y rol del bucket. Al final se llaman los mismos endpoints que en local. Cerrar la práctica incluye borrar el servicio, la instancia y el bucket. Mientras el recurso existe, está en condiciones de generar cargo.</w:t>
      </w:r>
    </w:p>
    <w:p>
      <w:pPr>
        <w:spacing w:after="120" w:before="0" w:line="240" w:lineRule="auto"/>
        <w:ind w:firstLine="283"/>
        <w:jc w:val="both"/>
      </w:pPr>
      <w:r>
        <w:rPr>
          <w:rFonts w:ascii="Calibri" w:hAnsi="Calibri" w:eastAsia="Calibri"/>
          <w:b w:val="0"/>
          <w:i w:val="0"/>
          <w:color w:val="1A1F26"/>
          <w:sz w:val="24"/>
        </w:rPr>
        <w:t>App Runner ofrece una experiencia cercana: se entrega una imagen o el código, y el servicio publica una URL, balancea y escala. Su guía actual avisa que ya no está abierto a clientes nuevos y recomienda Amazon ECS Express Mode a quien no sea cliente existente. Por eso el ejemplo de este reporte usa Express Mode. Elastic Beanstalk permanece en el argumento por dos razones: sigue documentado para desplegar contenedores, y es el servicio del demo oficial que cabe en tres minutos.</w:t>
      </w:r>
    </w:p>
    <w:p>
      <w:pPr>
        <w:spacing w:after="80" w:before="160" w:line="240" w:lineRule="auto"/>
        <w:jc w:val="left"/>
      </w:pPr>
      <w:r>
        <w:rPr>
          <w:rFonts w:ascii="Calibri" w:hAnsi="Calibri" w:eastAsia="Calibri"/>
          <w:b/>
          <w:i w:val="0"/>
          <w:color w:val="1B2838"/>
          <w:sz w:val="26"/>
        </w:rPr>
        <w:t>Relación con lo ya visto en el curso</w:t>
      </w:r>
    </w:p>
    <w:p>
      <w:pPr>
        <w:spacing w:after="120" w:before="0" w:line="240" w:lineRule="auto"/>
        <w:ind w:firstLine="283"/>
        <w:jc w:val="both"/>
      </w:pPr>
      <w:r>
        <w:rPr>
          <w:rFonts w:ascii="Calibri" w:hAnsi="Calibri" w:eastAsia="Calibri"/>
          <w:b w:val="0"/>
          <w:i w:val="0"/>
          <w:color w:val="1A1F26"/>
          <w:sz w:val="24"/>
        </w:rPr>
        <w:t>La tabla resume la comparación que la exposición tiene que hacer explícita. Docker, MySQL y el token no se tiran. Cambian de sitio o de alcance.</w:t>
      </w:r>
    </w:p>
    <w:tbl>
      <w:tblPr>
        <w:tblStyle w:val="TableGrid"/>
        <w:tblW w:type="auto" w:w="0"/>
        <w:tblLayout w:type="fixed"/>
        <w:tblLook w:firstColumn="1" w:firstRow="1" w:lastColumn="0" w:lastRow="0" w:noHBand="0" w:noVBand="1" w:val="04A0"/>
      </w:tblPr>
      <w:tblGrid>
        <w:gridCol w:w="1984"/>
        <w:gridCol w:w="3005"/>
        <w:gridCol w:w="4530"/>
      </w:tblGrid>
      <w:tr>
        <w:tc>
          <w:tcPr>
            <w:tcW w:type="dxa" w:w="3173"/>
            <w:shd w:fill="1B2838" w:val="clear"/>
          </w:tcPr>
          <w:p>
            <w:pPr>
              <w:spacing w:after="0" w:before="0" w:line="240" w:lineRule="auto"/>
              <w:jc w:val="left"/>
            </w:pPr>
            <w:r/>
            <w:r>
              <w:rPr>
                <w:rFonts w:ascii="Calibri" w:hAnsi="Calibri" w:eastAsia="Calibri"/>
                <w:b/>
                <w:i w:val="0"/>
                <w:color w:val="FFFFFF"/>
                <w:sz w:val="20"/>
              </w:rPr>
              <w:t>Ya visto en el curso</w:t>
            </w:r>
          </w:p>
        </w:tc>
        <w:tc>
          <w:tcPr>
            <w:tcW w:type="dxa" w:w="3173"/>
            <w:shd w:fill="1B2838" w:val="clear"/>
          </w:tcPr>
          <w:p>
            <w:pPr>
              <w:spacing w:after="0" w:before="0" w:line="240" w:lineRule="auto"/>
              <w:jc w:val="left"/>
            </w:pPr>
            <w:r/>
            <w:r>
              <w:rPr>
                <w:rFonts w:ascii="Calibri" w:hAnsi="Calibri" w:eastAsia="Calibri"/>
                <w:b/>
                <w:i w:val="0"/>
                <w:color w:val="FFFFFF"/>
                <w:sz w:val="20"/>
              </w:rPr>
              <w:t>Qué se conserva</w:t>
            </w:r>
          </w:p>
        </w:tc>
        <w:tc>
          <w:tcPr>
            <w:tcW w:type="dxa" w:w="3173"/>
            <w:shd w:fill="1B2838" w:val="clear"/>
          </w:tcPr>
          <w:p>
            <w:pPr>
              <w:spacing w:after="0" w:before="0" w:line="240" w:lineRule="auto"/>
              <w:jc w:val="left"/>
            </w:pPr>
            <w:r/>
            <w:r>
              <w:rPr>
                <w:rFonts w:ascii="Calibri" w:hAnsi="Calibri" w:eastAsia="Calibri"/>
                <w:b/>
                <w:i w:val="0"/>
                <w:color w:val="FFFFFF"/>
                <w:sz w:val="20"/>
              </w:rPr>
              <w:t>Qué cambia con AWS</w:t>
            </w:r>
          </w:p>
        </w:tc>
      </w:tr>
      <w:tr>
        <w:tc>
          <w:tcPr>
            <w:tcW w:type="dxa" w:w="3173"/>
          </w:tcPr>
          <w:p>
            <w:pPr>
              <w:spacing w:after="0" w:before="0" w:line="240" w:lineRule="auto"/>
              <w:jc w:val="left"/>
            </w:pPr>
            <w:r/>
            <w:r>
              <w:rPr>
                <w:rFonts w:ascii="Calibri" w:hAnsi="Calibri" w:eastAsia="Calibri"/>
                <w:b/>
                <w:i w:val="0"/>
                <w:color w:val="1A1F26"/>
                <w:sz w:val="20"/>
              </w:rPr>
              <w:t>Docker</w:t>
            </w:r>
          </w:p>
        </w:tc>
        <w:tc>
          <w:tcPr>
            <w:tcW w:type="dxa" w:w="3173"/>
          </w:tcPr>
          <w:p>
            <w:pPr>
              <w:spacing w:after="0" w:before="0" w:line="240" w:lineRule="auto"/>
              <w:jc w:val="left"/>
            </w:pPr>
            <w:r/>
            <w:r>
              <w:rPr>
                <w:rFonts w:ascii="Calibri" w:hAnsi="Calibri" w:eastAsia="Calibri"/>
                <w:b w:val="0"/>
                <w:i w:val="0"/>
                <w:color w:val="1A1F26"/>
                <w:sz w:val="20"/>
              </w:rPr>
              <w:t>La imagen y el Dockerfile</w:t>
            </w:r>
          </w:p>
        </w:tc>
        <w:tc>
          <w:tcPr>
            <w:tcW w:type="dxa" w:w="3173"/>
          </w:tcPr>
          <w:p>
            <w:pPr>
              <w:spacing w:after="0" w:before="0" w:line="240" w:lineRule="auto"/>
              <w:jc w:val="left"/>
            </w:pPr>
            <w:r/>
            <w:r>
              <w:rPr>
                <w:rFonts w:ascii="Calibri" w:hAnsi="Calibri" w:eastAsia="Calibri"/>
                <w:b w:val="0"/>
                <w:i w:val="0"/>
                <w:color w:val="1A1F26"/>
                <w:sz w:val="20"/>
              </w:rPr>
              <w:t>ECR guarda la imagen. Fargate la ejecuta. Express Mode publica una URL con HTTPS y puede sumar copias.</w:t>
            </w:r>
          </w:p>
        </w:tc>
      </w:tr>
      <w:tr>
        <w:tc>
          <w:tcPr>
            <w:tcW w:type="dxa" w:w="3173"/>
            <w:shd w:fill="F6F4EF" w:val="clear"/>
          </w:tcPr>
          <w:p>
            <w:pPr>
              <w:spacing w:after="0" w:before="0" w:line="240" w:lineRule="auto"/>
              <w:jc w:val="left"/>
            </w:pPr>
            <w:r/>
            <w:r>
              <w:rPr>
                <w:rFonts w:ascii="Calibri" w:hAnsi="Calibri" w:eastAsia="Calibri"/>
                <w:b/>
                <w:i w:val="0"/>
                <w:color w:val="1A1F26"/>
                <w:sz w:val="20"/>
              </w:rPr>
              <w:t>MySQL</w:t>
            </w:r>
          </w:p>
        </w:tc>
        <w:tc>
          <w:tcPr>
            <w:tcW w:type="dxa" w:w="3173"/>
            <w:shd w:fill="F6F4EF" w:val="clear"/>
          </w:tcPr>
          <w:p>
            <w:pPr>
              <w:spacing w:after="0" w:before="0" w:line="240" w:lineRule="auto"/>
              <w:jc w:val="left"/>
            </w:pPr>
            <w:r/>
            <w:r>
              <w:rPr>
                <w:rFonts w:ascii="Calibri" w:hAnsi="Calibri" w:eastAsia="Calibri"/>
                <w:b w:val="0"/>
                <w:i w:val="0"/>
                <w:color w:val="1A1F26"/>
                <w:sz w:val="20"/>
              </w:rPr>
              <w:t>El SQL y el cliente</w:t>
            </w:r>
          </w:p>
        </w:tc>
        <w:tc>
          <w:tcPr>
            <w:tcW w:type="dxa" w:w="3173"/>
            <w:shd w:fill="F6F4EF" w:val="clear"/>
          </w:tcPr>
          <w:p>
            <w:pPr>
              <w:spacing w:after="0" w:before="0" w:line="240" w:lineRule="auto"/>
              <w:jc w:val="left"/>
            </w:pPr>
            <w:r/>
            <w:r>
              <w:rPr>
                <w:rFonts w:ascii="Calibri" w:hAnsi="Calibri" w:eastAsia="Calibri"/>
                <w:b w:val="0"/>
                <w:i w:val="0"/>
                <w:color w:val="1A1F26"/>
                <w:sz w:val="20"/>
              </w:rPr>
              <w:t>RDS opera el motor, toma respaldos y puede ofrecer Multi-AZ. No hay shell en el servidor.</w:t>
            </w:r>
          </w:p>
        </w:tc>
      </w:tr>
      <w:tr>
        <w:tc>
          <w:tcPr>
            <w:tcW w:type="dxa" w:w="3173"/>
          </w:tcPr>
          <w:p>
            <w:pPr>
              <w:spacing w:after="0" w:before="0" w:line="240" w:lineRule="auto"/>
              <w:jc w:val="left"/>
            </w:pPr>
            <w:r/>
            <w:r>
              <w:rPr>
                <w:rFonts w:ascii="Calibri" w:hAnsi="Calibri" w:eastAsia="Calibri"/>
                <w:b/>
                <w:i w:val="0"/>
                <w:color w:val="1A1F26"/>
                <w:sz w:val="20"/>
              </w:rPr>
              <w:t>Token y permisos</w:t>
            </w:r>
          </w:p>
        </w:tc>
        <w:tc>
          <w:tcPr>
            <w:tcW w:type="dxa" w:w="3173"/>
          </w:tcPr>
          <w:p>
            <w:pPr>
              <w:spacing w:after="0" w:before="0" w:line="240" w:lineRule="auto"/>
              <w:jc w:val="left"/>
            </w:pPr>
            <w:r/>
            <w:r>
              <w:rPr>
                <w:rFonts w:ascii="Calibri" w:hAnsi="Calibri" w:eastAsia="Calibri"/>
                <w:b w:val="0"/>
                <w:i w:val="0"/>
                <w:color w:val="1A1F26"/>
                <w:sz w:val="20"/>
              </w:rPr>
              <w:t>Una identidad y una lista de acciones</w:t>
            </w:r>
          </w:p>
        </w:tc>
        <w:tc>
          <w:tcPr>
            <w:tcW w:type="dxa" w:w="3173"/>
          </w:tcPr>
          <w:p>
            <w:pPr>
              <w:spacing w:after="0" w:before="0" w:line="240" w:lineRule="auto"/>
              <w:jc w:val="left"/>
            </w:pPr>
            <w:r/>
            <w:r>
              <w:rPr>
                <w:rFonts w:ascii="Calibri" w:hAnsi="Calibri" w:eastAsia="Calibri"/>
                <w:b w:val="0"/>
                <w:i w:val="0"/>
                <w:color w:val="1A1F26"/>
                <w:sz w:val="20"/>
              </w:rPr>
              <w:t>El token autoriza el caso de uso de la API. IAM autoriza el uso de recursos de AWS.</w:t>
            </w:r>
          </w:p>
        </w:tc>
      </w:tr>
    </w:tbl>
    <w:p>
      <w:pPr>
        <w:spacing w:after="160" w:before="60" w:line="240" w:lineRule="auto"/>
        <w:jc w:val="left"/>
      </w:pPr>
      <w:r>
        <w:rPr>
          <w:rFonts w:ascii="Calibri" w:hAnsi="Calibri" w:eastAsia="Calibri"/>
          <w:b w:val="0"/>
          <w:i/>
          <w:color w:val="3E4A57"/>
          <w:sz w:val="20"/>
        </w:rPr>
        <w:t>Tabla 1. Relación entre AWS y tres piezas ya trabajadas en el curso.</w:t>
      </w:r>
    </w:p>
    <w:p>
      <w:pPr>
        <w:spacing w:after="80" w:before="200" w:line="240" w:lineRule="auto"/>
        <w:jc w:val="left"/>
      </w:pPr>
      <w:r>
        <w:rPr>
          <w:rFonts w:ascii="Calibri" w:hAnsi="Calibri" w:eastAsia="Calibri"/>
          <w:b/>
          <w:i w:val="0"/>
          <w:color w:val="1B2838"/>
          <w:sz w:val="32"/>
        </w:rPr>
        <w:t>3. Un ejemplo pequeño, del tipo de API del curso</w:t>
      </w:r>
    </w:p>
    <w:p>
      <w:pPr>
        <w:spacing w:after="120" w:before="0" w:line="240" w:lineRule="auto"/>
        <w:ind w:firstLine="283"/>
        <w:jc w:val="both"/>
      </w:pPr>
      <w:r>
        <w:rPr>
          <w:rFonts w:ascii="Calibri" w:hAnsi="Calibri" w:eastAsia="Calibri"/>
          <w:b w:val="0"/>
          <w:i w:val="0"/>
          <w:color w:val="1A1F26"/>
          <w:sz w:val="24"/>
        </w:rPr>
        <w:t>El ejemplo no se implementa dentro del Sistema General de Ingresos. La consigna de la actividad lo deja fuera del sistema. Sí usa el mismo tipo de problema: una API que registra un ingreso y conserva el comprobante.</w:t>
      </w:r>
    </w:p>
    <w:p>
      <w:pPr>
        <w:spacing w:after="120" w:before="0" w:line="240" w:lineRule="auto"/>
        <w:ind w:firstLine="283"/>
        <w:jc w:val="both"/>
      </w:pPr>
      <w:r>
        <w:rPr>
          <w:rFonts w:ascii="Calibri" w:hAnsi="Calibri" w:eastAsia="Calibri"/>
          <w:b w:val="0"/>
          <w:i w:val="0"/>
          <w:color w:val="1A1F26"/>
          <w:sz w:val="24"/>
        </w:rPr>
        <w:t xml:space="preserve">Un cliente ya autenticado envía </w:t>
      </w:r>
      <w:r>
        <w:rPr>
          <w:rFonts w:ascii="Calibri" w:hAnsi="Calibri" w:eastAsia="Calibri"/>
          <w:b/>
          <w:i w:val="0"/>
          <w:color w:val="1A1F26"/>
          <w:sz w:val="24"/>
        </w:rPr>
        <w:t>POST /ingresos</w:t>
      </w:r>
      <w:r>
        <w:rPr>
          <w:rFonts w:ascii="Calibri" w:hAnsi="Calibri" w:eastAsia="Calibri"/>
          <w:b w:val="0"/>
          <w:i w:val="0"/>
          <w:color w:val="1A1F26"/>
          <w:sz w:val="24"/>
        </w:rPr>
        <w:t xml:space="preserve"> con monto, concepto, fecha y el PDF. La API valida el token con la lógica que el curso ya trabaja. Inserta en RDS una fila con identificador, monto, concepto, fecha y la clave del objeto. Sube el PDF a S3 con el rol de la tarea. Responde </w:t>
      </w:r>
      <w:r>
        <w:rPr>
          <w:rFonts w:ascii="Calibri" w:hAnsi="Calibri" w:eastAsia="Calibri"/>
          <w:b/>
          <w:i w:val="0"/>
          <w:color w:val="1A1F26"/>
          <w:sz w:val="24"/>
        </w:rPr>
        <w:t>201</w:t>
      </w:r>
      <w:r>
        <w:rPr>
          <w:rFonts w:ascii="Calibri" w:hAnsi="Calibri" w:eastAsia="Calibri"/>
          <w:b w:val="0"/>
          <w:i w:val="0"/>
          <w:color w:val="1A1F26"/>
          <w:sz w:val="24"/>
        </w:rPr>
        <w:t xml:space="preserve"> y el identificador. Un </w:t>
      </w:r>
      <w:r>
        <w:rPr>
          <w:rFonts w:ascii="Calibri" w:hAnsi="Calibri" w:eastAsia="Calibri"/>
          <w:b/>
          <w:i w:val="0"/>
          <w:color w:val="1A1F26"/>
          <w:sz w:val="24"/>
        </w:rPr>
        <w:t>GET /ingresos/184</w:t>
      </w:r>
      <w:r>
        <w:rPr>
          <w:rFonts w:ascii="Calibri" w:hAnsi="Calibri" w:eastAsia="Calibri"/>
          <w:b w:val="0"/>
          <w:i w:val="0"/>
          <w:color w:val="1A1F26"/>
          <w:sz w:val="24"/>
        </w:rPr>
        <w:t xml:space="preserve"> lee la fila. Si el cliente pide el comprobante, la API devuelve una URL temporal de S3. El binario no viaja dentro del JSON y no se queda en el disco del contenedor.</w:t>
      </w:r>
    </w:p>
    <w:p>
      <w:pPr>
        <w:spacing w:after="120" w:before="0" w:line="240" w:lineRule="auto"/>
        <w:ind w:firstLine="283"/>
        <w:jc w:val="both"/>
      </w:pPr>
      <w:r>
        <w:rPr>
          <w:rFonts w:ascii="Calibri" w:hAnsi="Calibri" w:eastAsia="Calibri"/>
          <w:b w:val="0"/>
          <w:i w:val="0"/>
          <w:color w:val="1A1F26"/>
          <w:sz w:val="24"/>
        </w:rPr>
        <w:t>Ese último detalle es el que hace viable el cómputo de Fargate. Express Mode puede detener una tarea y levantar otra cuando cambia el tráfico o cuando un despliegue sustituye la imagen. El ingreso tiene que seguir existiendo después de ese reemplazo. Por eso el estado del negocio queda en RDS y el archivo queda en S3. La tarea es reemplazable.</w:t>
      </w:r>
    </w:p>
    <w:p>
      <w:pPr>
        <w:spacing w:after="120" w:before="0" w:line="240" w:lineRule="auto"/>
        <w:ind w:firstLine="283"/>
        <w:jc w:val="both"/>
      </w:pPr>
      <w:r>
        <w:rPr>
          <w:rFonts w:ascii="Calibri" w:hAnsi="Calibri" w:eastAsia="Calibri"/>
          <w:b w:val="0"/>
          <w:i w:val="0"/>
          <w:color w:val="1A1F26"/>
          <w:sz w:val="24"/>
        </w:rPr>
        <w:t>Si entran más peticiones, Express Mode agrega tareas detrás del balanceador. La base no se clona por esa misma regla. Crecer la instancia de RDS, o agregar una réplica de lectura, es otra decisión y otro costo. Para demostrar el flujo en la materia alcanzan una tarea y una instancia pequeña. El ejemplo sirve para ver las fronteras, no para simular un pico de producción.</w:t>
      </w:r>
    </w:p>
    <w:p>
      <w:pPr>
        <w:spacing w:after="120" w:before="0" w:line="240" w:lineRule="auto"/>
        <w:ind w:firstLine="283"/>
        <w:jc w:val="both"/>
      </w:pPr>
      <w:r>
        <w:rPr>
          <w:rFonts w:ascii="Calibri" w:hAnsi="Calibri" w:eastAsia="Calibri"/>
          <w:b w:val="0"/>
          <w:i w:val="0"/>
          <w:color w:val="1A1F26"/>
          <w:sz w:val="24"/>
        </w:rPr>
        <w:t xml:space="preserve">AWS sí publica video en YouTube, en el canal Amazon Web Services. El que cabe en el máximo de tres minutos de la actividad dura 2 minutos con 45 segundos: </w:t>
      </w:r>
      <w:r>
        <w:rPr>
          <w:rFonts w:ascii="Calibri" w:hAnsi="Calibri" w:eastAsia="Calibri"/>
          <w:b w:val="0"/>
          <w:i/>
          <w:color w:val="1A1F26"/>
          <w:sz w:val="24"/>
        </w:rPr>
        <w:t>Running Your Startup's Sign Up Form on AWS Elastic Beanstalk: Part 1</w:t>
      </w:r>
      <w:r>
        <w:rPr>
          <w:rFonts w:ascii="Calibri" w:hAnsi="Calibri" w:eastAsia="Calibri"/>
          <w:b w:val="0"/>
          <w:i w:val="0"/>
          <w:color w:val="1A1F26"/>
          <w:sz w:val="24"/>
        </w:rPr>
        <w:t xml:space="preserve"> (</w:t>
      </w:r>
      <w:hyperlink r:id="rId11">
        <w:r>
          <w:rPr>
            <w:rFonts w:ascii="Calibri" w:hAnsi="Calibri" w:eastAsia="Calibri"/>
            <w:sz w:val="24"/>
            <w:szCs w:val="24"/>
            <w:color w:val="0B3D91"/>
            <w:u w:val="single"/>
          </w:rPr>
          <w:t xml:space="preserve">https://www.youtube.com/watch?v=rsg4YI4mljg</w:t>
        </w:r>
      </w:hyperlink>
      <w:r>
        <w:rPr>
          <w:rFonts w:ascii="Calibri" w:hAnsi="Calibri" w:eastAsia="Calibri"/>
          <w:b w:val="0"/>
          <w:i w:val="0"/>
          <w:color w:val="1A1F26"/>
          <w:sz w:val="24"/>
        </w:rPr>
        <w:t>). El blog de AWS Startups, del 29 de julio de 2014, enlaza ese video y afirma que la primera parte deja la aplicación de ejemplo corriendo en Elastic Beanstalk en menos de tres minutos. La aplicación está hecha con Python y Flask, usa DynamoDB y Amazon SNS, y la consola que se ve es la de 2013. Muestra la idea de subir una aplicación y recibir una URL. Los menús actuales de la consola son otros, y el almacén del ejemplo no es MySQL.</w:t>
      </w:r>
    </w:p>
    <w:p>
      <w:pPr>
        <w:spacing w:after="120" w:before="0" w:line="240" w:lineRule="auto"/>
        <w:ind w:firstLine="283"/>
        <w:jc w:val="both"/>
      </w:pPr>
      <w:r>
        <w:rPr>
          <w:rFonts w:ascii="Calibri" w:hAnsi="Calibri" w:eastAsia="Calibri"/>
          <w:b w:val="0"/>
          <w:i w:val="0"/>
          <w:color w:val="1A1F26"/>
          <w:sz w:val="24"/>
        </w:rPr>
        <w:t xml:space="preserve">El whitepaper de visión general cita otro video del mismo canal, </w:t>
      </w:r>
      <w:r>
        <w:rPr>
          <w:rFonts w:ascii="Calibri" w:hAnsi="Calibri" w:eastAsia="Calibri"/>
          <w:b w:val="0"/>
          <w:i/>
          <w:color w:val="1A1F26"/>
          <w:sz w:val="24"/>
        </w:rPr>
        <w:t>What is AWS?</w:t>
      </w:r>
      <w:r>
        <w:rPr>
          <w:rFonts w:ascii="Calibri" w:hAnsi="Calibri" w:eastAsia="Calibri"/>
          <w:b w:val="0"/>
          <w:i w:val="0"/>
          <w:color w:val="1A1F26"/>
          <w:sz w:val="24"/>
        </w:rPr>
        <w:t xml:space="preserve"> (</w:t>
      </w:r>
      <w:hyperlink r:id="rId12">
        <w:r>
          <w:rPr>
            <w:rFonts w:ascii="Calibri" w:hAnsi="Calibri" w:eastAsia="Calibri"/>
            <w:sz w:val="24"/>
            <w:szCs w:val="24"/>
            <w:color w:val="0B3D91"/>
            <w:u w:val="single"/>
          </w:rPr>
          <w:t xml:space="preserve">https://www.youtube.com/watch?v=a9__D53WsUs</w:t>
        </w:r>
      </w:hyperlink>
      <w:r>
        <w:rPr>
          <w:rFonts w:ascii="Calibri" w:hAnsi="Calibri" w:eastAsia="Calibri"/>
          <w:b w:val="0"/>
          <w:i w:val="0"/>
          <w:color w:val="1A1F26"/>
          <w:sz w:val="24"/>
        </w:rPr>
        <w:t xml:space="preserve">). Dura 3 minutos con 11 segundos, así que rebasa el tope de la actividad por once segundos. Sirve como presentación vigente de la plataforma, no como demo de un despliegue. El recorrido de consola </w:t>
      </w:r>
      <w:r>
        <w:rPr>
          <w:rFonts w:ascii="Calibri" w:hAnsi="Calibri" w:eastAsia="Calibri"/>
          <w:b w:val="0"/>
          <w:i/>
          <w:color w:val="1A1F26"/>
          <w:sz w:val="24"/>
        </w:rPr>
        <w:t>Deploy web app in AWS App Runner</w:t>
      </w:r>
      <w:r>
        <w:rPr>
          <w:rFonts w:ascii="Calibri" w:hAnsi="Calibri" w:eastAsia="Calibri"/>
          <w:b w:val="0"/>
          <w:i w:val="0"/>
          <w:color w:val="1A1F26"/>
          <w:sz w:val="24"/>
        </w:rPr>
        <w:t xml:space="preserve"> (</w:t>
      </w:r>
      <w:hyperlink r:id="rId13">
        <w:r>
          <w:rPr>
            <w:rFonts w:ascii="Calibri" w:hAnsi="Calibri" w:eastAsia="Calibri"/>
            <w:sz w:val="24"/>
            <w:szCs w:val="24"/>
            <w:color w:val="0B3D91"/>
            <w:u w:val="single"/>
          </w:rPr>
          <w:t xml:space="preserve">https://www.youtube.com/watch?v=PKbAyADayZE</w:t>
        </w:r>
      </w:hyperlink>
      <w:r>
        <w:rPr>
          <w:rFonts w:ascii="Calibri" w:hAnsi="Calibri" w:eastAsia="Calibri"/>
          <w:b w:val="0"/>
          <w:i w:val="0"/>
          <w:color w:val="1A1F26"/>
          <w:sz w:val="24"/>
        </w:rPr>
        <w:t>), también del canal oficial, dura 15 minutos con 19 segundos. Queda fuera del tiempo de la exposición, y el servicio que demuestra ya no recibe clientes nuevos.</w:t>
      </w:r>
    </w:p>
    <w:p>
      <w:pPr>
        <w:spacing w:after="80" w:before="200" w:line="240" w:lineRule="auto"/>
        <w:jc w:val="left"/>
      </w:pPr>
      <w:r>
        <w:rPr>
          <w:rFonts w:ascii="Calibri" w:hAnsi="Calibri" w:eastAsia="Calibri"/>
          <w:b/>
          <w:i w:val="0"/>
          <w:color w:val="1B2838"/>
          <w:sz w:val="32"/>
        </w:rPr>
        <w:t>4. Qué gana el equipo y qué costo o límite tiene</w:t>
      </w:r>
    </w:p>
    <w:p>
      <w:pPr>
        <w:spacing w:after="120" w:before="0" w:line="240" w:lineRule="auto"/>
        <w:ind w:firstLine="283"/>
        <w:jc w:val="both"/>
      </w:pPr>
      <w:r>
        <w:rPr>
          <w:rFonts w:ascii="Calibri" w:hAnsi="Calibri" w:eastAsia="Calibri"/>
          <w:b w:val="0"/>
          <w:i w:val="0"/>
          <w:color w:val="1A1F26"/>
          <w:sz w:val="24"/>
        </w:rPr>
        <w:t>El equipo gana un lugar donde publicar las tres piezas que ya construyó, conservando el SQL y el Dockerfile. La API recibe una URL con HTTPS. MySQL queda operado por RDS, con respaldos del servicio. El PDF sale de la tabla. Si hay más peticiones, se suman copias del contenedor en lugar de comprar otra computadora. El gasto acompaña al uso: la práctica se puede apagar al terminar, cosa distinta de un servidor que ya se compró y sigue ocupando espacio aunque nadie lo consulte.</w:t>
      </w:r>
    </w:p>
    <w:p>
      <w:pPr>
        <w:spacing w:after="120" w:before="0" w:line="240" w:lineRule="auto"/>
        <w:ind w:firstLine="283"/>
        <w:jc w:val="both"/>
      </w:pPr>
      <w:r>
        <w:rPr>
          <w:rFonts w:ascii="Calibri" w:hAnsi="Calibri" w:eastAsia="Calibri"/>
          <w:b w:val="0"/>
          <w:i w:val="0"/>
          <w:color w:val="1A1F26"/>
          <w:sz w:val="24"/>
        </w:rPr>
        <w:t>El costo tiene varias capas y ninguna se resume en una tarifa única. Fargate se cobra por la CPU y la memoria mientras la tarea existe. RDS se cobra por el tiempo de la instancia y por el almacenamiento, haya consultas o no. S3 se cobra por lo guardado, por las solicitudes y, aparte, por el tráfico de salida. Una cuenta nueva puede usar el plan gratuito descrito en la página de AWS Free Tier: recibe 100 USD en créditos al abrirla y puede obtener hasta 100 USD más, en un plazo de hasta seis meses. La cuenta de ese plan se cierra a los seis meses o cuando los créditos se agotan, lo que ocurra primero. Los términos, actualizados el 9 de julio de 2025, precisan que el plan gratuito limita el acceso a un conjunto de servicios y que ciertos servicios exigen plan de pago. Mientras la cuenta permanece en el plan gratuito no hay cargo, salvo que se cambie al plan de pago o se active uno de esos servicios. En el plan de pago, un balanceador o una base olvidados siguen en la factura.</w:t>
      </w:r>
    </w:p>
    <w:p>
      <w:pPr>
        <w:spacing w:after="120" w:before="0" w:line="240" w:lineRule="auto"/>
        <w:ind w:firstLine="283"/>
        <w:jc w:val="both"/>
      </w:pPr>
      <w:r>
        <w:rPr>
          <w:rFonts w:ascii="Calibri" w:hAnsi="Calibri" w:eastAsia="Calibri"/>
          <w:b w:val="0"/>
          <w:i w:val="0"/>
          <w:color w:val="1A1F26"/>
          <w:sz w:val="24"/>
        </w:rPr>
        <w:t>Hay situaciones en las que AWS estorba más de lo que aporta. Si la práctica nace y muere el mismo día en una laptop, Docker en local llega antes y no abre una cuenta. Si nadie del equipo va a revisar la facturación, el riesgo de dejar recursos encendidos pesa más que el aprendizaje del despliegue. Si la regla del campus prohíbe sacar los datos a una nube pública, elegir una región de AWS no resuelve la restricción. Si todavía no existe una API y lo que se busca es autenticación, tablas y archivos ya empaquetados, el problema pertenece a otro tipo de producto. AWS corre el servidor que el equipo ya escribió.</w:t>
      </w:r>
    </w:p>
    <w:p>
      <w:pPr>
        <w:spacing w:after="120" w:before="0" w:line="240" w:lineRule="auto"/>
        <w:ind w:firstLine="283"/>
        <w:jc w:val="both"/>
      </w:pPr>
      <w:r>
        <w:rPr>
          <w:rFonts w:ascii="Calibri" w:hAnsi="Calibri" w:eastAsia="Calibri"/>
          <w:b w:val="0"/>
          <w:i w:val="0"/>
          <w:color w:val="1A1F26"/>
          <w:sz w:val="24"/>
        </w:rPr>
        <w:t>Quedan dos límites que no se ven en la tarifa. El primero es la responsabilidad compartida: revisar el security group, el acceso del bucket y el lugar donde quedó la contraseña corresponde al equipo. El segundo es el acoplamiento. La API de S3, el modelo de roles y la forma de la URL son de esta plataforma. Llevar el mismo diseño a otro proveedor después tiene trabajo de adaptación. Para la materia, el hábito que más vale la pena ensayar es el último paso del procedimiento: borrar lo que se creó y comprobar que la cuenta quedó vacía.</w:t>
      </w:r>
    </w:p>
    <w:p>
      <w:pPr>
        <w:spacing w:after="80" w:before="200" w:line="240" w:lineRule="auto"/>
        <w:jc w:val="left"/>
      </w:pPr>
      <w:r>
        <w:rPr>
          <w:rFonts w:ascii="Calibri" w:hAnsi="Calibri" w:eastAsia="Calibri"/>
          <w:b/>
          <w:i w:val="0"/>
          <w:color w:val="1B2838"/>
          <w:sz w:val="32"/>
        </w:rPr>
        <w:t>5. Fuentes consultadas</w:t>
      </w:r>
    </w:p>
    <w:p>
      <w:pPr>
        <w:spacing w:after="120" w:before="0" w:line="240" w:lineRule="auto"/>
        <w:ind w:firstLine="283"/>
        <w:jc w:val="both"/>
      </w:pPr>
      <w:r>
        <w:rPr>
          <w:rFonts w:ascii="Calibri" w:hAnsi="Calibri" w:eastAsia="Calibri"/>
          <w:b w:val="0"/>
          <w:i w:val="0"/>
          <w:color w:val="1A1F26"/>
          <w:sz w:val="24"/>
        </w:rPr>
        <w:t>Todas las fuentes son documentación, blog o canal oficial de Amazon Web Services. Se consultaron el 21 de octubre de 2026. Las diapositivas citan las cuatro primeras; el reporte usa la lista completa.</w:t>
      </w:r>
    </w:p>
    <w:p>
      <w:pPr>
        <w:spacing w:after="40" w:before="0" w:line="240" w:lineRule="auto"/>
        <w:ind w:left="425" w:hanging="425"/>
        <w:jc w:val="left"/>
      </w:pPr>
      <w:r>
        <w:rPr>
          <w:rFonts w:ascii="Calibri" w:hAnsi="Calibri" w:eastAsia="Calibri"/>
          <w:b w:val="0"/>
          <w:i w:val="0"/>
          <w:color w:val="1A1F26"/>
          <w:sz w:val="21"/>
        </w:rPr>
        <w:t xml:space="preserve">Amazon Web Services. (2013, 4 de noviembre). </w:t>
      </w:r>
      <w:r>
        <w:rPr>
          <w:rFonts w:ascii="Calibri" w:hAnsi="Calibri" w:eastAsia="Calibri"/>
          <w:b w:val="0"/>
          <w:i/>
          <w:color w:val="1A1F26"/>
          <w:sz w:val="21"/>
        </w:rPr>
        <w:t>Running Your Startup's Sign Up Form on AWS Elastic Beanstalk: Part 1</w:t>
      </w:r>
      <w:r>
        <w:rPr>
          <w:rFonts w:ascii="Calibri" w:hAnsi="Calibri" w:eastAsia="Calibri"/>
          <w:b w:val="0"/>
          <w:i w:val="0"/>
          <w:color w:val="1A1F26"/>
          <w:sz w:val="21"/>
        </w:rPr>
        <w:t xml:space="preserve"> [Video]. YouTube. </w:t>
      </w:r>
      <w:hyperlink r:id="rId11">
        <w:r>
          <w:rPr>
            <w:rFonts w:ascii="Calibri" w:hAnsi="Calibri" w:eastAsia="Calibri"/>
            <w:sz w:val="21"/>
            <w:szCs w:val="21"/>
            <w:color w:val="0B3D91"/>
            <w:u w:val="single"/>
          </w:rPr>
          <w:t xml:space="preserve">https://www.youtube.com/watch?v=rsg4YI4mljg</w:t>
        </w:r>
      </w:hyperlink>
    </w:p>
    <w:p>
      <w:pPr>
        <w:spacing w:after="40" w:before="0" w:line="240" w:lineRule="auto"/>
        <w:ind w:left="425" w:hanging="425"/>
        <w:jc w:val="left"/>
      </w:pPr>
      <w:r>
        <w:rPr>
          <w:rFonts w:ascii="Calibri" w:hAnsi="Calibri" w:eastAsia="Calibri"/>
          <w:b w:val="0"/>
          <w:i w:val="0"/>
          <w:color w:val="1A1F26"/>
          <w:sz w:val="21"/>
        </w:rPr>
        <w:t xml:space="preserve">Amazon Web Services. (2014, 29 de julio). </w:t>
      </w:r>
      <w:r>
        <w:rPr>
          <w:rFonts w:ascii="Calibri" w:hAnsi="Calibri" w:eastAsia="Calibri"/>
          <w:b w:val="0"/>
          <w:i/>
          <w:color w:val="1A1F26"/>
          <w:sz w:val="21"/>
        </w:rPr>
        <w:t>How AWS Elastic Beanstalk and Amazon DynamoDB make it simple to scale your application and database with traffic</w:t>
      </w:r>
      <w:r>
        <w:rPr>
          <w:rFonts w:ascii="Calibri" w:hAnsi="Calibri" w:eastAsia="Calibri"/>
          <w:b w:val="0"/>
          <w:i w:val="0"/>
          <w:color w:val="1A1F26"/>
          <w:sz w:val="21"/>
        </w:rPr>
        <w:t xml:space="preserve">. AWS Startups Blog. </w:t>
      </w:r>
      <w:hyperlink r:id="rId14">
        <w:r>
          <w:rPr>
            <w:rFonts w:ascii="Calibri" w:hAnsi="Calibri" w:eastAsia="Calibri"/>
            <w:sz w:val="21"/>
            <w:szCs w:val="21"/>
            <w:color w:val="0B3D91"/>
            <w:u w:val="single"/>
          </w:rPr>
          <w:t xml:space="preserve">https://aws.amazon.com/blogs/startups/a-sample-app-for-startups/</w:t>
        </w:r>
      </w:hyperlink>
    </w:p>
    <w:p>
      <w:pPr>
        <w:spacing w:after="40" w:before="0" w:line="240" w:lineRule="auto"/>
        <w:ind w:left="425" w:hanging="425"/>
        <w:jc w:val="left"/>
      </w:pPr>
      <w:r>
        <w:rPr>
          <w:rFonts w:ascii="Calibri" w:hAnsi="Calibri" w:eastAsia="Calibri"/>
          <w:b w:val="0"/>
          <w:i w:val="0"/>
          <w:color w:val="1A1F26"/>
          <w:sz w:val="21"/>
        </w:rPr>
        <w:t xml:space="preserve">Amazon Web Services. (2025, 9 de julio). </w:t>
      </w:r>
      <w:r>
        <w:rPr>
          <w:rFonts w:ascii="Calibri" w:hAnsi="Calibri" w:eastAsia="Calibri"/>
          <w:b w:val="0"/>
          <w:i/>
          <w:color w:val="1A1F26"/>
          <w:sz w:val="21"/>
        </w:rPr>
        <w:t>AWS Free Tier terms</w:t>
      </w:r>
      <w:r>
        <w:rPr>
          <w:rFonts w:ascii="Calibri" w:hAnsi="Calibri" w:eastAsia="Calibri"/>
          <w:b w:val="0"/>
          <w:i w:val="0"/>
          <w:color w:val="1A1F26"/>
          <w:sz w:val="21"/>
        </w:rPr>
        <w:t xml:space="preserve">. </w:t>
      </w:r>
      <w:hyperlink r:id="rId15">
        <w:r>
          <w:rPr>
            <w:rFonts w:ascii="Calibri" w:hAnsi="Calibri" w:eastAsia="Calibri"/>
            <w:sz w:val="21"/>
            <w:szCs w:val="21"/>
            <w:color w:val="0B3D91"/>
            <w:u w:val="single"/>
          </w:rPr>
          <w:t xml:space="preserve">https://aws.amazon.com/free/terms/</w:t>
        </w:r>
      </w:hyperlink>
    </w:p>
    <w:p>
      <w:pPr>
        <w:spacing w:after="40" w:before="0" w:line="240" w:lineRule="auto"/>
        <w:ind w:left="425" w:hanging="425"/>
        <w:jc w:val="left"/>
      </w:pPr>
      <w:r>
        <w:rPr>
          <w:rFonts w:ascii="Calibri" w:hAnsi="Calibri" w:eastAsia="Calibri"/>
          <w:b w:val="0"/>
          <w:i w:val="0"/>
          <w:color w:val="1A1F26"/>
          <w:sz w:val="21"/>
        </w:rPr>
        <w:t xml:space="preserve">Amazon Web Services. (2026, 2 de junio). </w:t>
      </w:r>
      <w:r>
        <w:rPr>
          <w:rFonts w:ascii="Calibri" w:hAnsi="Calibri" w:eastAsia="Calibri"/>
          <w:b w:val="0"/>
          <w:i/>
          <w:color w:val="1A1F26"/>
          <w:sz w:val="21"/>
        </w:rPr>
        <w:t>What is cloud computing?</w:t>
      </w:r>
      <w:r>
        <w:rPr>
          <w:rFonts w:ascii="Calibri" w:hAnsi="Calibri" w:eastAsia="Calibri"/>
          <w:b w:val="0"/>
          <w:i w:val="0"/>
          <w:color w:val="1A1F26"/>
          <w:sz w:val="21"/>
        </w:rPr>
        <w:t xml:space="preserve">. En Overview of Amazon Web Services. </w:t>
      </w:r>
      <w:hyperlink r:id="rId16">
        <w:r>
          <w:rPr>
            <w:rFonts w:ascii="Calibri" w:hAnsi="Calibri" w:eastAsia="Calibri"/>
            <w:sz w:val="21"/>
            <w:szCs w:val="21"/>
            <w:color w:val="0B3D91"/>
            <w:u w:val="single"/>
          </w:rPr>
          <w:t xml:space="preserve">https://docs.aws.amazon.com/whitepapers/latest/aws-overview/what-is-cloud-computing.html</w:t>
        </w:r>
      </w:hyperlink>
    </w:p>
    <w:p>
      <w:pPr>
        <w:spacing w:after="40" w:before="0" w:line="240" w:lineRule="auto"/>
        <w:ind w:left="425" w:hanging="425"/>
        <w:jc w:val="left"/>
      </w:pPr>
      <w:r>
        <w:rPr>
          <w:rFonts w:ascii="Calibri" w:hAnsi="Calibri" w:eastAsia="Calibri"/>
          <w:b w:val="0"/>
          <w:i w:val="0"/>
          <w:color w:val="1A1F26"/>
          <w:sz w:val="21"/>
        </w:rPr>
        <w:t xml:space="preserve">Amazon Web Services. (s. f.). </w:t>
      </w:r>
      <w:r>
        <w:rPr>
          <w:rFonts w:ascii="Calibri" w:hAnsi="Calibri" w:eastAsia="Calibri"/>
          <w:b w:val="0"/>
          <w:i/>
          <w:color w:val="1A1F26"/>
          <w:sz w:val="21"/>
        </w:rPr>
        <w:t>Amazon ECS Express Mode</w:t>
      </w:r>
      <w:r>
        <w:rPr>
          <w:rFonts w:ascii="Calibri" w:hAnsi="Calibri" w:eastAsia="Calibri"/>
          <w:b w:val="0"/>
          <w:i w:val="0"/>
          <w:color w:val="1A1F26"/>
          <w:sz w:val="21"/>
        </w:rPr>
        <w:t xml:space="preserve">. Amazon Elastic Container Service Developer Guide. </w:t>
      </w:r>
      <w:hyperlink r:id="rId17">
        <w:r>
          <w:rPr>
            <w:rFonts w:ascii="Calibri" w:hAnsi="Calibri" w:eastAsia="Calibri"/>
            <w:sz w:val="21"/>
            <w:szCs w:val="21"/>
            <w:color w:val="0B3D91"/>
            <w:u w:val="single"/>
          </w:rPr>
          <w:t xml:space="preserve">https://docs.aws.amazon.com/AmazonECS/latest/developerguide/express-service-overview.html</w:t>
        </w:r>
      </w:hyperlink>
    </w:p>
    <w:p>
      <w:pPr>
        <w:spacing w:after="40" w:before="0" w:line="240" w:lineRule="auto"/>
        <w:ind w:left="425" w:hanging="425"/>
        <w:jc w:val="left"/>
      </w:pPr>
      <w:r>
        <w:rPr>
          <w:rFonts w:ascii="Calibri" w:hAnsi="Calibri" w:eastAsia="Calibri"/>
          <w:b w:val="0"/>
          <w:i w:val="0"/>
          <w:color w:val="1A1F26"/>
          <w:sz w:val="21"/>
        </w:rPr>
        <w:t xml:space="preserve">Amazon Web Services. (s. f.). </w:t>
      </w:r>
      <w:r>
        <w:rPr>
          <w:rFonts w:ascii="Calibri" w:hAnsi="Calibri" w:eastAsia="Calibri"/>
          <w:b w:val="0"/>
          <w:i/>
          <w:color w:val="1A1F26"/>
          <w:sz w:val="21"/>
        </w:rPr>
        <w:t>Amazon RDS for MySQL</w:t>
      </w:r>
      <w:r>
        <w:rPr>
          <w:rFonts w:ascii="Calibri" w:hAnsi="Calibri" w:eastAsia="Calibri"/>
          <w:b w:val="0"/>
          <w:i w:val="0"/>
          <w:color w:val="1A1F26"/>
          <w:sz w:val="21"/>
        </w:rPr>
        <w:t xml:space="preserve">. Amazon Relational Database Service User Guide. </w:t>
      </w:r>
      <w:hyperlink r:id="rId18">
        <w:r>
          <w:rPr>
            <w:rFonts w:ascii="Calibri" w:hAnsi="Calibri" w:eastAsia="Calibri"/>
            <w:sz w:val="21"/>
            <w:szCs w:val="21"/>
            <w:color w:val="0B3D91"/>
            <w:u w:val="single"/>
          </w:rPr>
          <w:t xml:space="preserve">https://docs.aws.amazon.com/AmazonRDS/latest/UserGuide/CHAP_MySQL.html</w:t>
        </w:r>
      </w:hyperlink>
    </w:p>
    <w:p>
      <w:pPr>
        <w:spacing w:after="40" w:before="0" w:line="240" w:lineRule="auto"/>
        <w:ind w:left="425" w:hanging="425"/>
        <w:jc w:val="left"/>
      </w:pPr>
      <w:r>
        <w:rPr>
          <w:rFonts w:ascii="Calibri" w:hAnsi="Calibri" w:eastAsia="Calibri"/>
          <w:b w:val="0"/>
          <w:i w:val="0"/>
          <w:color w:val="1A1F26"/>
          <w:sz w:val="21"/>
        </w:rPr>
        <w:t xml:space="preserve">Amazon Web Services. (s. f.). </w:t>
      </w:r>
      <w:r>
        <w:rPr>
          <w:rFonts w:ascii="Calibri" w:hAnsi="Calibri" w:eastAsia="Calibri"/>
          <w:b w:val="0"/>
          <w:i/>
          <w:color w:val="1A1F26"/>
          <w:sz w:val="21"/>
        </w:rPr>
        <w:t>App Runner service based on a source image</w:t>
      </w:r>
      <w:r>
        <w:rPr>
          <w:rFonts w:ascii="Calibri" w:hAnsi="Calibri" w:eastAsia="Calibri"/>
          <w:b w:val="0"/>
          <w:i w:val="0"/>
          <w:color w:val="1A1F26"/>
          <w:sz w:val="21"/>
        </w:rPr>
        <w:t xml:space="preserve">. AWS App Runner Developer Guide. </w:t>
      </w:r>
      <w:hyperlink r:id="rId19">
        <w:r>
          <w:rPr>
            <w:rFonts w:ascii="Calibri" w:hAnsi="Calibri" w:eastAsia="Calibri"/>
            <w:sz w:val="21"/>
            <w:szCs w:val="21"/>
            <w:color w:val="0B3D91"/>
            <w:u w:val="single"/>
          </w:rPr>
          <w:t xml:space="preserve">https://docs.aws.amazon.com/apprunner/latest/dg/service-source-image.html</w:t>
        </w:r>
      </w:hyperlink>
    </w:p>
    <w:p>
      <w:pPr>
        <w:spacing w:after="40" w:before="0" w:line="240" w:lineRule="auto"/>
        <w:ind w:left="425" w:hanging="425"/>
        <w:jc w:val="left"/>
      </w:pPr>
      <w:r>
        <w:rPr>
          <w:rFonts w:ascii="Calibri" w:hAnsi="Calibri" w:eastAsia="Calibri"/>
          <w:b w:val="0"/>
          <w:i w:val="0"/>
          <w:color w:val="1A1F26"/>
          <w:sz w:val="21"/>
        </w:rPr>
        <w:t xml:space="preserve">Amazon Web Services. (s. f.). </w:t>
      </w:r>
      <w:r>
        <w:rPr>
          <w:rFonts w:ascii="Calibri" w:hAnsi="Calibri" w:eastAsia="Calibri"/>
          <w:b w:val="0"/>
          <w:i/>
          <w:color w:val="1A1F26"/>
          <w:sz w:val="21"/>
        </w:rPr>
        <w:t>Architect for AWS Fargate for Amazon ECS</w:t>
      </w:r>
      <w:r>
        <w:rPr>
          <w:rFonts w:ascii="Calibri" w:hAnsi="Calibri" w:eastAsia="Calibri"/>
          <w:b w:val="0"/>
          <w:i w:val="0"/>
          <w:color w:val="1A1F26"/>
          <w:sz w:val="21"/>
        </w:rPr>
        <w:t xml:space="preserve">. Amazon Elastic Container Service Developer Guide. </w:t>
      </w:r>
      <w:hyperlink r:id="rId20">
        <w:r>
          <w:rPr>
            <w:rFonts w:ascii="Calibri" w:hAnsi="Calibri" w:eastAsia="Calibri"/>
            <w:sz w:val="21"/>
            <w:szCs w:val="21"/>
            <w:color w:val="0B3D91"/>
            <w:u w:val="single"/>
          </w:rPr>
          <w:t xml:space="preserve">https://docs.aws.amazon.com/AmazonECS/latest/developerguide/AWS_Fargate.html</w:t>
        </w:r>
      </w:hyperlink>
    </w:p>
    <w:p>
      <w:pPr>
        <w:spacing w:after="40" w:before="0" w:line="240" w:lineRule="auto"/>
        <w:ind w:left="425" w:hanging="425"/>
        <w:jc w:val="left"/>
      </w:pPr>
      <w:r>
        <w:rPr>
          <w:rFonts w:ascii="Calibri" w:hAnsi="Calibri" w:eastAsia="Calibri"/>
          <w:b w:val="0"/>
          <w:i w:val="0"/>
          <w:color w:val="1A1F26"/>
          <w:sz w:val="21"/>
        </w:rPr>
        <w:t xml:space="preserve">Amazon Web Services. (s. f.). </w:t>
      </w:r>
      <w:r>
        <w:rPr>
          <w:rFonts w:ascii="Calibri" w:hAnsi="Calibri" w:eastAsia="Calibri"/>
          <w:b w:val="0"/>
          <w:i/>
          <w:color w:val="1A1F26"/>
          <w:sz w:val="21"/>
        </w:rPr>
        <w:t>AWS Free Tier</w:t>
      </w:r>
      <w:r>
        <w:rPr>
          <w:rFonts w:ascii="Calibri" w:hAnsi="Calibri" w:eastAsia="Calibri"/>
          <w:b w:val="0"/>
          <w:i w:val="0"/>
          <w:color w:val="1A1F26"/>
          <w:sz w:val="21"/>
        </w:rPr>
        <w:t xml:space="preserve">. </w:t>
      </w:r>
      <w:hyperlink r:id="rId21">
        <w:r>
          <w:rPr>
            <w:rFonts w:ascii="Calibri" w:hAnsi="Calibri" w:eastAsia="Calibri"/>
            <w:sz w:val="21"/>
            <w:szCs w:val="21"/>
            <w:color w:val="0B3D91"/>
            <w:u w:val="single"/>
          </w:rPr>
          <w:t xml:space="preserve">https://aws.amazon.com/free/</w:t>
        </w:r>
      </w:hyperlink>
    </w:p>
    <w:p>
      <w:pPr>
        <w:spacing w:after="40" w:before="0" w:line="240" w:lineRule="auto"/>
        <w:ind w:left="425" w:hanging="425"/>
        <w:jc w:val="left"/>
      </w:pPr>
      <w:r>
        <w:rPr>
          <w:rFonts w:ascii="Calibri" w:hAnsi="Calibri" w:eastAsia="Calibri"/>
          <w:b w:val="0"/>
          <w:i w:val="0"/>
          <w:color w:val="1A1F26"/>
          <w:sz w:val="21"/>
        </w:rPr>
        <w:t xml:space="preserve">Amazon Web Services. (s. f.). </w:t>
      </w:r>
      <w:r>
        <w:rPr>
          <w:rFonts w:ascii="Calibri" w:hAnsi="Calibri" w:eastAsia="Calibri"/>
          <w:b w:val="0"/>
          <w:i/>
          <w:color w:val="1A1F26"/>
          <w:sz w:val="21"/>
        </w:rPr>
        <w:t>Creating and connecting to a MySQL DB instance</w:t>
      </w:r>
      <w:r>
        <w:rPr>
          <w:rFonts w:ascii="Calibri" w:hAnsi="Calibri" w:eastAsia="Calibri"/>
          <w:b w:val="0"/>
          <w:i w:val="0"/>
          <w:color w:val="1A1F26"/>
          <w:sz w:val="21"/>
        </w:rPr>
        <w:t xml:space="preserve">. Amazon Relational Database Service User Guide. </w:t>
      </w:r>
      <w:hyperlink r:id="rId22">
        <w:r>
          <w:rPr>
            <w:rFonts w:ascii="Calibri" w:hAnsi="Calibri" w:eastAsia="Calibri"/>
            <w:sz w:val="21"/>
            <w:szCs w:val="21"/>
            <w:color w:val="0B3D91"/>
            <w:u w:val="single"/>
          </w:rPr>
          <w:t xml:space="preserve">https://docs.aws.amazon.com/AmazonRDS/latest/UserGuide/CHAP_GettingStarted.CreatingConnecting.MySQL.html</w:t>
        </w:r>
      </w:hyperlink>
    </w:p>
    <w:p>
      <w:pPr>
        <w:spacing w:after="40" w:before="0" w:line="240" w:lineRule="auto"/>
        <w:ind w:left="425" w:hanging="425"/>
        <w:jc w:val="left"/>
      </w:pPr>
      <w:r>
        <w:rPr>
          <w:rFonts w:ascii="Calibri" w:hAnsi="Calibri" w:eastAsia="Calibri"/>
          <w:b w:val="0"/>
          <w:i w:val="0"/>
          <w:color w:val="1A1F26"/>
          <w:sz w:val="21"/>
        </w:rPr>
        <w:t xml:space="preserve">Amazon Web Services. (s. f.). </w:t>
      </w:r>
      <w:r>
        <w:rPr>
          <w:rFonts w:ascii="Calibri" w:hAnsi="Calibri" w:eastAsia="Calibri"/>
          <w:b w:val="0"/>
          <w:i/>
          <w:color w:val="1A1F26"/>
          <w:sz w:val="21"/>
        </w:rPr>
        <w:t>Deploy web app in AWS App Runner</w:t>
      </w:r>
      <w:r>
        <w:rPr>
          <w:rFonts w:ascii="Calibri" w:hAnsi="Calibri" w:eastAsia="Calibri"/>
          <w:b w:val="0"/>
          <w:i w:val="0"/>
          <w:color w:val="1A1F26"/>
          <w:sz w:val="21"/>
        </w:rPr>
        <w:t xml:space="preserve"> [Video]. YouTube. </w:t>
      </w:r>
      <w:hyperlink r:id="rId13">
        <w:r>
          <w:rPr>
            <w:rFonts w:ascii="Calibri" w:hAnsi="Calibri" w:eastAsia="Calibri"/>
            <w:sz w:val="21"/>
            <w:szCs w:val="21"/>
            <w:color w:val="0B3D91"/>
            <w:u w:val="single"/>
          </w:rPr>
          <w:t xml:space="preserve">https://www.youtube.com/watch?v=PKbAyADayZE</w:t>
        </w:r>
      </w:hyperlink>
    </w:p>
    <w:p>
      <w:pPr>
        <w:spacing w:after="40" w:before="0" w:line="240" w:lineRule="auto"/>
        <w:ind w:left="425" w:hanging="425"/>
        <w:jc w:val="left"/>
      </w:pPr>
      <w:r>
        <w:rPr>
          <w:rFonts w:ascii="Calibri" w:hAnsi="Calibri" w:eastAsia="Calibri"/>
          <w:b w:val="0"/>
          <w:i w:val="0"/>
          <w:color w:val="1A1F26"/>
          <w:sz w:val="21"/>
        </w:rPr>
        <w:t xml:space="preserve">Amazon Web Services. (s. f.). </w:t>
      </w:r>
      <w:r>
        <w:rPr>
          <w:rFonts w:ascii="Calibri" w:hAnsi="Calibri" w:eastAsia="Calibri"/>
          <w:b w:val="0"/>
          <w:i/>
          <w:color w:val="1A1F26"/>
          <w:sz w:val="21"/>
        </w:rPr>
        <w:t>Deploying with Docker containers to Elastic Beanstalk</w:t>
      </w:r>
      <w:r>
        <w:rPr>
          <w:rFonts w:ascii="Calibri" w:hAnsi="Calibri" w:eastAsia="Calibri"/>
          <w:b w:val="0"/>
          <w:i w:val="0"/>
          <w:color w:val="1A1F26"/>
          <w:sz w:val="21"/>
        </w:rPr>
        <w:t xml:space="preserve">. AWS Elastic Beanstalk Developer Guide. </w:t>
      </w:r>
      <w:hyperlink r:id="rId23">
        <w:r>
          <w:rPr>
            <w:rFonts w:ascii="Calibri" w:hAnsi="Calibri" w:eastAsia="Calibri"/>
            <w:sz w:val="21"/>
            <w:szCs w:val="21"/>
            <w:color w:val="0B3D91"/>
            <w:u w:val="single"/>
          </w:rPr>
          <w:t xml:space="preserve">https://docs.aws.amazon.com/elasticbeanstalk/latest/dg/create_deploy_docker.html</w:t>
        </w:r>
      </w:hyperlink>
    </w:p>
    <w:p>
      <w:pPr>
        <w:spacing w:after="40" w:before="0" w:line="240" w:lineRule="auto"/>
        <w:ind w:left="425" w:hanging="425"/>
        <w:jc w:val="left"/>
      </w:pPr>
      <w:r>
        <w:rPr>
          <w:rFonts w:ascii="Calibri" w:hAnsi="Calibri" w:eastAsia="Calibri"/>
          <w:b w:val="0"/>
          <w:i w:val="0"/>
          <w:color w:val="1A1F26"/>
          <w:sz w:val="21"/>
        </w:rPr>
        <w:t xml:space="preserve">Amazon Web Services. (s. f.). </w:t>
      </w:r>
      <w:r>
        <w:rPr>
          <w:rFonts w:ascii="Calibri" w:hAnsi="Calibri" w:eastAsia="Calibri"/>
          <w:b w:val="0"/>
          <w:i/>
          <w:color w:val="1A1F26"/>
          <w:sz w:val="21"/>
        </w:rPr>
        <w:t>Elastic Beanstalk web server environments</w:t>
      </w:r>
      <w:r>
        <w:rPr>
          <w:rFonts w:ascii="Calibri" w:hAnsi="Calibri" w:eastAsia="Calibri"/>
          <w:b w:val="0"/>
          <w:i w:val="0"/>
          <w:color w:val="1A1F26"/>
          <w:sz w:val="21"/>
        </w:rPr>
        <w:t xml:space="preserve">. AWS Elastic Beanstalk Developer Guide. </w:t>
      </w:r>
      <w:hyperlink r:id="rId24">
        <w:r>
          <w:rPr>
            <w:rFonts w:ascii="Calibri" w:hAnsi="Calibri" w:eastAsia="Calibri"/>
            <w:sz w:val="21"/>
            <w:szCs w:val="21"/>
            <w:color w:val="0B3D91"/>
            <w:u w:val="single"/>
          </w:rPr>
          <w:t xml:space="preserve">https://docs.aws.amazon.com/elasticbeanstalk/latest/dg/concepts-webserver.html</w:t>
        </w:r>
      </w:hyperlink>
    </w:p>
    <w:p>
      <w:pPr>
        <w:spacing w:after="40" w:before="0" w:line="240" w:lineRule="auto"/>
        <w:ind w:left="425" w:hanging="425"/>
        <w:jc w:val="left"/>
      </w:pPr>
      <w:r>
        <w:rPr>
          <w:rFonts w:ascii="Calibri" w:hAnsi="Calibri" w:eastAsia="Calibri"/>
          <w:b w:val="0"/>
          <w:i w:val="0"/>
          <w:color w:val="1A1F26"/>
          <w:sz w:val="21"/>
        </w:rPr>
        <w:t xml:space="preserve">Amazon Web Services. (s. f.). </w:t>
      </w:r>
      <w:r>
        <w:rPr>
          <w:rFonts w:ascii="Calibri" w:hAnsi="Calibri" w:eastAsia="Calibri"/>
          <w:b w:val="0"/>
          <w:i/>
          <w:color w:val="1A1F26"/>
          <w:sz w:val="21"/>
        </w:rPr>
        <w:t>Shared responsibility model</w:t>
      </w:r>
      <w:r>
        <w:rPr>
          <w:rFonts w:ascii="Calibri" w:hAnsi="Calibri" w:eastAsia="Calibri"/>
          <w:b w:val="0"/>
          <w:i w:val="0"/>
          <w:color w:val="1A1F26"/>
          <w:sz w:val="21"/>
        </w:rPr>
        <w:t xml:space="preserve">. </w:t>
      </w:r>
      <w:hyperlink r:id="rId25">
        <w:r>
          <w:rPr>
            <w:rFonts w:ascii="Calibri" w:hAnsi="Calibri" w:eastAsia="Calibri"/>
            <w:sz w:val="21"/>
            <w:szCs w:val="21"/>
            <w:color w:val="0B3D91"/>
            <w:u w:val="single"/>
          </w:rPr>
          <w:t xml:space="preserve">https://aws.amazon.com/compliance/shared-responsibility-model/</w:t>
        </w:r>
      </w:hyperlink>
    </w:p>
    <w:p>
      <w:pPr>
        <w:spacing w:after="40" w:before="0" w:line="240" w:lineRule="auto"/>
        <w:ind w:left="425" w:hanging="425"/>
        <w:jc w:val="left"/>
      </w:pPr>
      <w:r>
        <w:rPr>
          <w:rFonts w:ascii="Calibri" w:hAnsi="Calibri" w:eastAsia="Calibri"/>
          <w:b w:val="0"/>
          <w:i w:val="0"/>
          <w:color w:val="1A1F26"/>
          <w:sz w:val="21"/>
        </w:rPr>
        <w:t xml:space="preserve">Amazon Web Services. (s. f.). </w:t>
      </w:r>
      <w:r>
        <w:rPr>
          <w:rFonts w:ascii="Calibri" w:hAnsi="Calibri" w:eastAsia="Calibri"/>
          <w:b w:val="0"/>
          <w:i/>
          <w:color w:val="1A1F26"/>
          <w:sz w:val="21"/>
        </w:rPr>
        <w:t>What is Amazon S3?</w:t>
      </w:r>
      <w:r>
        <w:rPr>
          <w:rFonts w:ascii="Calibri" w:hAnsi="Calibri" w:eastAsia="Calibri"/>
          <w:b w:val="0"/>
          <w:i w:val="0"/>
          <w:color w:val="1A1F26"/>
          <w:sz w:val="21"/>
        </w:rPr>
        <w:t xml:space="preserve">. Amazon Simple Storage Service User Guide. </w:t>
      </w:r>
      <w:hyperlink r:id="rId26">
        <w:r>
          <w:rPr>
            <w:rFonts w:ascii="Calibri" w:hAnsi="Calibri" w:eastAsia="Calibri"/>
            <w:sz w:val="21"/>
            <w:szCs w:val="21"/>
            <w:color w:val="0B3D91"/>
            <w:u w:val="single"/>
          </w:rPr>
          <w:t xml:space="preserve">https://docs.aws.amazon.com/AmazonS3/latest/userguide/Welcome.html</w:t>
        </w:r>
      </w:hyperlink>
    </w:p>
    <w:p>
      <w:pPr>
        <w:spacing w:after="40" w:before="0" w:line="240" w:lineRule="auto"/>
        <w:ind w:left="425" w:hanging="425"/>
        <w:jc w:val="left"/>
      </w:pPr>
      <w:r>
        <w:rPr>
          <w:rFonts w:ascii="Calibri" w:hAnsi="Calibri" w:eastAsia="Calibri"/>
          <w:b w:val="0"/>
          <w:i w:val="0"/>
          <w:color w:val="1A1F26"/>
          <w:sz w:val="21"/>
        </w:rPr>
        <w:t xml:space="preserve">Amazon Web Services. (s. f.). </w:t>
      </w:r>
      <w:r>
        <w:rPr>
          <w:rFonts w:ascii="Calibri" w:hAnsi="Calibri" w:eastAsia="Calibri"/>
          <w:b w:val="0"/>
          <w:i/>
          <w:color w:val="1A1F26"/>
          <w:sz w:val="21"/>
        </w:rPr>
        <w:t>What is AWS?</w:t>
      </w:r>
      <w:r>
        <w:rPr>
          <w:rFonts w:ascii="Calibri" w:hAnsi="Calibri" w:eastAsia="Calibri"/>
          <w:b w:val="0"/>
          <w:i w:val="0"/>
          <w:color w:val="1A1F26"/>
          <w:sz w:val="21"/>
        </w:rPr>
        <w:t xml:space="preserve"> [Video]. YouTube. </w:t>
      </w:r>
      <w:hyperlink r:id="rId12">
        <w:r>
          <w:rPr>
            <w:rFonts w:ascii="Calibri" w:hAnsi="Calibri" w:eastAsia="Calibri"/>
            <w:sz w:val="21"/>
            <w:szCs w:val="21"/>
            <w:color w:val="0B3D91"/>
            <w:u w:val="single"/>
          </w:rPr>
          <w:t xml:space="preserve">https://www.youtube.com/watch?v=a9__D53WsUs</w:t>
        </w:r>
      </w:hyperlink>
    </w:p>
    <w:p>
      <w:pPr>
        <w:spacing w:after="40" w:before="0" w:line="240" w:lineRule="auto"/>
        <w:ind w:left="425" w:hanging="425"/>
        <w:jc w:val="left"/>
      </w:pPr>
      <w:r>
        <w:rPr>
          <w:rFonts w:ascii="Calibri" w:hAnsi="Calibri" w:eastAsia="Calibri"/>
          <w:b w:val="0"/>
          <w:i w:val="0"/>
          <w:color w:val="1A1F26"/>
          <w:sz w:val="21"/>
        </w:rPr>
        <w:t xml:space="preserve">Amazon Web Services. (s. f.). </w:t>
      </w:r>
      <w:r>
        <w:rPr>
          <w:rFonts w:ascii="Calibri" w:hAnsi="Calibri" w:eastAsia="Calibri"/>
          <w:b w:val="0"/>
          <w:i/>
          <w:color w:val="1A1F26"/>
          <w:sz w:val="21"/>
        </w:rPr>
        <w:t>What is IAM?</w:t>
      </w:r>
      <w:r>
        <w:rPr>
          <w:rFonts w:ascii="Calibri" w:hAnsi="Calibri" w:eastAsia="Calibri"/>
          <w:b w:val="0"/>
          <w:i w:val="0"/>
          <w:color w:val="1A1F26"/>
          <w:sz w:val="21"/>
        </w:rPr>
        <w:t xml:space="preserve">. AWS Identity and Access Management User Guide. </w:t>
      </w:r>
      <w:hyperlink r:id="rId27">
        <w:r>
          <w:rPr>
            <w:rFonts w:ascii="Calibri" w:hAnsi="Calibri" w:eastAsia="Calibri"/>
            <w:sz w:val="21"/>
            <w:szCs w:val="21"/>
            <w:color w:val="0B3D91"/>
            <w:u w:val="single"/>
          </w:rPr>
          <w:t xml:space="preserve">https://docs.aws.amazon.com/IAM/latest/UserGuide/introduction.html</w:t>
        </w:r>
      </w:hyperlink>
    </w:p>
    <w:sectPr w:rsidR="00FC693F" w:rsidRPr="0006063C" w:rsidSect="00034616">
      <w:headerReference w:type="default" r:id="rId9"/>
      <w:footerReference w:type="default" r:id="rId10"/>
      <w:pgSz w:w="12240" w:h="15840"/>
      <w:pgMar w:top="1304" w:right="1361" w:bottom="1134" w:left="1361" w:header="340" w:footer="283"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right"/>
    </w:pPr>
    <w:r>
      <w:rPr>
        <w:rFonts w:ascii="Calibri" w:hAnsi="Calibri" w:eastAsia="Calibri"/>
        <w:b w:val="0"/>
        <w:i w:val="0"/>
        <w:color w:val="3E4A57"/>
        <w:sz w:val="20"/>
      </w:rPr>
      <w:t xml:space="preserve">Reporte de investigación   ·   </w:t>
    </w:r>
    <w:r>
      <w:rPr>
        <w:rFonts w:ascii="Calibri" w:hAnsi="Calibri" w:eastAsia="Calibri"/>
        <w:b w:val="0"/>
        <w:i w:val="0"/>
        <w:color w:val="3E4A57"/>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before="0" w:line="240" w:lineRule="auto"/>
      <w:jc w:val="left"/>
    </w:pPr>
    <w:r>
      <w:rPr>
        <w:rFonts w:ascii="Calibri" w:hAnsi="Calibri" w:eastAsia="Calibri"/>
        <w:b w:val="0"/>
        <w:i w:val="0"/>
        <w:color w:val="3E4A57"/>
        <w:sz w:val="20"/>
      </w:rPr>
      <w:t>Equipo 4   ·   AWS   ·   Unidad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F2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rsg4YI4mljg" TargetMode="External"/><Relationship Id="rId12" Type="http://schemas.openxmlformats.org/officeDocument/2006/relationships/hyperlink" Target="https://www.youtube.com/watch?v=a9__D53WsUs" TargetMode="External"/><Relationship Id="rId13" Type="http://schemas.openxmlformats.org/officeDocument/2006/relationships/hyperlink" Target="https://www.youtube.com/watch?v=PKbAyADayZE" TargetMode="External"/><Relationship Id="rId14" Type="http://schemas.openxmlformats.org/officeDocument/2006/relationships/hyperlink" Target="https://aws.amazon.com/blogs/startups/a-sample-app-for-startups/" TargetMode="External"/><Relationship Id="rId15" Type="http://schemas.openxmlformats.org/officeDocument/2006/relationships/hyperlink" Target="https://aws.amazon.com/free/terms/" TargetMode="External"/><Relationship Id="rId16" Type="http://schemas.openxmlformats.org/officeDocument/2006/relationships/hyperlink" Target="https://docs.aws.amazon.com/whitepapers/latest/aws-overview/what-is-cloud-computing.html" TargetMode="External"/><Relationship Id="rId17" Type="http://schemas.openxmlformats.org/officeDocument/2006/relationships/hyperlink" Target="https://docs.aws.amazon.com/AmazonECS/latest/developerguide/express-service-overview.html" TargetMode="External"/><Relationship Id="rId18" Type="http://schemas.openxmlformats.org/officeDocument/2006/relationships/hyperlink" Target="https://docs.aws.amazon.com/AmazonRDS/latest/UserGuide/CHAP_MySQL.html" TargetMode="External"/><Relationship Id="rId19" Type="http://schemas.openxmlformats.org/officeDocument/2006/relationships/hyperlink" Target="https://docs.aws.amazon.com/apprunner/latest/dg/service-source-image.html" TargetMode="External"/><Relationship Id="rId20" Type="http://schemas.openxmlformats.org/officeDocument/2006/relationships/hyperlink" Target="https://docs.aws.amazon.com/AmazonECS/latest/developerguide/AWS_Fargate.html" TargetMode="External"/><Relationship Id="rId21" Type="http://schemas.openxmlformats.org/officeDocument/2006/relationships/hyperlink" Target="https://aws.amazon.com/free/" TargetMode="External"/><Relationship Id="rId22" Type="http://schemas.openxmlformats.org/officeDocument/2006/relationships/hyperlink" Target="https://docs.aws.amazon.com/AmazonRDS/latest/UserGuide/CHAP_GettingStarted.CreatingConnecting.MySQL.html" TargetMode="External"/><Relationship Id="rId23" Type="http://schemas.openxmlformats.org/officeDocument/2006/relationships/hyperlink" Target="https://docs.aws.amazon.com/elasticbeanstalk/latest/dg/create_deploy_docker.html" TargetMode="External"/><Relationship Id="rId24" Type="http://schemas.openxmlformats.org/officeDocument/2006/relationships/hyperlink" Target="https://docs.aws.amazon.com/elasticbeanstalk/latest/dg/concepts-webserver.html" TargetMode="External"/><Relationship Id="rId25" Type="http://schemas.openxmlformats.org/officeDocument/2006/relationships/hyperlink" Target="https://aws.amazon.com/compliance/shared-responsibility-model/" TargetMode="External"/><Relationship Id="rId26" Type="http://schemas.openxmlformats.org/officeDocument/2006/relationships/hyperlink" Target="https://docs.aws.amazon.com/AmazonS3/latest/userguide/Welcome.html" TargetMode="External"/><Relationship Id="rId27" Type="http://schemas.openxmlformats.org/officeDocument/2006/relationships/hyperlink" Target="https://docs.aws.amazon.com/IAM/latest/UserGuide/introdu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Equipo 4 · Reporte de investigación · AWS</dc:title>
  <dc:subject>Fundamentos de Arquitectura de Software y Desarrollo Backend</dc:subject>
  <dc:creator>David Alonso Romero Medina; Roberto Balmes Solis; Luis Enrique Ramos Díaz</dc:creator>
  <cp:keywords/>
  <dc:description>Reporte de investigación para la exposición del 26 de octubre de 2026.</dc:description>
  <cp:lastModifiedBy/>
  <cp:revision>1</cp:revision>
  <dcterms:created xsi:type="dcterms:W3CDTF">2013-12-23T23:15:00Z</dcterms:created>
  <dcterms:modified xsi:type="dcterms:W3CDTF">2013-12-23T23:15:00Z</dcterms:modified>
  <cp:category>Unidad II</cp:category>
</cp:coreProperties>
</file>