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rPr/>
      </w:pPr>
      <w:r>
        <w:rPr/>
        <w:t>PROCESO CIVIL EJECUTIVO DE MÍNIMA CUANTÍA</w:t>
      </w:r>
    </w:p>
    <w:p>
      <w:pPr>
        <w:pStyle w:val="BodyTextsub"/>
        <w:bidi w:val="0"/>
        <w:jc w:val="center"/>
        <w:rPr/>
      </w:pPr>
      <w:r>
        <w:rPr/>
        <w:t>Guía del trámite paso a paso — con espacio para evidencias (pantallazos)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 xml:space="preserve">El presente documento describe, de forma práctica, el desarrollo de un </w:t>
      </w:r>
      <w:r>
        <w:rPr>
          <w:b/>
        </w:rPr>
        <w:t>proceso ejecutivo de mínima cuantía</w:t>
      </w:r>
      <w:r>
        <w:rPr/>
        <w:t xml:space="preserve"> desde la radicación de la demanda hasta su terminación. Cada paso incluye un recuadro para insertar la imagen o pantallazo correspondiente como evidencia del trámite.</w:t>
      </w:r>
    </w:p>
    <w:p>
      <w:pPr>
        <w:pStyle w:val="Heading2"/>
        <w:bidi w:val="0"/>
        <w:ind w:hanging="0" w:left="0" w:right="0"/>
        <w:jc w:val="left"/>
        <w:rPr/>
      </w:pPr>
      <w:r>
        <w:rPr/>
        <w:t>Esquema general del proceso</w:t>
      </w:r>
    </w:p>
    <w:p>
      <w:pPr>
        <w:pStyle w:val="BodyTextcenter"/>
        <w:bidi w:val="0"/>
        <w:jc w:val="center"/>
        <w:rPr/>
      </w:pPr>
      <w:r>
        <w:rPr/>
        <w:drawing>
          <wp:inline distT="0" distB="0" distL="0" distR="0">
            <wp:extent cx="5939790" cy="719264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left="0" w:right="0"/>
        <w:jc w:val="left"/>
        <w:rPr/>
      </w:pPr>
      <w:r>
        <w:rPr/>
        <w:t>Desarrollo paso a paso</w:t>
      </w:r>
    </w:p>
    <w:p>
      <w:pPr>
        <w:pStyle w:val="BodyTextpaso"/>
        <w:bidi w:val="0"/>
        <w:spacing w:before="240" w:after="40"/>
        <w:jc w:val="left"/>
        <w:rPr/>
      </w:pPr>
      <w:r>
        <w:rPr/>
        <w:t>1 Envío / radicación de la demanda ejecutiva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>Se radica la demanda ejecutiva ante el juzgado competente, adjuntando los documentos base: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left="784"/>
        <w:jc w:val="left"/>
        <w:rPr/>
      </w:pPr>
      <w:r>
        <w:rPr>
          <w:b/>
        </w:rPr>
        <w:t>Poder</w:t>
      </w:r>
      <w:r>
        <w:rPr/>
        <w:t xml:space="preserve"> otorgado al apoderado.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spacing w:before="75" w:after="0"/>
        <w:ind w:hanging="283" w:left="784"/>
        <w:jc w:val="left"/>
        <w:rPr/>
      </w:pPr>
      <w:r>
        <w:rPr>
          <w:b/>
        </w:rPr>
        <w:t>Demanda</w:t>
      </w:r>
      <w:r>
        <w:rPr/>
        <w:t xml:space="preserve"> con el título ejecutivo (obligación clara, expresa y exigible).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4" w:leader="none"/>
        </w:tabs>
        <w:bidi w:val="0"/>
        <w:ind w:hanging="283" w:left="784"/>
        <w:jc w:val="left"/>
        <w:rPr/>
      </w:pPr>
      <w:r>
        <w:rPr>
          <w:b/>
        </w:rPr>
        <w:t>Solicitud de medidas cautelares</w:t>
      </w:r>
      <w:r>
        <w:rPr/>
        <w:t xml:space="preserve"> (embargo y secuestro de bienes, cuentas, vehículos, etc.).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envío / radicación de la demanda y sus anexos ]</w:t>
      </w:r>
    </w:p>
    <w:p>
      <w:pPr>
        <w:pStyle w:val="BodyTextpaso"/>
        <w:bidi w:val="0"/>
        <w:spacing w:before="240" w:after="40"/>
        <w:jc w:val="left"/>
        <w:rPr/>
      </w:pPr>
      <w:r>
        <w:rPr/>
        <w:t>2 Radicación en el Juzgado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 xml:space="preserve">El sistema asigna el proceso a un juzgado. Llega la constancia con el </w:t>
      </w:r>
      <w:r>
        <w:rPr>
          <w:b/>
        </w:rPr>
        <w:t>nombre del Juzgado</w:t>
      </w:r>
      <w:r>
        <w:rPr/>
        <w:t xml:space="preserve"> y el </w:t>
      </w:r>
      <w:r>
        <w:rPr>
          <w:b/>
        </w:rPr>
        <w:t>número de radicado</w:t>
      </w:r>
      <w:r>
        <w:rPr/>
        <w:t>, que identificará el proceso durante todo su trámite.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radicado y el juzgado asignado ]</w:t>
      </w:r>
    </w:p>
    <w:p>
      <w:pPr>
        <w:pStyle w:val="BodyTextpaso"/>
        <w:bidi w:val="0"/>
        <w:spacing w:before="240" w:after="40"/>
        <w:jc w:val="left"/>
        <w:rPr/>
      </w:pPr>
      <w:r>
        <w:rPr/>
        <w:t>3 Calificación de la demanda (Admite / Inadmite)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>El juez revisa la demanda y decide: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75" w:after="0"/>
        <w:ind w:hanging="283" w:left="709" w:right="0"/>
        <w:jc w:val="left"/>
        <w:rPr/>
      </w:pPr>
      <w:r>
        <w:rPr>
          <w:b/>
          <w:color w:val="1E7846"/>
        </w:rPr>
        <w:t>ADMITE:</w:t>
      </w:r>
      <w:r>
        <w:rPr/>
        <w:t xml:space="preserve"> profiere el auto admisorio y </w:t>
      </w:r>
      <w:r>
        <w:rPr>
          <w:b/>
        </w:rPr>
        <w:t>decreta y libra las medidas cautelares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  <w:color w:val="AA2828"/>
        </w:rPr>
        <w:t>INADMITE:</w:t>
      </w:r>
      <w:r>
        <w:rPr/>
        <w:t xml:space="preserve"> concede término para </w:t>
      </w:r>
      <w:r>
        <w:rPr>
          <w:b/>
        </w:rPr>
        <w:t>subsanar</w:t>
      </w:r>
      <w:r>
        <w:rPr/>
        <w:t>; corregida, se vuelve a calificar.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auto admisorio / inadmisorio ]</w:t>
      </w:r>
    </w:p>
    <w:p>
      <w:pPr>
        <w:pStyle w:val="BodyTextpaso"/>
        <w:bidi w:val="0"/>
        <w:spacing w:before="240" w:after="40"/>
        <w:jc w:val="left"/>
        <w:rPr/>
      </w:pPr>
      <w:r>
        <w:rPr/>
        <w:t>4 Notificación de las medidas cautelares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>Se notifica y comunica las medidas decretadas a quienes corresponda: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left="784"/>
        <w:jc w:val="left"/>
        <w:rPr/>
      </w:pPr>
      <w:r>
        <w:rPr/>
        <w:t xml:space="preserve">El </w:t>
      </w:r>
      <w:r>
        <w:rPr>
          <w:b/>
        </w:rPr>
        <w:t>demandado</w:t>
      </w:r>
      <w:r>
        <w:rPr/>
        <w:t xml:space="preserve"> (persona natural) o la </w:t>
      </w:r>
      <w:r>
        <w:rPr>
          <w:b/>
        </w:rPr>
        <w:t>empresa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spacing w:before="75" w:after="0"/>
        <w:ind w:hanging="283" w:left="784"/>
        <w:jc w:val="left"/>
        <w:rPr/>
      </w:pPr>
      <w:r>
        <w:rPr>
          <w:b/>
        </w:rPr>
        <w:t>Tránsito</w:t>
      </w:r>
      <w:r>
        <w:rPr/>
        <w:t xml:space="preserve"> (vehículos), </w:t>
      </w:r>
      <w:r>
        <w:rPr>
          <w:b/>
        </w:rPr>
        <w:t>bancos / entidades</w:t>
      </w:r>
      <w:r>
        <w:rPr/>
        <w:t xml:space="preserve"> (cuentas), oficinas de registro, etc.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84" w:leader="none"/>
        </w:tabs>
        <w:bidi w:val="0"/>
        <w:ind w:hanging="283" w:left="784"/>
        <w:jc w:val="left"/>
        <w:rPr/>
      </w:pPr>
      <w:r>
        <w:rPr/>
        <w:t xml:space="preserve">El </w:t>
      </w:r>
      <w:r>
        <w:rPr>
          <w:b/>
        </w:rPr>
        <w:t>Juzgado</w:t>
      </w:r>
      <w:r>
        <w:rPr/>
        <w:t xml:space="preserve"> deja constancia de los oficios librados.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 los oficios / notificación de las medidas ]</w:t>
      </w:r>
    </w:p>
    <w:p>
      <w:pPr>
        <w:pStyle w:val="BodyTextpaso"/>
        <w:bidi w:val="0"/>
        <w:spacing w:before="240" w:after="40"/>
        <w:jc w:val="left"/>
        <w:rPr/>
      </w:pPr>
      <w:r>
        <w:rPr/>
        <w:t>5 Mandamiento de pago y notificación al demandado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>Se libra mandamiento de pago y se notifica al demandado. A partir de ahí: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75" w:after="0"/>
        <w:ind w:hanging="283" w:left="709" w:right="0"/>
        <w:jc w:val="left"/>
        <w:rPr/>
      </w:pPr>
      <w:r>
        <w:rPr>
          <w:b/>
          <w:color w:val="1E7846"/>
        </w:rPr>
        <w:t>Si CONTESTA / propone excepciones:</w:t>
      </w:r>
      <w:r>
        <w:rPr/>
        <w:t xml:space="preserve"> el proceso continúa hacia </w:t>
      </w:r>
      <w:r>
        <w:rPr>
          <w:b/>
        </w:rPr>
        <w:t>audiencia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  <w:color w:val="AA2828"/>
        </w:rPr>
        <w:t>Si NO contesta:</w:t>
      </w:r>
      <w:r>
        <w:rPr/>
        <w:t xml:space="preserve"> la actuación queda </w:t>
      </w:r>
      <w:r>
        <w:rPr>
          <w:b/>
        </w:rPr>
        <w:t>en firme</w:t>
      </w:r>
      <w:r>
        <w:rPr/>
        <w:t xml:space="preserve"> y se sigue con la ejecución.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mandamiento de pago / notificación / contestación ]</w:t>
      </w:r>
    </w:p>
    <w:p>
      <w:pPr>
        <w:pStyle w:val="BodyTextpaso"/>
        <w:bidi w:val="0"/>
        <w:spacing w:before="240" w:after="40"/>
        <w:jc w:val="left"/>
        <w:rPr/>
      </w:pPr>
      <w:r>
        <w:rPr/>
        <w:t>6 Impulsos procesales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>Actuaciones para que el proceso avance: memoriales, oficios, solicitudes de avalúo y remate, requerimientos al juzgado, etc.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 los memoriales / impulsos presentados ]</w:t>
      </w:r>
    </w:p>
    <w:p>
      <w:pPr>
        <w:pStyle w:val="BodyTextpaso"/>
        <w:bidi w:val="0"/>
        <w:spacing w:before="240" w:after="40"/>
        <w:jc w:val="left"/>
        <w:rPr/>
      </w:pPr>
      <w:r>
        <w:rPr/>
        <w:t>7 Posible acuerdo de pagos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 xml:space="preserve">En cualquier etapa las partes pueden llegar a un </w:t>
      </w:r>
      <w:r>
        <w:rPr>
          <w:b/>
        </w:rPr>
        <w:t>acuerdo de pago</w:t>
      </w:r>
      <w:r>
        <w:rPr/>
        <w:t xml:space="preserve"> o conciliación, total o por cuotas, que se presenta al juzgado.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acuerdo de pagos / acta de conciliación ]</w:t>
      </w:r>
    </w:p>
    <w:p>
      <w:pPr>
        <w:pStyle w:val="BodyTextpaso"/>
        <w:bidi w:val="0"/>
        <w:spacing w:before="240" w:after="40"/>
        <w:jc w:val="left"/>
        <w:rPr/>
      </w:pPr>
      <w:r>
        <w:rPr/>
        <w:t>8 Terminación del proceso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 xml:space="preserve">El proceso termina por </w:t>
      </w:r>
      <w:r>
        <w:rPr>
          <w:b/>
        </w:rPr>
        <w:t>pago total</w:t>
      </w:r>
      <w:r>
        <w:rPr/>
        <w:t xml:space="preserve">, por </w:t>
      </w:r>
      <w:r>
        <w:rPr>
          <w:b/>
        </w:rPr>
        <w:t>sentencia</w:t>
      </w:r>
      <w:r>
        <w:rPr/>
        <w:t xml:space="preserve"> que ordena seguir la ejecución y rematar, o por </w:t>
      </w:r>
      <w:r>
        <w:rPr>
          <w:b/>
        </w:rPr>
        <w:t>cumplimiento del acuerdo</w:t>
      </w:r>
      <w:r>
        <w:rPr/>
        <w:t>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auto / sentencia de terminación ]</w:t>
      </w:r>
    </w:p>
    <w:p>
      <w:pPr>
        <w:pStyle w:val="BodyTextpaso"/>
        <w:bidi w:val="0"/>
        <w:spacing w:before="240" w:after="40"/>
        <w:jc w:val="left"/>
        <w:rPr/>
      </w:pPr>
      <w:r>
        <w:rPr/>
        <w:t>9 Desistimiento tácito</w:t>
      </w:r>
    </w:p>
    <w:p>
      <w:pPr>
        <w:pStyle w:val="BodyText"/>
        <w:bidi w:val="0"/>
        <w:spacing w:before="75" w:after="75"/>
        <w:ind w:left="75" w:right="75"/>
        <w:jc w:val="left"/>
        <w:rPr/>
      </w:pPr>
      <w:r>
        <w:rPr/>
        <w:t xml:space="preserve">Si el demandante </w:t>
      </w:r>
      <w:r>
        <w:rPr>
          <w:b/>
        </w:rPr>
        <w:t>no impulsa</w:t>
      </w:r>
      <w:r>
        <w:rPr/>
        <w:t xml:space="preserve"> el proceso dentro del término legal, el juez puede declarar el </w:t>
      </w:r>
      <w:r>
        <w:rPr>
          <w:b/>
        </w:rPr>
        <w:t>desistimiento tácito</w:t>
      </w:r>
      <w:r>
        <w:rPr/>
        <w:t xml:space="preserve"> (art. 317 del Código General del Proceso), terminando la actuación.</w:t>
      </w:r>
    </w:p>
    <w:p>
      <w:pPr>
        <w:pStyle w:val="BodyText"/>
        <w:bidi w:val="0"/>
        <w:spacing w:before="120" w:after="60"/>
        <w:ind w:hanging="0" w:left="120" w:right="120"/>
        <w:jc w:val="center"/>
        <w:rPr>
          <w:i/>
          <w:color w:val="7C8AA0"/>
          <w:bdr w:val="dashed" w:sz="12" w:space="23" w:color="9FB4D0"/>
          <w:shd w:fill="F3F7FC" w:val="clear"/>
        </w:rPr>
      </w:pPr>
      <w:r>
        <w:rPr>
          <w:i/>
          <w:color w:val="7C8AA0"/>
          <w:bdr w:val="dashed" w:sz="12" w:space="23" w:color="9FB4D0"/>
          <w:shd w:fill="F3F7FC" w:val="clear"/>
        </w:rPr>
        <w:t>[ Inserte aquí la imagen del auto que declara el desistimiento tácito ]</w:t>
      </w:r>
    </w:p>
    <w:p>
      <w:pPr>
        <w:pStyle w:val="Heading2"/>
        <w:numPr>
          <w:ilvl w:val="0"/>
          <w:numId w:val="0"/>
        </w:numPr>
        <w:pBdr>
          <w:bottom w:val="single" w:sz="12" w:space="2" w:color="214E8C"/>
        </w:pBdr>
        <w:bidi w:val="0"/>
        <w:spacing w:before="360" w:after="120"/>
        <w:jc w:val="left"/>
        <w:rPr/>
      </w:pPr>
      <w:r>
        <w:rPr/>
        <w:t>Notas</w:t>
      </w:r>
    </w:p>
    <w:p>
      <w:pPr>
        <w:pStyle w:val="BodyText"/>
        <w:bidi w:val="0"/>
        <w:spacing w:before="75" w:after="0"/>
        <w:ind w:hanging="0" w:left="0" w:right="0"/>
        <w:jc w:val="left"/>
        <w:rPr>
          <w:sz w:val="21"/>
          <w:bdr w:val="single" w:sz="24" w:space="9" w:color="B45F0A"/>
          <w:shd w:fill="FFF7E6" w:val="clear"/>
        </w:rPr>
      </w:pPr>
      <w:r>
        <w:rPr>
          <w:sz w:val="21"/>
          <w:bdr w:val="single" w:sz="24" w:space="9" w:color="B45F0A"/>
          <w:shd w:fill="FFF7E6" w:val="clear"/>
        </w:rPr>
        <w:t xml:space="preserve">Este documento es una </w:t>
      </w:r>
      <w:r>
        <w:rPr>
          <w:b/>
          <w:sz w:val="21"/>
          <w:bdr w:val="single" w:sz="24" w:space="9" w:color="B45F0A"/>
          <w:shd w:fill="FFF7E6" w:val="clear"/>
        </w:rPr>
        <w:t>guía esquemática</w:t>
      </w:r>
      <w:r>
        <w:rPr>
          <w:sz w:val="21"/>
          <w:bdr w:val="single" w:sz="24" w:space="9" w:color="B45F0A"/>
          <w:shd w:fill="FFF7E6" w:val="clear"/>
        </w:rPr>
        <w:t xml:space="preserve"> del trámite y no sustituye asesoría jurídica. Los términos, recursos y actuaciones se rigen por el </w:t>
      </w:r>
      <w:r>
        <w:rPr>
          <w:b/>
          <w:sz w:val="21"/>
          <w:bdr w:val="single" w:sz="24" w:space="9" w:color="B45F0A"/>
          <w:shd w:fill="FFF7E6" w:val="clear"/>
        </w:rPr>
        <w:t>Código General del Proceso (Ley 1564 de 2012)</w:t>
      </w:r>
      <w:r>
        <w:rPr>
          <w:sz w:val="21"/>
          <w:bdr w:val="single" w:sz="24" w:space="9" w:color="B45F0A"/>
          <w:shd w:fill="FFF7E6" w:val="clear"/>
        </w:rPr>
        <w:t xml:space="preserve"> y pueden variar según el caso concreto y el despacho judicial.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/>
    </w:pPr>
    <w:rPr>
      <w:rFonts w:ascii="Calibri;Carlito;sans-serif" w:hAnsi="Calibri;Carlito;sans-serif" w:eastAsia="Calibri;Carlito;sans-serif" w:cs="Calibri;Carlito;sans-serif"/>
      <w:color w:val="222222"/>
      <w:sz w:val="22"/>
      <w:szCs w:val="22"/>
      <w:lang w:val="es-E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jc w:val="center"/>
    </w:pPr>
    <w:rPr>
      <w:rFonts w:ascii="Noto Sans" w:hAnsi="Noto Sans"/>
      <w:b/>
      <w:bCs/>
      <w:color w:val="214E8C"/>
      <w:sz w:val="42"/>
      <w:szCs w:val="42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2" w:color="214E8C"/>
      </w:pBd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214E8C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75" w:after="75"/>
      <w:ind w:left="75" w:right="7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">
    <w:name w:val="Body Text.sub"/>
    <w:basedOn w:val="BodyText"/>
    <w:qFormat/>
    <w:pPr>
      <w:jc w:val="center"/>
    </w:pPr>
    <w:rPr>
      <w:color w:val="5A5A5A"/>
      <w:sz w:val="22"/>
      <w:szCs w:val="22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BodyTextpaso">
    <w:name w:val="Body Text.paso"/>
    <w:basedOn w:val="BodyText"/>
    <w:qFormat/>
    <w:pPr>
      <w:spacing w:before="240" w:after="40"/>
    </w:pPr>
    <w:rPr>
      <w:b/>
      <w:bCs/>
      <w:color w:val="214E8C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544</Words>
  <Characters>2763</Characters>
  <CharactersWithSpaces>3260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