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line="480"/>
        <w:jc w:val="center"/>
      </w:pPr>
      <w:r>
        <w:rPr>
          <w:rFonts w:ascii="Times New Roman" w:cs="Times New Roman" w:eastAsia="Times New Roman" w:hAnsi="Times New Roman"/>
          <w:b/>
          <w:bCs/>
          <w:sz w:val="28"/>
          <w:szCs w:val="28"/>
        </w:rPr>
        <w:t xml:space="preserve">Apéndice Metodológico del Índice de Complejidad Económica (ICE) municipal</w:t>
      </w:r>
    </w:p>
    <w:p>
      <w:pPr>
        <w:spacing w:line="480"/>
        <w:jc w:val="center"/>
      </w:pPr>
      <w:r>
        <w:rPr>
          <w:rFonts w:ascii="Times New Roman" w:cs="Times New Roman" w:eastAsia="Times New Roman" w:hAnsi="Times New Roman"/>
          <w:sz w:val="24"/>
          <w:szCs w:val="24"/>
        </w:rPr>
        <w:t xml:space="preserve">Movilidad social y complejidad económica: un estudio de las características económicas regionales que influyen en la movilidad inesperada en México</w:t>
      </w:r>
    </w:p>
    <w:p>
      <w:pPr>
        <w:spacing w:before="600"/>
      </w:pPr>
    </w:p>
    <w:p>
      <w:pPr>
        <w:spacing w:line="480"/>
        <w:jc w:val="center"/>
      </w:pPr>
      <w:r>
        <w:rPr>
          <w:rFonts w:ascii="Times New Roman" w:cs="Times New Roman" w:eastAsia="Times New Roman" w:hAnsi="Times New Roman"/>
        </w:rPr>
        <w:t xml:space="preserve">Equipo 1</w:t>
      </w:r>
    </w:p>
    <w:p>
      <w:pPr>
        <w:spacing w:line="480"/>
        <w:jc w:val="center"/>
      </w:pPr>
      <w:r>
        <w:rPr>
          <w:rFonts w:ascii="Times New Roman" w:cs="Times New Roman" w:eastAsia="Times New Roman" w:hAnsi="Times New Roman"/>
        </w:rPr>
        <w:t xml:space="preserve">Andoni Garritz Ayala – A01663282</w:t>
      </w:r>
    </w:p>
    <w:p>
      <w:pPr>
        <w:spacing w:line="480"/>
        <w:jc w:val="center"/>
      </w:pPr>
      <w:r>
        <w:rPr>
          <w:rFonts w:ascii="Times New Roman" w:cs="Times New Roman" w:eastAsia="Times New Roman" w:hAnsi="Times New Roman"/>
        </w:rPr>
        <w:t xml:space="preserve">Elid Sebastián López Pineda – A01654141</w:t>
      </w:r>
    </w:p>
    <w:p>
      <w:pPr>
        <w:spacing w:line="480"/>
        <w:jc w:val="center"/>
      </w:pPr>
      <w:r>
        <w:rPr>
          <w:rFonts w:ascii="Times New Roman" w:cs="Times New Roman" w:eastAsia="Times New Roman" w:hAnsi="Times New Roman"/>
        </w:rPr>
        <w:t xml:space="preserve">Andrés Felipe Gutiérrez – A01710308</w:t>
      </w:r>
    </w:p>
    <w:p>
      <w:pPr>
        <w:spacing w:line="480"/>
        <w:jc w:val="center"/>
      </w:pPr>
      <w:r>
        <w:rPr>
          <w:rFonts w:ascii="Times New Roman" w:cs="Times New Roman" w:eastAsia="Times New Roman" w:hAnsi="Times New Roman"/>
        </w:rPr>
        <w:t xml:space="preserve">David Arteaga Zumaya – A1067617</w:t>
      </w:r>
    </w:p>
    <w:p>
      <w:pPr>
        <w:spacing w:before="600"/>
      </w:pPr>
    </w:p>
    <w:p>
      <w:pPr>
        <w:spacing w:line="480"/>
        <w:jc w:val="center"/>
      </w:pPr>
      <w:r>
        <w:rPr>
          <w:rFonts w:ascii="Times New Roman" w:cs="Times New Roman" w:eastAsia="Times New Roman" w:hAnsi="Times New Roman"/>
        </w:rPr>
        <w:t xml:space="preserve">Economía aplicada y ciencia de datos para el bien público</w:t>
      </w:r>
    </w:p>
    <w:p>
      <w:pPr>
        <w:spacing w:before="400"/>
      </w:pPr>
    </w:p>
    <w:p>
      <w:pPr>
        <w:spacing w:line="480"/>
        <w:jc w:val="center"/>
      </w:pPr>
      <w:r>
        <w:rPr>
          <w:rFonts w:ascii="Times New Roman" w:cs="Times New Roman" w:eastAsia="Times New Roman" w:hAnsi="Times New Roman"/>
        </w:rPr>
        <w:t xml:space="preserve">Profesora: Nayeli Noyolitzin Salgado Granados</w:t>
      </w:r>
    </w:p>
    <w:p>
      <w:pPr>
        <w:spacing w:before="400"/>
      </w:pPr>
    </w:p>
    <w:p>
      <w:pPr>
        <w:spacing w:line="480"/>
        <w:jc w:val="center"/>
      </w:pPr>
      <w:r>
        <w:rPr>
          <w:rFonts w:ascii="Times New Roman" w:cs="Times New Roman" w:eastAsia="Times New Roman" w:hAnsi="Times New Roman"/>
        </w:rPr>
        <w:t xml:space="preserve">4 de octubre de 2026</w:t>
      </w:r>
    </w:p>
    <w:p>
      <w:r>
        <w:br w:type="page"/>
      </w:r>
    </w:p>
    <w:p>
      <w:pPr>
        <w:pStyle w:val="Heading1"/>
        <w:keepNext/>
        <w:spacing w:after="0" w:before="240" w:line="480"/>
      </w:pPr>
      <w:r>
        <w:rPr>
          <w:rFonts w:ascii="Times New Roman" w:cs="Times New Roman" w:eastAsia="Times New Roman" w:hAnsi="Times New Roman"/>
          <w:b/>
          <w:bCs/>
          <w:sz w:val="24"/>
          <w:szCs w:val="24"/>
        </w:rPr>
        <w:t xml:space="preserve">1. Contexto y justificación del índice</w:t>
      </w:r>
    </w:p>
    <w:p>
      <w:pPr>
        <w:spacing w:after="0" w:before="0" w:line="480"/>
        <w:ind w:firstLine="720"/>
        <w:jc w:val="both"/>
      </w:pPr>
      <w:r>
        <w:rPr>
          <w:rFonts w:ascii="Times New Roman" w:cs="Times New Roman" w:eastAsia="Times New Roman" w:hAnsi="Times New Roman"/>
        </w:rPr>
        <w:t xml:space="preserve">El Índice de Complejidad Económica (ICE) aproxima las capacidades productivas de un territorio a partir de qué produce, no de cuánto produce (Hidalgo &amp; Hausmann, 2009; Hausmann et al., 2013). Parte de una red bipartita que vincula territorios con actividades: un municipio participa de manera significativa en una actividad cuando su especialización relativa en ella supera el promedio nacional. Con esa red se definen dos medidas: la </w:t>
      </w:r>
      <w:r>
        <w:rPr>
          <w:rFonts w:ascii="Times New Roman" w:cs="Times New Roman" w:eastAsia="Times New Roman" w:hAnsi="Times New Roman"/>
          <w:b/>
          <w:bCs/>
        </w:rPr>
        <w:t xml:space="preserve">diversidad</w:t>
      </w:r>
      <w:r>
        <w:rPr>
          <w:rFonts w:ascii="Times New Roman" w:cs="Times New Roman" w:eastAsia="Times New Roman" w:hAnsi="Times New Roman"/>
        </w:rPr>
        <w:t xml:space="preserve"> de un municipio (el número de actividades en que participa) y la </w:t>
      </w:r>
      <w:r>
        <w:rPr>
          <w:rFonts w:ascii="Times New Roman" w:cs="Times New Roman" w:eastAsia="Times New Roman" w:hAnsi="Times New Roman"/>
          <w:b/>
          <w:bCs/>
        </w:rPr>
        <w:t xml:space="preserve">ubicuidad</w:t>
      </w:r>
      <w:r>
        <w:rPr>
          <w:rFonts w:ascii="Times New Roman" w:cs="Times New Roman" w:eastAsia="Times New Roman" w:hAnsi="Times New Roman"/>
        </w:rPr>
        <w:t xml:space="preserve"> de una actividad (el número de municipios que la realizan). La intuición es que las actividades que requieren muchas capacidades son raras (poco ubicuas) y solo las realizan territorios que reúnen muchas capacidades (muy diversos). El ICE combina ambas dimensiones de manera recursiva y resume en un solo número la sofisticación relativa de la estructura productiva de cada municipio; su contraparte por actividad es el Índice de Complejidad del Producto (PCI).</w:t>
      </w:r>
    </w:p>
    <w:p>
      <w:pPr>
        <w:spacing w:after="0" w:before="0" w:line="480"/>
        <w:ind w:firstLine="720"/>
        <w:jc w:val="both"/>
      </w:pPr>
      <w:r>
        <w:rPr>
          <w:rFonts w:ascii="Times New Roman" w:cs="Times New Roman" w:eastAsia="Times New Roman" w:hAnsi="Times New Roman"/>
        </w:rPr>
        <w:t xml:space="preserve">La misma red permite construir el </w:t>
      </w:r>
      <w:r>
        <w:rPr>
          <w:rFonts w:ascii="Times New Roman" w:cs="Times New Roman" w:eastAsia="Times New Roman" w:hAnsi="Times New Roman"/>
          <w:b/>
          <w:bCs/>
        </w:rPr>
        <w:t xml:space="preserve">espacio de producto</w:t>
      </w:r>
      <w:r>
        <w:rPr>
          <w:rFonts w:ascii="Times New Roman" w:cs="Times New Roman" w:eastAsia="Times New Roman" w:hAnsi="Times New Roman"/>
        </w:rPr>
        <w:t xml:space="preserve"> (Hidalgo et al., 2007): una red de proximidad entre actividades que mide qué tan probable es que dos actividades coexistan en un mismo territorio. A partir de ella se calculan la </w:t>
      </w:r>
      <w:r>
        <w:rPr>
          <w:rFonts w:ascii="Times New Roman" w:cs="Times New Roman" w:eastAsia="Times New Roman" w:hAnsi="Times New Roman"/>
          <w:b/>
          <w:bCs/>
        </w:rPr>
        <w:t xml:space="preserve">densidad</w:t>
      </w:r>
      <w:r>
        <w:rPr>
          <w:rFonts w:ascii="Times New Roman" w:cs="Times New Roman" w:eastAsia="Times New Roman" w:hAnsi="Times New Roman"/>
        </w:rPr>
        <w:t xml:space="preserve"> (qué tan cerca está un municipio de una actividad que aún no desarrolla), su complemento, la </w:t>
      </w:r>
      <w:r>
        <w:rPr>
          <w:rFonts w:ascii="Times New Roman" w:cs="Times New Roman" w:eastAsia="Times New Roman" w:hAnsi="Times New Roman"/>
          <w:b/>
          <w:bCs/>
        </w:rPr>
        <w:t xml:space="preserve">distancia tecnológica</w:t>
      </w:r>
      <w:r>
        <w:rPr>
          <w:rFonts w:ascii="Times New Roman" w:cs="Times New Roman" w:eastAsia="Times New Roman" w:hAnsi="Times New Roman"/>
        </w:rPr>
        <w:t xml:space="preserve">, y el </w:t>
      </w:r>
      <w:r>
        <w:rPr>
          <w:rFonts w:ascii="Times New Roman" w:cs="Times New Roman" w:eastAsia="Times New Roman" w:hAnsi="Times New Roman"/>
          <w:b/>
          <w:bCs/>
        </w:rPr>
        <w:t xml:space="preserve">Índice de Oportunidad de Complejidad</w:t>
      </w:r>
      <w:r>
        <w:rPr>
          <w:rFonts w:ascii="Times New Roman" w:cs="Times New Roman" w:eastAsia="Times New Roman" w:hAnsi="Times New Roman"/>
        </w:rPr>
        <w:t xml:space="preserve"> (COI), que resume qué tan cerca está un municipio de actividades complejas que todavía no tiene. En el contexto de este proyecto, estas medidas importan porque la estructura productiva informa sobre las oportunidades de empleo, los requerimientos de habilidades y las posibilidades de aprendizaje a las que están expuestas las personas (Hartmann et al., 2017), que es el canal que se quiere vincular con la movilidad intergeneracional.</w:t>
      </w:r>
    </w:p>
    <w:p>
      <w:pPr>
        <w:spacing w:after="0" w:before="0" w:line="480"/>
        <w:ind w:firstLine="720"/>
        <w:jc w:val="both"/>
      </w:pPr>
      <w:r>
        <w:rPr>
          <w:rFonts w:ascii="Times New Roman" w:cs="Times New Roman" w:eastAsia="Times New Roman" w:hAnsi="Times New Roman"/>
          <w:b/>
          <w:bCs/>
        </w:rPr>
        <w:t xml:space="preserve">Justificación de la elaboración propia.</w:t>
      </w:r>
      <w:r>
        <w:rPr>
          <w:rFonts w:ascii="Times New Roman" w:cs="Times New Roman" w:eastAsia="Times New Roman" w:hAnsi="Times New Roman"/>
        </w:rPr>
        <w:t xml:space="preserve"> Calcular el ICE desde los microdatos censales, en lugar de usar un índice precalculado, era un requisito de la investigación por cuatro razones. Primera, el análisis estructural requiere la red bipartita completa (la matriz municipio × rama de ventajas comparativas) y la matriz de proximidad entre ramas para cada año; con ellas se calculan densidades, distancias tecnológicas, COI y COG a nivel municipal, que no se pueden reconstruir a partir de un índice agregado. Segunda, se necesitaba una serie quinquenal homogénea (2003, 2008, 2013, 2018 y 2023) que cubriera el periodo en que la cohorte de ESRU-EMOVI 2023 de 25 a 34 años tenía 14 años, en la geografía municipal de 2023 con la que se codifica el municipio de origen en la encuesta. Tercera, cada decisión metodológica (variable, nivel de agregación, umbrales de inclusión, tratamiento de municipios nuevos) tenía que ser explícita, justificable y sometida a pruebas de sensibilidad; con un índice ajeno esas decisiones quedan ocultas. Cuarta, la reproducibilidad: el índice se genera de principio a fin con código abierto y verificado contra la implementación de referencia (</w:t>
      </w:r>
      <w:r>
        <w:rPr>
          <w:rFonts w:ascii="Times New Roman" w:cs="Times New Roman" w:eastAsia="Times New Roman" w:hAnsi="Times New Roman"/>
          <w:i/>
          <w:iCs/>
        </w:rPr>
        <w:t xml:space="preserve">py-ecomplexity</w:t>
      </w:r>
      <w:r>
        <w:rPr>
          <w:rFonts w:ascii="Times New Roman" w:cs="Times New Roman" w:eastAsia="Times New Roman" w:hAnsi="Times New Roman"/>
        </w:rPr>
        <w:t xml:space="preserve"> del Growth Lab de Harvard).</w:t>
      </w:r>
    </w:p>
    <w:p>
      <w:pPr>
        <w:spacing w:after="0" w:before="0" w:line="480"/>
        <w:ind w:firstLine="720"/>
        <w:jc w:val="both"/>
      </w:pPr>
      <w:r>
        <w:rPr>
          <w:rFonts w:ascii="Times New Roman" w:cs="Times New Roman" w:eastAsia="Times New Roman" w:hAnsi="Times New Roman"/>
        </w:rPr>
        <w:t xml:space="preserve">La Gráfica 1 muestra el espacio de producto de las ramas económicas en 2023, construido con la red bipartita propia. Las ramas más complejas (en rojo: servicios financieros, información, transporte aéreo, manufactura electrónica) forman un núcleo separado de las actividades de comercio y servicios tradicionales (en azul), que son ubicuas y tienen muchas unidades económicas. Esta estructura es la que permite medir la distancia de cada municipio a las actividades complejas.</w:t>
      </w:r>
    </w:p>
    <w:p>
      <w:pPr>
        <w:keepNext/>
        <w:spacing w:after="0" w:before="120"/>
        <w:jc w:val="center"/>
      </w:pPr>
      <w:r>
        <w:drawing>
          <wp:inline distT="0" distB="0" distL="0" distR="0">
            <wp:extent cx="5124450" cy="4914900"/>
            <wp:effectExtent t="0" r="0" b="0" l="0"/>
            <wp:docPr id="1" name="G15_espacio_producto_2023.png" descr="Espacio-producto de las ramas económicas, México, 2023" title="Espacio-producto de las ramas económicas, México,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491490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1: Espacio-producto de las ramas económicas, México, 2023</w:t>
      </w:r>
    </w:p>
    <w:p>
      <w:pPr>
        <w:pStyle w:val="Heading1"/>
        <w:keepNext/>
        <w:spacing w:after="0" w:before="240" w:line="480"/>
      </w:pPr>
      <w:r>
        <w:rPr>
          <w:rFonts w:ascii="Times New Roman" w:cs="Times New Roman" w:eastAsia="Times New Roman" w:hAnsi="Times New Roman"/>
          <w:b/>
          <w:bCs/>
          <w:sz w:val="24"/>
          <w:szCs w:val="24"/>
        </w:rPr>
        <w:t xml:space="preserve">2. Datos y fuentes</w:t>
      </w:r>
    </w:p>
    <w:p>
      <w:pPr>
        <w:spacing w:after="0" w:before="0" w:line="480"/>
        <w:ind w:firstLine="720"/>
        <w:jc w:val="both"/>
      </w:pPr>
      <w:r>
        <w:rPr>
          <w:rFonts w:ascii="Times New Roman" w:cs="Times New Roman" w:eastAsia="Times New Roman" w:hAnsi="Times New Roman"/>
        </w:rPr>
        <w:t xml:space="preserve">La Tabla 1 resume las fuentes, su origen y el uso que se les dio. Todos los insumos se conservan sin modificar en la carpeta del proyecto (data/raw/ice/); las transformaciones se hacen en código.</w:t>
      </w:r>
    </w:p>
    <w:p>
      <w:pPr>
        <w:keepNext/>
        <w:spacing w:after="80" w:before="200"/>
        <w:jc w:val="center"/>
      </w:pPr>
      <w:r>
        <w:rPr>
          <w:rFonts w:ascii="Times New Roman" w:cs="Times New Roman" w:eastAsia="Times New Roman" w:hAnsi="Times New Roman"/>
          <w:i/>
          <w:iCs/>
          <w:color w:val="808080"/>
          <w:sz w:val="20"/>
          <w:szCs w:val="20"/>
        </w:rPr>
        <w:t xml:space="preserve">Tabla 1: Fuentes de información utilizadas en la construcción y validación del 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1960"/>
      </w:tblGrid>
      <w:tr>
        <w:trPr>
          <w:tblHeader/>
        </w:trPr>
        <w:tc>
          <w:tcPr>
            <w:tcW w:type="dxa" w:w="20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Fuente</w:t>
            </w:r>
          </w:p>
        </w:tc>
        <w:tc>
          <w:tcPr>
            <w:tcW w:type="dxa" w:w="2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Origen</w:t>
            </w:r>
          </w:p>
        </w:tc>
        <w:tc>
          <w:tcPr>
            <w:tcW w:type="dxa" w:w="2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Contenido</w:t>
            </w:r>
          </w:p>
        </w:tc>
        <w:tc>
          <w:tcPr>
            <w:tcW w:type="dxa" w:w="19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Uso</w:t>
            </w:r>
          </w:p>
        </w:tc>
      </w:tr>
      <w:tr>
        <w:trPr>
          <w:cantSplit/>
        </w:trP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Censos Económicos por municipio y actividad (5 archivos)</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INEGI, Sistema Automatizado de Información Censal (SAIC), serie Censos Económicos 2024, resultados definitivos; consulta del 08/09/2026</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Unidades económicas (UE) y producción bruta total (PBT) por municipio × rama (4 dígitos) y clase (6 dígitos) SCIAN; años de referencia 2003, 2008, 2013, 2018 y 2023; serie homologada al SCIAN por INEGI</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Insumo del ICE (UE); diagnóstico de la PBT; ramas y clases para la prueba de agregación</w:t>
            </w:r>
          </w:p>
        </w:tc>
      </w:tr>
      <w:tr>
        <w:trPr>
          <w:cantSplit/>
        </w:trP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Totales municipales de los Censos Económicos</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INEGI, SAIC, misma serie; consulta del 04/10/2026</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UE, personal ocupado total y remunerado, remuneraciones y valor agregado censal bruto (VACB) por municipio</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Validación externa: remuneración media y productividad laboral</w:t>
            </w:r>
          </w:p>
        </w:tc>
      </w:tr>
      <w:tr>
        <w:trPr>
          <w:cantSplit/>
        </w:trP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Marco Geoestadístico 2023</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INEGI</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Polígonos y claves de 2,478 municipios (incluye los tres creados en 2024)</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Mapas, nombres de municipio y tabla puente con GADM</w:t>
            </w:r>
          </w:p>
        </w:tc>
      </w:tr>
      <w:tr>
        <w:trPr>
          <w:cantSplit/>
        </w:trP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Catálogo Único de Claves Geoestadísticas 2003 y 2023</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INEGI</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Claves municipales y localidades con coordenadas y población</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Universo municipal por año, municipios nuevos y su municipio de origen, centroides poblacionales</w:t>
            </w:r>
          </w:p>
        </w:tc>
      </w:tr>
      <w:tr>
        <w:trPr>
          <w:cantSplit/>
        </w:trP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Población municipal 2000-2020</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INEGI (Censos y Conteos, API) completada con proyecciones de CONAPO</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Población quinquenal en la geografía de 2023</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Controles de escala; interpolación log-lineal a los años censales</w:t>
            </w:r>
          </w:p>
        </w:tc>
      </w:tr>
      <w:tr>
        <w:trPr>
          <w:cantSplit/>
        </w:trP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Decretos de creación municipal</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Congresos de San Luis Potosí y Sinaloa; prensa (Juan José Ríos)</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Municipio de origen de Villa de Pozos, Eldorado y Juan José Ríos (creados en 2024)</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Reasignación al municipio de origen en 2023</w:t>
            </w:r>
          </w:p>
        </w:tc>
      </w:tr>
      <w:tr>
        <w:trPr>
          <w:cantSplit/>
        </w:trP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PIB per cápita municipal 1990-2022</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Kummu et al. (2025), Scientific Data; polígonos GADM v4.1</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PIB per cápita PPP en 2,457 unidades GADM</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Solo descriptivo (ver sección 5)</w:t>
            </w:r>
          </w:p>
        </w:tc>
      </w:tr>
      <w:tr>
        <w:trPr>
          <w:cantSplit/>
        </w:trP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ESRU-EMOVI 2023</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CEEY</w:t>
            </w:r>
          </w:p>
        </w:tc>
        <w:tc>
          <w:tcPr>
            <w:tcW w:type="dxa" w:w="2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Municipio de residencia a los 14 años de la cohorte de 25-34 años</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Cuantificar entrevistados afectados por los filtros</w:t>
            </w:r>
          </w:p>
        </w:tc>
      </w:tr>
    </w:tbl>
    <w:p>
      <w:pPr>
        <w:spacing w:after="240" w:before="60" w:line="240"/>
        <w:jc w:val="both"/>
      </w:pPr>
      <w:r>
        <w:rPr>
          <w:rFonts w:ascii="Times New Roman" w:cs="Times New Roman" w:eastAsia="Times New Roman" w:hAnsi="Times New Roman"/>
          <w:sz w:val="18"/>
          <w:szCs w:val="18"/>
        </w:rPr>
        <w:t xml:space="preserve">Fuente: elaboración propia. Nota: se descartaron el personal ocupado por rama (sujeto a la misma confidencialidad que la PBT) y una base municipal de indicadores sociales sin fuente ni año documentados y con 540 de los 570 municipios de Oaxaca faltantes.</w:t>
      </w:r>
    </w:p>
    <w:p>
      <w:pPr>
        <w:spacing w:after="0" w:before="0" w:line="480"/>
        <w:ind w:firstLine="720"/>
        <w:jc w:val="both"/>
      </w:pPr>
      <w:r>
        <w:rPr>
          <w:rFonts w:ascii="Times New Roman" w:cs="Times New Roman" w:eastAsia="Times New Roman" w:hAnsi="Times New Roman"/>
        </w:rPr>
        <w:t xml:space="preserve">Dos características de los archivos de SAIC condicionan todo el procesamiento. La primera es que la celda vacía tiene un significado explícito: la nota al pie de cada archivo indica que en las celdas vacías «se omitieron los datos absolutos de las variables económicas, con el fin de garantizar el principio de confidencialidad y reserva». La segunda es que SAIC registra la geografía vigente en cada levantamiento, de modo que el número de municipios cambia entre censos por la creación de municipios nuevos.</w:t>
      </w:r>
    </w:p>
    <w:p>
      <w:pPr>
        <w:pStyle w:val="Heading1"/>
        <w:keepNext/>
        <w:spacing w:after="0" w:before="240" w:line="480"/>
      </w:pPr>
      <w:r>
        <w:rPr>
          <w:rFonts w:ascii="Times New Roman" w:cs="Times New Roman" w:eastAsia="Times New Roman" w:hAnsi="Times New Roman"/>
          <w:b/>
          <w:bCs/>
          <w:sz w:val="24"/>
          <w:szCs w:val="24"/>
        </w:rPr>
        <w:t xml:space="preserve">3. Metodología y paso a paso técnico</w:t>
      </w:r>
    </w:p>
    <w:p>
      <w:pPr>
        <w:spacing w:after="0" w:before="0" w:line="480"/>
        <w:ind w:firstLine="720"/>
        <w:jc w:val="both"/>
      </w:pPr>
      <w:r>
        <w:rPr>
          <w:rFonts w:ascii="Times New Roman" w:cs="Times New Roman" w:eastAsia="Times New Roman" w:hAnsi="Times New Roman"/>
        </w:rPr>
        <w:t xml:space="preserve">El cálculo se implementó en Python 3.13 (numpy 2.5.3, pandas 3.0.5, scipy 1.18.1) como una secuencia de ocho módulos ejecutables con un solo comando. Cada módulo escribe una bitácora con los conteos antes y después de cada filtro, y verifica sus resultados con aserciones. Los pasos son los siguientes.</w:t>
      </w:r>
    </w:p>
    <w:p>
      <w:pPr>
        <w:pStyle w:val="Heading2"/>
        <w:keepNext/>
        <w:spacing w:after="0" w:before="120" w:line="480"/>
      </w:pPr>
      <w:r>
        <w:rPr>
          <w:rFonts w:ascii="Times New Roman" w:cs="Times New Roman" w:eastAsia="Times New Roman" w:hAnsi="Times New Roman"/>
          <w:b/>
          <w:bCs/>
          <w:i/>
          <w:iCs/>
          <w:sz w:val="24"/>
          <w:szCs w:val="24"/>
        </w:rPr>
        <w:t xml:space="preserve">3.1 Limpieza de los datos censales</w:t>
      </w:r>
    </w:p>
    <w:p>
      <w:pPr>
        <w:spacing w:after="0" w:before="0" w:line="480"/>
        <w:ind w:firstLine="720"/>
        <w:jc w:val="both"/>
      </w:pPr>
      <w:r>
        <w:rPr>
          <w:rFonts w:ascii="Times New Roman" w:cs="Times New Roman" w:eastAsia="Times New Roman" w:hAnsi="Times New Roman"/>
        </w:rPr>
        <w:t xml:space="preserve">Se leyeron los cinco archivos de SAIC (quitando el relleno de bytes nulos al final de los archivos y los encabezados), se conservaron solo las filas municipales de rama y clase y se construyó la clave municipal de cinco dígitos. Cada celda se clasificó como </w:t>
      </w:r>
      <w:r>
        <w:rPr>
          <w:rFonts w:ascii="Times New Roman" w:cs="Times New Roman" w:eastAsia="Times New Roman" w:hAnsi="Times New Roman"/>
          <w:i/>
          <w:iCs/>
        </w:rPr>
        <w:t xml:space="preserve">valor</w:t>
      </w:r>
      <w:r>
        <w:rPr>
          <w:rFonts w:ascii="Times New Roman" w:cs="Times New Roman" w:eastAsia="Times New Roman" w:hAnsi="Times New Roman"/>
        </w:rPr>
        <w:t xml:space="preserve">, </w:t>
      </w:r>
      <w:r>
        <w:rPr>
          <w:rFonts w:ascii="Times New Roman" w:cs="Times New Roman" w:eastAsia="Times New Roman" w:hAnsi="Times New Roman"/>
          <w:i/>
          <w:iCs/>
        </w:rPr>
        <w:t xml:space="preserve">cero</w:t>
      </w:r>
      <w:r>
        <w:rPr>
          <w:rFonts w:ascii="Times New Roman" w:cs="Times New Roman" w:eastAsia="Times New Roman" w:hAnsi="Times New Roman"/>
        </w:rPr>
        <w:t xml:space="preserve"> o </w:t>
      </w:r>
      <w:r>
        <w:rPr>
          <w:rFonts w:ascii="Times New Roman" w:cs="Times New Roman" w:eastAsia="Times New Roman" w:hAnsi="Times New Roman"/>
          <w:i/>
          <w:iCs/>
        </w:rPr>
        <w:t xml:space="preserve">suprimida</w:t>
      </w:r>
      <w:r>
        <w:rPr>
          <w:rFonts w:ascii="Times New Roman" w:cs="Times New Roman" w:eastAsia="Times New Roman" w:hAnsi="Times New Roman"/>
        </w:rPr>
        <w:t xml:space="preserve"> (celda vacía). Se verificó que las UE nunca están suprimidas ni valen cero a nivel rama, y que el conjunto de ramas por año coincide con la cobertura esperada (unión de 279 ramas en 2003-2023). Los tres municipios creados en 2024 que aparecen en el censo de 2023 se sumaron a su municipio de origen, para que el ICE de 2023 quede en la misma geografía que ESRU-EMOVI (Villa de Pozos → San Luis Potosí; Eldorado → Culiacán; Juan José Ríos → Guasave, su principal municipio de origen).</w:t>
      </w:r>
    </w:p>
    <w:p>
      <w:pPr>
        <w:pStyle w:val="Heading2"/>
        <w:keepNext/>
        <w:spacing w:after="0" w:before="120" w:line="480"/>
      </w:pPr>
      <w:r>
        <w:rPr>
          <w:rFonts w:ascii="Times New Roman" w:cs="Times New Roman" w:eastAsia="Times New Roman" w:hAnsi="Times New Roman"/>
          <w:b/>
          <w:bCs/>
          <w:i/>
          <w:iCs/>
          <w:sz w:val="24"/>
          <w:szCs w:val="24"/>
        </w:rPr>
        <w:t xml:space="preserve">3.2 Matriz de entrada y núcleo de estimación</w:t>
      </w:r>
    </w:p>
    <w:p>
      <w:pPr>
        <w:spacing w:after="0" w:before="0" w:line="480"/>
        <w:ind w:firstLine="720"/>
        <w:jc w:val="both"/>
      </w:pPr>
      <w:r>
        <w:rPr>
          <w:rFonts w:ascii="Times New Roman" w:cs="Times New Roman" w:eastAsia="Times New Roman" w:hAnsi="Times New Roman"/>
        </w:rPr>
        <w:t xml:space="preserve">Para cada año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 construye la matriz </w:t>
      </w:r>
      <w:r>
        <w:rPr>
          <w:rFonts w:ascii="Times New Roman" w:cs="Times New Roman" w:eastAsia="Times New Roman" w:hAnsi="Times New Roman"/>
          <w:i/>
          <w:iCs/>
        </w:rPr>
        <w:t xml:space="preserve">X</w:t>
      </w:r>
      <w:r>
        <w:rPr>
          <w:rFonts w:ascii="Times New Roman" w:cs="Times New Roman" w:eastAsia="Times New Roman" w:hAnsi="Times New Roman"/>
          <w:vertAlign w:val="subscript"/>
        </w:rPr>
        <w:t xml:space="preserve">cp</w:t>
      </w:r>
      <w:r>
        <w:rPr>
          <w:rFonts w:ascii="Times New Roman" w:cs="Times New Roman" w:eastAsia="Times New Roman" w:hAnsi="Times New Roman"/>
        </w:rPr>
        <w:t xml:space="preserve"> con el número de UE del municipio </w:t>
      </w:r>
      <w:r>
        <w:rPr>
          <w:rFonts w:ascii="Times New Roman" w:cs="Times New Roman" w:eastAsia="Times New Roman" w:hAnsi="Times New Roman"/>
          <w:i/>
          <w:iCs/>
        </w:rPr>
        <w:t xml:space="preserve">c</w:t>
      </w:r>
      <w:r>
        <w:rPr>
          <w:rFonts w:ascii="Times New Roman" w:cs="Times New Roman" w:eastAsia="Times New Roman" w:hAnsi="Times New Roman"/>
        </w:rPr>
        <w:t xml:space="preserve"> en la rama </w:t>
      </w:r>
      <w:r>
        <w:rPr>
          <w:rFonts w:ascii="Times New Roman" w:cs="Times New Roman" w:eastAsia="Times New Roman" w:hAnsi="Times New Roman"/>
          <w:i/>
          <w:iCs/>
        </w:rPr>
        <w:t xml:space="preserve">p</w:t>
      </w:r>
      <w:r>
        <w:rPr>
          <w:rFonts w:ascii="Times New Roman" w:cs="Times New Roman" w:eastAsia="Times New Roman" w:hAnsi="Times New Roman"/>
        </w:rPr>
        <w:t xml:space="preserve">. El PCI se estima en un </w:t>
      </w:r>
      <w:r>
        <w:rPr>
          <w:rFonts w:ascii="Times New Roman" w:cs="Times New Roman" w:eastAsia="Times New Roman" w:hAnsi="Times New Roman"/>
          <w:b/>
          <w:bCs/>
        </w:rPr>
        <w:t xml:space="preserve">núcleo</w:t>
      </w:r>
      <w:r>
        <w:rPr>
          <w:rFonts w:ascii="Times New Roman" w:cs="Times New Roman" w:eastAsia="Times New Roman" w:hAnsi="Times New Roman"/>
        </w:rPr>
        <w:t xml:space="preserve"> de municipios y ramas con tamaño suficiente, porque con pocas UE la ventaja comparativa es ruido: un municipio con diez establecimientos obtiene una ventaja comparativa en cualquier rama donde tenga uno. El núcleo se define con medidas de tamaño crudas, no con la diversidad o la ubicuidad (que dependen del propio cálculo):</w:t>
      </w:r>
    </w:p>
    <w:p>
      <w:pPr>
        <w:pStyle w:val="ListParagraph"/>
        <w:numPr>
          <w:ilvl w:val="0"/>
          <w:numId w:val="2"/>
        </w:numPr>
        <w:spacing w:line="480"/>
        <w:jc w:val="both"/>
      </w:pPr>
      <w:r>
        <w:rPr>
          <w:rFonts w:ascii="Times New Roman" w:cs="Times New Roman" w:eastAsia="Times New Roman" w:hAnsi="Times New Roman"/>
        </w:rPr>
        <w:t xml:space="preserve">municipios con al menos 30 UE en total y presencia (UE &gt; 0) en al menos 5 ramas;</w:t>
      </w:r>
    </w:p>
    <w:p>
      <w:pPr>
        <w:pStyle w:val="ListParagraph"/>
        <w:numPr>
          <w:ilvl w:val="0"/>
          <w:numId w:val="2"/>
        </w:numPr>
        <w:spacing w:line="480"/>
        <w:jc w:val="both"/>
      </w:pPr>
      <w:r>
        <w:rPr>
          <w:rFonts w:ascii="Times New Roman" w:cs="Times New Roman" w:eastAsia="Times New Roman" w:hAnsi="Times New Roman"/>
        </w:rPr>
        <w:t xml:space="preserve">ramas presentes en al menos 10 municipios.</w:t>
      </w:r>
    </w:p>
    <w:p>
      <w:pPr>
        <w:spacing w:after="0" w:before="0" w:line="480"/>
        <w:ind w:firstLine="720"/>
        <w:jc w:val="both"/>
      </w:pPr>
      <w:r>
        <w:rPr>
          <w:rFonts w:ascii="Times New Roman" w:cs="Times New Roman" w:eastAsia="Times New Roman" w:hAnsi="Times New Roman"/>
        </w:rPr>
        <w:t xml:space="preserve">Los filtros se aplican de forma iterativa (primero municipios, luego ramas) hasta que ninguno elimina observaciones; en todos los años convergieron en dos iteraciones.</w:t>
      </w:r>
    </w:p>
    <w:p>
      <w:pPr>
        <w:pStyle w:val="Heading2"/>
        <w:keepNext/>
        <w:spacing w:after="0" w:before="120" w:line="480"/>
      </w:pPr>
      <w:r>
        <w:rPr>
          <w:rFonts w:ascii="Times New Roman" w:cs="Times New Roman" w:eastAsia="Times New Roman" w:hAnsi="Times New Roman"/>
          <w:b/>
          <w:bCs/>
          <w:i/>
          <w:iCs/>
          <w:sz w:val="24"/>
          <w:szCs w:val="24"/>
        </w:rPr>
        <w:t xml:space="preserve">3.3 Ventaja comparativa revelada, diversidad y ubicuidad</w:t>
      </w:r>
    </w:p>
    <w:p>
      <w:pPr>
        <w:spacing w:after="0" w:before="0" w:line="480"/>
        <w:ind w:firstLine="720"/>
        <w:jc w:val="both"/>
      </w:pPr>
      <w:r>
        <w:rPr>
          <w:rFonts w:ascii="Times New Roman" w:cs="Times New Roman" w:eastAsia="Times New Roman" w:hAnsi="Times New Roman"/>
        </w:rPr>
        <w:t xml:space="preserve">Con los datos del núcleo se calcula la ventaja comparativa revelada de Balassa y la matriz binaria de presencia:</w:t>
      </w:r>
    </w:p>
    <w:p>
      <w:pPr>
        <w:spacing w:after="120" w:before="120" w:line="360"/>
        <w:jc w:val="center"/>
      </w:pPr>
      <w:r>
        <w:rPr>
          <w:rFonts w:ascii="Times New Roman" w:cs="Times New Roman" w:eastAsia="Times New Roman" w:hAnsi="Times New Roman"/>
          <w:i w:val="false"/>
          <w:iCs w:val="false"/>
        </w:rPr>
        <w:t xml:space="preserve">RCA</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(X</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Σ</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X</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(Σ</w:t>
      </w:r>
      <w:r>
        <w:rPr>
          <w:rFonts w:ascii="Times New Roman" w:cs="Times New Roman" w:eastAsia="Times New Roman" w:hAnsi="Times New Roman"/>
          <w:i w:val="false"/>
          <w:iCs w:val="false"/>
          <w:vertAlign w:val="subscript"/>
        </w:rPr>
        <w:t xml:space="preserve">c</w:t>
      </w:r>
      <w:r>
        <w:rPr>
          <w:rFonts w:ascii="Times New Roman" w:cs="Times New Roman" w:eastAsia="Times New Roman" w:hAnsi="Times New Roman"/>
          <w:i w:val="false"/>
          <w:iCs w:val="false"/>
        </w:rPr>
        <w:t xml:space="preserve"> X</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Σ</w:t>
      </w:r>
      <w:r>
        <w:rPr>
          <w:rFonts w:ascii="Times New Roman" w:cs="Times New Roman" w:eastAsia="Times New Roman" w:hAnsi="Times New Roman"/>
          <w:i w:val="false"/>
          <w:iCs w:val="false"/>
          <w:vertAlign w:val="subscript"/>
        </w:rPr>
        <w:t xml:space="preserve">c</w:t>
      </w:r>
      <w:r>
        <w:rPr>
          <w:rFonts w:ascii="Times New Roman" w:cs="Times New Roman" w:eastAsia="Times New Roman" w:hAnsi="Times New Roman"/>
          <w:i w:val="false"/>
          <w:iCs w:val="false"/>
        </w:rPr>
        <w:t xml:space="preserve">Σ</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X</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1 si RCA</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1;  0 en otro caso</w:t>
      </w:r>
    </w:p>
    <w:p>
      <w:pPr>
        <w:spacing w:after="120" w:before="120" w:line="360"/>
        <w:jc w:val="center"/>
      </w:pPr>
      <w:r>
        <w:rPr>
          <w:rFonts w:ascii="Times New Roman" w:cs="Times New Roman" w:eastAsia="Times New Roman" w:hAnsi="Times New Roman"/>
          <w:i w:val="false"/>
          <w:iCs w:val="false"/>
        </w:rPr>
        <w:t xml:space="preserve">k</w:t>
      </w:r>
      <w:r>
        <w:rPr>
          <w:rFonts w:ascii="Times New Roman" w:cs="Times New Roman" w:eastAsia="Times New Roman" w:hAnsi="Times New Roman"/>
          <w:i w:val="false"/>
          <w:iCs w:val="false"/>
          <w:vertAlign w:val="subscript"/>
        </w:rPr>
        <w:t xml:space="preserve">c</w:t>
      </w:r>
      <w:r>
        <w:rPr>
          <w:rFonts w:ascii="Times New Roman" w:cs="Times New Roman" w:eastAsia="Times New Roman" w:hAnsi="Times New Roman"/>
          <w:i w:val="false"/>
          <w:iCs w:val="false"/>
        </w:rPr>
        <w:t xml:space="preserve"> = Σ</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(diversidad),        k</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 Σ</w:t>
      </w:r>
      <w:r>
        <w:rPr>
          <w:rFonts w:ascii="Times New Roman" w:cs="Times New Roman" w:eastAsia="Times New Roman" w:hAnsi="Times New Roman"/>
          <w:i w:val="false"/>
          <w:iCs w:val="false"/>
          <w:vertAlign w:val="subscript"/>
        </w:rPr>
        <w:t xml:space="preserve">c</w:t>
      </w:r>
      <w:r>
        <w:rPr>
          <w:rFonts w:ascii="Times New Roman" w:cs="Times New Roman" w:eastAsia="Times New Roman" w:hAnsi="Times New Roman"/>
          <w:i w:val="false"/>
          <w:iCs w:val="false"/>
        </w:rPr>
        <w:t xml:space="preserve"> 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(ubicuidad)</w:t>
      </w:r>
    </w:p>
    <w:p>
      <w:pPr>
        <w:pStyle w:val="Heading2"/>
        <w:keepNext/>
        <w:spacing w:after="0" w:before="120" w:line="480"/>
      </w:pPr>
      <w:r>
        <w:rPr>
          <w:rFonts w:ascii="Times New Roman" w:cs="Times New Roman" w:eastAsia="Times New Roman" w:hAnsi="Times New Roman"/>
          <w:b/>
          <w:bCs/>
          <w:i/>
          <w:iCs/>
          <w:sz w:val="24"/>
          <w:szCs w:val="24"/>
        </w:rPr>
        <w:t xml:space="preserve">3.4 Complejidad de las ramas (PCI)</w:t>
      </w:r>
    </w:p>
    <w:p>
      <w:pPr>
        <w:spacing w:after="0" w:before="0" w:line="480"/>
        <w:ind w:firstLine="720"/>
        <w:jc w:val="both"/>
      </w:pPr>
      <w:r>
        <w:rPr>
          <w:rFonts w:ascii="Times New Roman" w:cs="Times New Roman" w:eastAsia="Times New Roman" w:hAnsi="Times New Roman"/>
        </w:rPr>
        <w:t xml:space="preserve">El método de reflexiones de Hidalgo y Hausmann (2009) converge al segundo eigenvector de la matriz M̃</w:t>
      </w:r>
      <w:r>
        <w:rPr>
          <w:rFonts w:ascii="Times New Roman" w:cs="Times New Roman" w:eastAsia="Times New Roman" w:hAnsi="Times New Roman"/>
          <w:vertAlign w:val="subscript"/>
        </w:rPr>
        <w:t xml:space="preserve">pp</w:t>
      </w:r>
      <w:r>
        <w:rPr>
          <w:rFonts w:ascii="Times New Roman" w:cs="Times New Roman" w:eastAsia="Times New Roman" w:hAnsi="Times New Roman"/>
        </w:rPr>
        <w:t xml:space="preserve"> = K</w:t>
      </w:r>
      <w:r>
        <w:rPr>
          <w:rFonts w:ascii="Times New Roman" w:cs="Times New Roman" w:eastAsia="Times New Roman" w:hAnsi="Times New Roman"/>
          <w:vertAlign w:val="subscript"/>
        </w:rPr>
        <w:t xml:space="preserve">p</w:t>
      </w:r>
      <w:r>
        <w:rPr>
          <w:rFonts w:ascii="Times New Roman" w:cs="Times New Roman" w:eastAsia="Times New Roman" w:hAnsi="Times New Roman"/>
          <w:vertAlign w:val="superscript"/>
        </w:rPr>
        <w:t xml:space="preserve">-1</w:t>
      </w:r>
      <w:r>
        <w:rPr>
          <w:rFonts w:ascii="Times New Roman" w:cs="Times New Roman" w:eastAsia="Times New Roman" w:hAnsi="Times New Roman"/>
        </w:rPr>
        <w:t xml:space="preserve"> M′ K</w:t>
      </w:r>
      <w:r>
        <w:rPr>
          <w:rFonts w:ascii="Times New Roman" w:cs="Times New Roman" w:eastAsia="Times New Roman" w:hAnsi="Times New Roman"/>
          <w:vertAlign w:val="subscript"/>
        </w:rPr>
        <w:t xml:space="preserve">c</w:t>
      </w:r>
      <w:r>
        <w:rPr>
          <w:rFonts w:ascii="Times New Roman" w:cs="Times New Roman" w:eastAsia="Times New Roman" w:hAnsi="Times New Roman"/>
          <w:vertAlign w:val="superscript"/>
        </w:rPr>
        <w:t xml:space="preserve">-1</w:t>
      </w:r>
      <w:r>
        <w:rPr>
          <w:rFonts w:ascii="Times New Roman" w:cs="Times New Roman" w:eastAsia="Times New Roman" w:hAnsi="Times New Roman"/>
        </w:rPr>
        <w:t xml:space="preserve"> M, donde </w:t>
      </w:r>
      <w:r>
        <w:rPr>
          <w:rFonts w:ascii="Times New Roman" w:cs="Times New Roman" w:eastAsia="Times New Roman" w:hAnsi="Times New Roman"/>
          <w:i/>
          <w:iCs/>
        </w:rPr>
        <w:t xml:space="preserve">K</w:t>
      </w:r>
      <w:r>
        <w:rPr>
          <w:rFonts w:ascii="Times New Roman" w:cs="Times New Roman" w:eastAsia="Times New Roman" w:hAnsi="Times New Roman"/>
          <w:vertAlign w:val="subscript"/>
        </w:rPr>
        <w:t xml:space="preserve">c</w:t>
      </w:r>
      <w:r>
        <w:rPr>
          <w:rFonts w:ascii="Times New Roman" w:cs="Times New Roman" w:eastAsia="Times New Roman" w:hAnsi="Times New Roman"/>
        </w:rPr>
        <w:t xml:space="preserve"> y </w:t>
      </w:r>
      <w:r>
        <w:rPr>
          <w:rFonts w:ascii="Times New Roman" w:cs="Times New Roman" w:eastAsia="Times New Roman" w:hAnsi="Times New Roman"/>
          <w:i/>
          <w:iCs/>
        </w:rPr>
        <w:t xml:space="preserve">K</w:t>
      </w:r>
      <w:r>
        <w:rPr>
          <w:rFonts w:ascii="Times New Roman" w:cs="Times New Roman" w:eastAsia="Times New Roman" w:hAnsi="Times New Roman"/>
          <w:vertAlign w:val="subscript"/>
        </w:rPr>
        <w:t xml:space="preserve">p</w:t>
      </w:r>
      <w:r>
        <w:rPr>
          <w:rFonts w:ascii="Times New Roman" w:cs="Times New Roman" w:eastAsia="Times New Roman" w:hAnsi="Times New Roman"/>
        </w:rPr>
        <w:t xml:space="preserve"> son matrices diagonales con la diversidad y la ubicuidad. Para estabilidad numérica se resuelve la forma simétrica equivalente:</w:t>
      </w:r>
    </w:p>
    <w:p>
      <w:pPr>
        <w:spacing w:after="120" w:before="120" w:line="360"/>
        <w:jc w:val="center"/>
      </w:pPr>
      <w:r>
        <w:rPr>
          <w:rFonts w:ascii="Times New Roman" w:cs="Times New Roman" w:eastAsia="Times New Roman" w:hAnsi="Times New Roman"/>
          <w:i w:val="false"/>
          <w:iCs w:val="false"/>
        </w:rPr>
        <w:t xml:space="preserve">S = K</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vertAlign w:val="superscript"/>
        </w:rPr>
        <w:t xml:space="preserve">-1/2</w:t>
      </w:r>
      <w:r>
        <w:rPr>
          <w:rFonts w:ascii="Times New Roman" w:cs="Times New Roman" w:eastAsia="Times New Roman" w:hAnsi="Times New Roman"/>
          <w:i w:val="false"/>
          <w:iCs w:val="false"/>
        </w:rPr>
        <w:t xml:space="preserve"> M′ K</w:t>
      </w:r>
      <w:r>
        <w:rPr>
          <w:rFonts w:ascii="Times New Roman" w:cs="Times New Roman" w:eastAsia="Times New Roman" w:hAnsi="Times New Roman"/>
          <w:i w:val="false"/>
          <w:iCs w:val="false"/>
          <w:vertAlign w:val="subscript"/>
        </w:rPr>
        <w:t xml:space="preserve">c</w:t>
      </w:r>
      <w:r>
        <w:rPr>
          <w:rFonts w:ascii="Times New Roman" w:cs="Times New Roman" w:eastAsia="Times New Roman" w:hAnsi="Times New Roman"/>
          <w:i w:val="false"/>
          <w:iCs w:val="false"/>
          <w:vertAlign w:val="superscript"/>
        </w:rPr>
        <w:t xml:space="preserve">-1</w:t>
      </w:r>
      <w:r>
        <w:rPr>
          <w:rFonts w:ascii="Times New Roman" w:cs="Times New Roman" w:eastAsia="Times New Roman" w:hAnsi="Times New Roman"/>
          <w:i w:val="false"/>
          <w:iCs w:val="false"/>
        </w:rPr>
        <w:t xml:space="preserve"> M K</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vertAlign w:val="superscript"/>
        </w:rPr>
        <w:t xml:space="preserve">-1/2</w:t>
      </w:r>
      <w:r>
        <w:rPr>
          <w:rFonts w:ascii="Times New Roman" w:cs="Times New Roman" w:eastAsia="Times New Roman" w:hAnsi="Times New Roman"/>
          <w:i w:val="false"/>
          <w:iCs w:val="false"/>
        </w:rPr>
        <w:t xml:space="preserve">,        PCI</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 K</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vertAlign w:val="superscript"/>
        </w:rPr>
        <w:t xml:space="preserve">-1/2</w:t>
      </w:r>
      <w:r>
        <w:rPr>
          <w:rFonts w:ascii="Times New Roman" w:cs="Times New Roman" w:eastAsia="Times New Roman" w:hAnsi="Times New Roman"/>
          <w:i w:val="false"/>
          <w:iCs w:val="false"/>
        </w:rPr>
        <w:t xml:space="preserve"> v</w:t>
      </w:r>
      <w:r>
        <w:rPr>
          <w:rFonts w:ascii="Times New Roman" w:cs="Times New Roman" w:eastAsia="Times New Roman" w:hAnsi="Times New Roman"/>
          <w:i w:val="false"/>
          <w:iCs w:val="false"/>
          <w:vertAlign w:val="subscript"/>
        </w:rPr>
        <w:t xml:space="preserve">2</w:t>
      </w:r>
    </w:p>
    <w:p>
      <w:pPr>
        <w:spacing w:after="0" w:before="0" w:line="480"/>
        <w:ind w:firstLine="720"/>
        <w:jc w:val="both"/>
      </w:pPr>
      <w:r>
        <w:rPr>
          <w:rFonts w:ascii="Times New Roman" w:cs="Times New Roman" w:eastAsia="Times New Roman" w:hAnsi="Times New Roman"/>
        </w:rPr>
        <w:t xml:space="preserve">donde </w:t>
      </w:r>
      <w:r>
        <w:rPr>
          <w:rFonts w:ascii="Times New Roman" w:cs="Times New Roman" w:eastAsia="Times New Roman" w:hAnsi="Times New Roman"/>
          <w:i/>
          <w:iCs/>
        </w:rPr>
        <w:t xml:space="preserve">v</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es el eigenvector asociado al segundo eigenvalor más grande de </w:t>
      </w:r>
      <w:r>
        <w:rPr>
          <w:rFonts w:ascii="Times New Roman" w:cs="Times New Roman" w:eastAsia="Times New Roman" w:hAnsi="Times New Roman"/>
          <w:i/>
          <w:iCs/>
        </w:rPr>
        <w:t xml:space="preserve">S</w:t>
      </w:r>
      <w:r>
        <w:rPr>
          <w:rFonts w:ascii="Times New Roman" w:cs="Times New Roman" w:eastAsia="Times New Roman" w:hAnsi="Times New Roman"/>
        </w:rPr>
        <w:t xml:space="preserve"> (el primero vale uno y es trivial). El signo se orienta para que el ICE se correlacione positivamente con la diversidad.</w:t>
      </w:r>
    </w:p>
    <w:p>
      <w:pPr>
        <w:pStyle w:val="Heading2"/>
        <w:keepNext/>
        <w:spacing w:after="0" w:before="120" w:line="480"/>
      </w:pPr>
      <w:r>
        <w:rPr>
          <w:rFonts w:ascii="Times New Roman" w:cs="Times New Roman" w:eastAsia="Times New Roman" w:hAnsi="Times New Roman"/>
          <w:b/>
          <w:bCs/>
          <w:i/>
          <w:iCs/>
          <w:sz w:val="24"/>
          <w:szCs w:val="24"/>
        </w:rPr>
        <w:t xml:space="preserve">3.5 Proyección del ICE a todos los municipios</w:t>
      </w:r>
    </w:p>
    <w:p>
      <w:pPr>
        <w:spacing w:after="0" w:before="0" w:line="480"/>
        <w:ind w:firstLine="720"/>
        <w:jc w:val="both"/>
      </w:pPr>
      <w:r>
        <w:rPr>
          <w:rFonts w:ascii="Times New Roman" w:cs="Times New Roman" w:eastAsia="Times New Roman" w:hAnsi="Times New Roman"/>
        </w:rPr>
        <w:t xml:space="preserve">Los municipios fuera del núcleo no se eliminan. Para todos los municipios se calcula la ventaja comparativa con su propia estructura en el numerador y las participaciones nacionales del núcleo en el denominador, sobre las ramas del núcleo, y el ICE se define como el promedio del PCI de las ramas en que el municipio tiene ventaja:</w:t>
      </w:r>
    </w:p>
    <w:p>
      <w:pPr>
        <w:spacing w:after="120" w:before="120" w:line="360"/>
        <w:jc w:val="center"/>
      </w:pPr>
      <w:r>
        <w:rPr>
          <w:rFonts w:ascii="Times New Roman" w:cs="Times New Roman" w:eastAsia="Times New Roman" w:hAnsi="Times New Roman"/>
          <w:i w:val="false"/>
          <w:iCs w:val="false"/>
        </w:rPr>
        <w:t xml:space="preserve">ICE</w:t>
      </w:r>
      <w:r>
        <w:rPr>
          <w:rFonts w:ascii="Times New Roman" w:cs="Times New Roman" w:eastAsia="Times New Roman" w:hAnsi="Times New Roman"/>
          <w:i w:val="false"/>
          <w:iCs w:val="false"/>
          <w:vertAlign w:val="subscript"/>
        </w:rPr>
        <w:t xml:space="preserve">c</w:t>
      </w:r>
      <w:r>
        <w:rPr>
          <w:rFonts w:ascii="Times New Roman" w:cs="Times New Roman" w:eastAsia="Times New Roman" w:hAnsi="Times New Roman"/>
          <w:i w:val="false"/>
          <w:iCs w:val="false"/>
        </w:rPr>
        <w:t xml:space="preserve"> = (1 / k</w:t>
      </w:r>
      <w:r>
        <w:rPr>
          <w:rFonts w:ascii="Times New Roman" w:cs="Times New Roman" w:eastAsia="Times New Roman" w:hAnsi="Times New Roman"/>
          <w:i w:val="false"/>
          <w:iCs w:val="false"/>
          <w:vertAlign w:val="subscript"/>
        </w:rPr>
        <w:t xml:space="preserve">c</w:t>
      </w:r>
      <w:r>
        <w:rPr>
          <w:rFonts w:ascii="Times New Roman" w:cs="Times New Roman" w:eastAsia="Times New Roman" w:hAnsi="Times New Roman"/>
          <w:i w:val="false"/>
          <w:iCs w:val="false"/>
        </w:rPr>
        <w:t xml:space="preserve">) Σ</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PCI</w:t>
      </w:r>
      <w:r>
        <w:rPr>
          <w:rFonts w:ascii="Times New Roman" w:cs="Times New Roman" w:eastAsia="Times New Roman" w:hAnsi="Times New Roman"/>
          <w:i w:val="false"/>
          <w:iCs w:val="false"/>
          <w:vertAlign w:val="subscript"/>
        </w:rPr>
        <w:t xml:space="preserve">p</w:t>
      </w:r>
    </w:p>
    <w:p>
      <w:pPr>
        <w:spacing w:after="0" w:before="0" w:line="480"/>
        <w:ind w:firstLine="720"/>
        <w:jc w:val="both"/>
      </w:pPr>
      <w:r>
        <w:rPr>
          <w:rFonts w:ascii="Times New Roman" w:cs="Times New Roman" w:eastAsia="Times New Roman" w:hAnsi="Times New Roman"/>
        </w:rPr>
        <w:t xml:space="preserve">Para los municipios del núcleo esta expresión reproduce exactamente el eigenvector del ICE (correlación de 1.000000 en los cinco años). De este modo ningún entrevistado de ESRU-EMOVI pierde su ICE por provenir de un municipio pequeño, pero el PCI no se contamina con el ruido de esos municipios.</w:t>
      </w:r>
    </w:p>
    <w:p>
      <w:pPr>
        <w:pStyle w:val="Heading2"/>
        <w:keepNext/>
        <w:spacing w:after="0" w:before="120" w:line="480"/>
      </w:pPr>
      <w:r>
        <w:rPr>
          <w:rFonts w:ascii="Times New Roman" w:cs="Times New Roman" w:eastAsia="Times New Roman" w:hAnsi="Times New Roman"/>
          <w:b/>
          <w:bCs/>
          <w:i/>
          <w:iCs/>
          <w:sz w:val="24"/>
          <w:szCs w:val="24"/>
        </w:rPr>
        <w:t xml:space="preserve">3.6 Estandarización</w:t>
      </w:r>
    </w:p>
    <w:p>
      <w:pPr>
        <w:spacing w:after="0" w:before="0" w:line="480"/>
        <w:ind w:firstLine="720"/>
        <w:jc w:val="both"/>
      </w:pPr>
      <w:r>
        <w:rPr>
          <w:rFonts w:ascii="Times New Roman" w:cs="Times New Roman" w:eastAsia="Times New Roman" w:hAnsi="Times New Roman"/>
        </w:rPr>
        <w:t xml:space="preserve">En cada año el ICE se estandariza con la media y la desviación estándar del ICE de los municipios del núcleo, y el PCI se transforma con los mismos parámetros (convención de Hidalgo y Hausmann). En consecuencia, </w:t>
      </w:r>
      <w:r>
        <w:rPr>
          <w:rFonts w:ascii="Times New Roman" w:cs="Times New Roman" w:eastAsia="Times New Roman" w:hAnsi="Times New Roman"/>
          <w:b/>
          <w:bCs/>
        </w:rPr>
        <w:t xml:space="preserve">el ICE mide la posición relativa de un municipio dentro de cada año</w:t>
      </w:r>
      <w:r>
        <w:rPr>
          <w:rFonts w:ascii="Times New Roman" w:cs="Times New Roman" w:eastAsia="Times New Roman" w:hAnsi="Times New Roman"/>
        </w:rPr>
        <w:t xml:space="preserve">: una diferencia entre años es un cambio de posición, no de complejidad absoluta.</w:t>
      </w:r>
    </w:p>
    <w:p>
      <w:pPr>
        <w:pStyle w:val="Heading2"/>
        <w:keepNext/>
        <w:spacing w:after="0" w:before="120" w:line="480"/>
      </w:pPr>
      <w:r>
        <w:rPr>
          <w:rFonts w:ascii="Times New Roman" w:cs="Times New Roman" w:eastAsia="Times New Roman" w:hAnsi="Times New Roman"/>
          <w:b/>
          <w:bCs/>
          <w:i/>
          <w:iCs/>
          <w:sz w:val="24"/>
          <w:szCs w:val="24"/>
        </w:rPr>
        <w:t xml:space="preserve">3.7 Proximidad, densidad, distancia y oportunidad</w:t>
      </w:r>
    </w:p>
    <w:p>
      <w:pPr>
        <w:spacing w:after="120" w:before="120" w:line="360"/>
        <w:jc w:val="center"/>
      </w:pPr>
      <w:r>
        <w:rPr>
          <w:rFonts w:ascii="Times New Roman" w:cs="Times New Roman" w:eastAsia="Times New Roman" w:hAnsi="Times New Roman"/>
          <w:i w:val="false"/>
          <w:iCs w:val="false"/>
        </w:rPr>
        <w:t xml:space="preserve">φ</w:t>
      </w:r>
      <w:r>
        <w:rPr>
          <w:rFonts w:ascii="Times New Roman" w:cs="Times New Roman" w:eastAsia="Times New Roman" w:hAnsi="Times New Roman"/>
          <w:i w:val="false"/>
          <w:iCs w:val="false"/>
          <w:vertAlign w:val="subscript"/>
        </w:rPr>
        <w:t xml:space="preserve">pp′</w:t>
      </w:r>
      <w:r>
        <w:rPr>
          <w:rFonts w:ascii="Times New Roman" w:cs="Times New Roman" w:eastAsia="Times New Roman" w:hAnsi="Times New Roman"/>
          <w:i w:val="false"/>
          <w:iCs w:val="false"/>
        </w:rPr>
        <w:t xml:space="preserve"> = min{ P(M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=1 | 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=1),  P(M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=1 | 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=1) }</w:t>
      </w:r>
    </w:p>
    <w:p>
      <w:pPr>
        <w:spacing w:after="120" w:before="120" w:line="360"/>
        <w:jc w:val="center"/>
      </w:pPr>
      <w:r>
        <w:rPr>
          <w:rFonts w:ascii="Times New Roman" w:cs="Times New Roman" w:eastAsia="Times New Roman" w:hAnsi="Times New Roman"/>
          <w:i w:val="false"/>
          <w:iCs w:val="false"/>
        </w:rPr>
        <w:t xml:space="preserve">densidad</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Σ</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φ</w:t>
      </w:r>
      <w:r>
        <w:rPr>
          <w:rFonts w:ascii="Times New Roman" w:cs="Times New Roman" w:eastAsia="Times New Roman" w:hAnsi="Times New Roman"/>
          <w:i w:val="false"/>
          <w:iCs w:val="false"/>
          <w:vertAlign w:val="subscript"/>
        </w:rPr>
        <w:t xml:space="preserve">pp′</w:t>
      </w:r>
      <w:r>
        <w:rPr>
          <w:rFonts w:ascii="Times New Roman" w:cs="Times New Roman" w:eastAsia="Times New Roman" w:hAnsi="Times New Roman"/>
          <w:i w:val="false"/>
          <w:iCs w:val="false"/>
        </w:rPr>
        <w:t xml:space="preserve"> / Σ</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φ</w:t>
      </w:r>
      <w:r>
        <w:rPr>
          <w:rFonts w:ascii="Times New Roman" w:cs="Times New Roman" w:eastAsia="Times New Roman" w:hAnsi="Times New Roman"/>
          <w:i w:val="false"/>
          <w:iCs w:val="false"/>
          <w:vertAlign w:val="subscript"/>
        </w:rPr>
        <w:t xml:space="preserve">pp′</w:t>
      </w:r>
      <w:r>
        <w:rPr>
          <w:rFonts w:ascii="Times New Roman" w:cs="Times New Roman" w:eastAsia="Times New Roman" w:hAnsi="Times New Roman"/>
          <w:i w:val="false"/>
          <w:iCs w:val="false"/>
        </w:rPr>
        <w:t xml:space="preserve">,        distancia</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1 − densidad</w:t>
      </w:r>
      <w:r>
        <w:rPr>
          <w:rFonts w:ascii="Times New Roman" w:cs="Times New Roman" w:eastAsia="Times New Roman" w:hAnsi="Times New Roman"/>
          <w:i w:val="false"/>
          <w:iCs w:val="false"/>
          <w:vertAlign w:val="subscript"/>
        </w:rPr>
        <w:t xml:space="preserve">cp</w:t>
      </w:r>
    </w:p>
    <w:p>
      <w:pPr>
        <w:spacing w:after="120" w:before="120" w:line="360"/>
        <w:jc w:val="center"/>
      </w:pPr>
      <w:r>
        <w:rPr>
          <w:rFonts w:ascii="Times New Roman" w:cs="Times New Roman" w:eastAsia="Times New Roman" w:hAnsi="Times New Roman"/>
          <w:i w:val="false"/>
          <w:iCs w:val="false"/>
        </w:rPr>
        <w:t xml:space="preserve">COI</w:t>
      </w:r>
      <w:r>
        <w:rPr>
          <w:rFonts w:ascii="Times New Roman" w:cs="Times New Roman" w:eastAsia="Times New Roman" w:hAnsi="Times New Roman"/>
          <w:i w:val="false"/>
          <w:iCs w:val="false"/>
          <w:vertAlign w:val="subscript"/>
        </w:rPr>
        <w:t xml:space="preserve">c</w:t>
      </w:r>
      <w:r>
        <w:rPr>
          <w:rFonts w:ascii="Times New Roman" w:cs="Times New Roman" w:eastAsia="Times New Roman" w:hAnsi="Times New Roman"/>
          <w:i w:val="false"/>
          <w:iCs w:val="false"/>
        </w:rPr>
        <w:t xml:space="preserve"> = Σ</w:t>
      </w:r>
      <w:r>
        <w:rPr>
          <w:rFonts w:ascii="Times New Roman" w:cs="Times New Roman" w:eastAsia="Times New Roman" w:hAnsi="Times New Roman"/>
          <w:i w:val="false"/>
          <w:iCs w:val="false"/>
          <w:vertAlign w:val="subscript"/>
        </w:rPr>
        <w:t xml:space="preserve">p</w:t>
      </w:r>
      <w:r>
        <w:rPr>
          <w:rFonts w:ascii="Times New Roman" w:cs="Times New Roman" w:eastAsia="Times New Roman" w:hAnsi="Times New Roman"/>
          <w:i w:val="false"/>
          <w:iCs w:val="false"/>
        </w:rPr>
        <w:t xml:space="preserve"> (1 − M</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densidad</w:t>
      </w:r>
      <w:r>
        <w:rPr>
          <w:rFonts w:ascii="Times New Roman" w:cs="Times New Roman" w:eastAsia="Times New Roman" w:hAnsi="Times New Roman"/>
          <w:i w:val="false"/>
          <w:iCs w:val="false"/>
          <w:vertAlign w:val="subscript"/>
        </w:rPr>
        <w:t xml:space="preserve">cp</w:t>
      </w:r>
      <w:r>
        <w:rPr>
          <w:rFonts w:ascii="Times New Roman" w:cs="Times New Roman" w:eastAsia="Times New Roman" w:hAnsi="Times New Roman"/>
          <w:i w:val="false"/>
          <w:iCs w:val="false"/>
        </w:rPr>
        <w:t xml:space="preserve"> · PCI</w:t>
      </w:r>
      <w:r>
        <w:rPr>
          <w:rFonts w:ascii="Times New Roman" w:cs="Times New Roman" w:eastAsia="Times New Roman" w:hAnsi="Times New Roman"/>
          <w:i w:val="false"/>
          <w:iCs w:val="false"/>
          <w:vertAlign w:val="subscript"/>
        </w:rPr>
        <w:t xml:space="preserve">p</w:t>
      </w:r>
    </w:p>
    <w:p>
      <w:pPr>
        <w:spacing w:after="0" w:before="0" w:line="480"/>
        <w:ind w:firstLine="720"/>
        <w:jc w:val="both"/>
      </w:pPr>
      <w:r>
        <w:rPr>
          <w:rFonts w:ascii="Times New Roman" w:cs="Times New Roman" w:eastAsia="Times New Roman" w:hAnsi="Times New Roman"/>
        </w:rPr>
        <w:t xml:space="preserve">La proximidad se calcula con la matriz del núcleo. El COI se estandariza con el núcleo y la ganancia de oportunidad (COG) sigue la fórmula de </w:t>
      </w:r>
      <w:r>
        <w:rPr>
          <w:rFonts w:ascii="Times New Roman" w:cs="Times New Roman" w:eastAsia="Times New Roman" w:hAnsi="Times New Roman"/>
          <w:i/>
          <w:iCs/>
        </w:rPr>
        <w:t xml:space="preserve">py-ecomplexity</w:t>
      </w:r>
      <w:r>
        <w:rPr>
          <w:rFonts w:ascii="Times New Roman" w:cs="Times New Roman" w:eastAsia="Times New Roman" w:hAnsi="Times New Roman"/>
        </w:rPr>
        <w:t xml:space="preserve">. Las seis variables de la base final (</w:t>
      </w:r>
      <w:r>
        <w:rPr>
          <w:rFonts w:ascii="Times New Roman" w:cs="Times New Roman" w:eastAsia="Times New Roman" w:hAnsi="Times New Roman"/>
          <w:i/>
          <w:iCs/>
        </w:rPr>
        <w:t xml:space="preserve">mcp</w:t>
      </w:r>
      <w:r>
        <w:rPr>
          <w:rFonts w:ascii="Times New Roman" w:cs="Times New Roman" w:eastAsia="Times New Roman" w:hAnsi="Times New Roman"/>
        </w:rPr>
        <w:t xml:space="preserve">, ICE, PCI, densidad, COI y COG) coinciden con </w:t>
      </w:r>
      <w:r>
        <w:rPr>
          <w:rFonts w:ascii="Times New Roman" w:cs="Times New Roman" w:eastAsia="Times New Roman" w:hAnsi="Times New Roman"/>
          <w:i/>
          <w:iCs/>
        </w:rPr>
        <w:t xml:space="preserve">py-ecomplexity</w:t>
      </w:r>
      <w:r>
        <w:rPr>
          <w:rFonts w:ascii="Times New Roman" w:cs="Times New Roman" w:eastAsia="Times New Roman" w:hAnsi="Times New Roman"/>
        </w:rPr>
        <w:t xml:space="preserve"> 0.5.3 en el núcleo, con correlación de 1.000000 en los cinco años.</w:t>
      </w:r>
    </w:p>
    <w:p>
      <w:pPr>
        <w:pStyle w:val="Heading2"/>
        <w:keepNext/>
        <w:spacing w:after="0" w:before="120" w:line="480"/>
      </w:pPr>
      <w:r>
        <w:rPr>
          <w:rFonts w:ascii="Times New Roman" w:cs="Times New Roman" w:eastAsia="Times New Roman" w:hAnsi="Times New Roman"/>
          <w:b/>
          <w:bCs/>
          <w:i/>
          <w:iCs/>
          <w:sz w:val="24"/>
          <w:szCs w:val="24"/>
        </w:rPr>
        <w:t xml:space="preserve">3.8 Diagnósticos de cada corrida</w:t>
      </w:r>
    </w:p>
    <w:p>
      <w:pPr>
        <w:spacing w:after="0" w:before="0" w:line="480"/>
        <w:ind w:firstLine="720"/>
        <w:jc w:val="both"/>
      </w:pPr>
      <w:r>
        <w:rPr>
          <w:rFonts w:ascii="Times New Roman" w:cs="Times New Roman" w:eastAsia="Times New Roman" w:hAnsi="Times New Roman"/>
        </w:rPr>
        <w:t xml:space="preserve">La Tabla 2 resume los diagnósticos obligatorios. El núcleo retiene entre 85% y 95% de los municipios y prácticamente todas las UE (fuera del núcleo queda entre 0.05% y 0.20% de los establecimientos). La red bipartita es una sola componente conexa en todos los años, solo hay un eigenvalor igual a uno y el segundo eigenvalor (0.33-0.35) está claramente separado del tercero (0.12-0.13): el eigenvector que define el ICE está bien identificado.</w:t>
      </w:r>
    </w:p>
    <w:p>
      <w:pPr>
        <w:keepNext/>
        <w:spacing w:after="80" w:before="200"/>
        <w:jc w:val="center"/>
      </w:pPr>
      <w:r>
        <w:rPr>
          <w:rFonts w:ascii="Times New Roman" w:cs="Times New Roman" w:eastAsia="Times New Roman" w:hAnsi="Times New Roman"/>
          <w:i/>
          <w:iCs/>
          <w:color w:val="808080"/>
          <w:sz w:val="20"/>
          <w:szCs w:val="20"/>
        </w:rPr>
        <w:t xml:space="preserve">Tabla 2: Diagnósticos del cálculo del ICE por año (especificación base: UE, 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400"/>
        <w:gridCol w:w="800"/>
        <w:gridCol w:w="800"/>
        <w:gridCol w:w="1200"/>
        <w:gridCol w:w="1400"/>
        <w:gridCol w:w="1360"/>
      </w:tblGrid>
      <w:tr>
        <w:trPr>
          <w:tblHeader/>
        </w:trPr>
        <w:tc>
          <w:tcPr>
            <w:tcW w:type="dxa" w:w="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Año</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Municipios (núcleo / total)</w:t>
            </w:r>
          </w:p>
        </w:tc>
        <w:tc>
          <w:tcPr>
            <w:tcW w:type="dxa" w:w="14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Ramas (núcleo / total)</w:t>
            </w:r>
          </w:p>
        </w:tc>
        <w:tc>
          <w:tcPr>
            <w:tcW w:type="dxa" w:w="8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λ2</w:t>
            </w:r>
          </w:p>
        </w:tc>
        <w:tc>
          <w:tcPr>
            <w:tcW w:type="dxa" w:w="8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λ3</w:t>
            </w:r>
          </w:p>
        </w:tc>
        <w:tc>
          <w:tcPr>
            <w:tcW w:type="dxa" w:w="12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Componentes</w:t>
            </w:r>
          </w:p>
        </w:tc>
        <w:tc>
          <w:tcPr>
            <w:tcW w:type="dxa" w:w="14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Corr. con py-ecomplexity</w:t>
            </w:r>
          </w:p>
        </w:tc>
        <w:tc>
          <w:tcPr>
            <w:tcW w:type="dxa" w:w="13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Spearman ICE–diversidad</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2,085 / 2,447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261 / 272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0.354</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0.131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1.000000</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0.896</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2008</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2,205 / 2,455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269 / 277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0.344</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0.134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1.000000</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0.890</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2,266 / 2,456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267 / 276</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0.338</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1.000000</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2018</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2,320 / 2,465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269 / 278</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0.333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1.000000</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2023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2,337 / 2,469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271 / 278</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0.326</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1.000000</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0.893</w:t>
            </w:r>
          </w:p>
        </w:tc>
      </w:tr>
    </w:tbl>
    <w:p>
      <w:pPr>
        <w:spacing w:after="240" w:before="60" w:line="240"/>
        <w:jc w:val="both"/>
      </w:pPr>
      <w:r>
        <w:rPr>
          <w:rFonts w:ascii="Times New Roman" w:cs="Times New Roman" w:eastAsia="Times New Roman" w:hAnsi="Times New Roman"/>
          <w:sz w:val="18"/>
          <w:szCs w:val="18"/>
        </w:rPr>
        <w:t xml:space="preserve">Fuente: elaboración propia con datos de los Censos Económicos 2004-2024 (INEGI).</w:t>
      </w:r>
    </w:p>
    <w:p>
      <w:pPr>
        <w:pStyle w:val="Heading1"/>
        <w:keepNext/>
        <w:spacing w:after="0" w:before="240" w:line="480"/>
      </w:pPr>
      <w:r>
        <w:rPr>
          <w:rFonts w:ascii="Times New Roman" w:cs="Times New Roman" w:eastAsia="Times New Roman" w:hAnsi="Times New Roman"/>
          <w:b/>
          <w:bCs/>
          <w:sz w:val="24"/>
          <w:szCs w:val="24"/>
        </w:rPr>
        <w:t xml:space="preserve">4. Defensa técnica I: selección de la variable (unidades económicas vs. PBT)</w:t>
      </w:r>
    </w:p>
    <w:p>
      <w:pPr>
        <w:pStyle w:val="Heading2"/>
        <w:keepNext/>
        <w:spacing w:after="0" w:before="120" w:line="480"/>
      </w:pPr>
      <w:r>
        <w:rPr>
          <w:rFonts w:ascii="Times New Roman" w:cs="Times New Roman" w:eastAsia="Times New Roman" w:hAnsi="Times New Roman"/>
          <w:b/>
          <w:bCs/>
          <w:i/>
          <w:iCs/>
          <w:sz w:val="24"/>
          <w:szCs w:val="24"/>
        </w:rPr>
        <w:t xml:space="preserve">4.1 El argumento central: UE es la única variable sin censura</w:t>
      </w:r>
    </w:p>
    <w:p>
      <w:pPr>
        <w:spacing w:after="0" w:before="0" w:line="480"/>
        <w:ind w:firstLine="720"/>
        <w:jc w:val="both"/>
      </w:pPr>
      <w:r>
        <w:rPr>
          <w:rFonts w:ascii="Times New Roman" w:cs="Times New Roman" w:eastAsia="Times New Roman" w:hAnsi="Times New Roman"/>
        </w:rPr>
        <w:t xml:space="preserve">Las unidades económicas son la única variable de SAIC que INEGI publica completa a nivel municipio × rama. Las variables económicas (PBT, personal ocupado, remuneraciones) se omiten cuando su publicación permitiría identificar a un establecimiento. En las celdas con al menos una UE, la PBT está suprimida en 65.6% (2003), 64.2% (2008), 62.8% (2013), 61.8% (2018) y 60.8% (2023) de los casos. La censura, además, no es aleatoria: como muestra la Gráfica 2, afecta a 93-98% de las celdas de los municipios más pequeños y a 49-54% de las de los más grandes. Por sector, llega a 97-100% en los servicios públicos de red (sector 22) y a 88-93% en información (sector 51).</w:t>
      </w:r>
    </w:p>
    <w:p>
      <w:pPr>
        <w:keepNext/>
        <w:spacing w:after="0" w:before="120"/>
        <w:jc w:val="center"/>
      </w:pPr>
      <w:r>
        <w:drawing>
          <wp:inline distT="0" distB="0" distL="0" distR="0">
            <wp:extent cx="5486400" cy="3590925"/>
            <wp:effectExtent t="0" r="0" b="0" l="0"/>
            <wp:docPr id="1" name="anexo/A01_censura_pbt_por_quintil.png" descr="Censura del PBT por confidencialidad según tamaño del municipio, México, 2003-2023" title="Censura del PBT por confidencialidad según tamaño del municipio, México, 2003-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59092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2: Censura del PBT por confidencialidad según tamaño del municipio, México, 2003-2023</w:t>
      </w:r>
    </w:p>
    <w:p>
      <w:pPr>
        <w:pStyle w:val="Heading2"/>
        <w:keepNext/>
        <w:spacing w:after="0" w:before="120" w:line="480"/>
      </w:pPr>
      <w:r>
        <w:rPr>
          <w:rFonts w:ascii="Times New Roman" w:cs="Times New Roman" w:eastAsia="Times New Roman" w:hAnsi="Times New Roman"/>
          <w:b/>
          <w:bCs/>
          <w:i/>
          <w:iCs/>
          <w:sz w:val="24"/>
          <w:szCs w:val="24"/>
        </w:rPr>
        <w:t xml:space="preserve">4.2 Por qué la censura colapsa la matriz de complejidad</w:t>
      </w:r>
    </w:p>
    <w:p>
      <w:pPr>
        <w:spacing w:after="0" w:before="0" w:line="480"/>
        <w:ind w:firstLine="720"/>
        <w:jc w:val="both"/>
      </w:pPr>
      <w:r>
        <w:rPr>
          <w:rFonts w:ascii="Times New Roman" w:cs="Times New Roman" w:eastAsia="Times New Roman" w:hAnsi="Times New Roman"/>
        </w:rPr>
        <w:t xml:space="preserve">El cálculo de la complejidad no admite celdas faltantes: la implementación estándar trata la celda vacía como cero. Esto produce tres efectos encadenados.</w:t>
      </w:r>
    </w:p>
    <w:p>
      <w:pPr>
        <w:spacing w:after="0" w:before="0" w:line="480"/>
        <w:ind w:firstLine="720"/>
        <w:jc w:val="both"/>
      </w:pPr>
      <w:r>
        <w:rPr>
          <w:rFonts w:ascii="Times New Roman" w:cs="Times New Roman" w:eastAsia="Times New Roman" w:hAnsi="Times New Roman"/>
          <w:b/>
          <w:bCs/>
        </w:rPr>
        <w:t xml:space="preserve">(i) Ventajas comparativas sesgadas.</w:t>
      </w:r>
      <w:r>
        <w:rPr>
          <w:rFonts w:ascii="Times New Roman" w:cs="Times New Roman" w:eastAsia="Times New Roman" w:hAnsi="Times New Roman"/>
        </w:rPr>
        <w:t xml:space="preserve"> Con celdas suprimidas, el total del municipio y el total nacional de cada rama se calculan solo con lo observado. La RCA deja de comparar la estructura real del municipio con la nacional y pasa a comparar la estructura de lo que sobrevivió a la censura. Entre 9% y 21% de los municipios no tiene ninguna celda de PBT observada y sale del cálculo.</w:t>
      </w:r>
    </w:p>
    <w:p>
      <w:pPr>
        <w:spacing w:after="0" w:before="0" w:line="480"/>
        <w:ind w:firstLine="720"/>
        <w:jc w:val="both"/>
      </w:pPr>
      <w:r>
        <w:rPr>
          <w:rFonts w:ascii="Times New Roman" w:cs="Times New Roman" w:eastAsia="Times New Roman" w:hAnsi="Times New Roman"/>
          <w:b/>
          <w:bCs/>
        </w:rPr>
        <w:t xml:space="preserve">(ii) Desconexión de la red bipartita.</w:t>
      </w:r>
      <w:r>
        <w:rPr>
          <w:rFonts w:ascii="Times New Roman" w:cs="Times New Roman" w:eastAsia="Times New Roman" w:hAnsi="Times New Roman"/>
        </w:rPr>
        <w:t xml:space="preserve"> La matriz M̃</w:t>
      </w:r>
      <w:r>
        <w:rPr>
          <w:rFonts w:ascii="Times New Roman" w:cs="Times New Roman" w:eastAsia="Times New Roman" w:hAnsi="Times New Roman"/>
          <w:vertAlign w:val="subscript"/>
        </w:rPr>
        <w:t xml:space="preserve">cc</w:t>
      </w:r>
      <w:r>
        <w:rPr>
          <w:rFonts w:ascii="Times New Roman" w:cs="Times New Roman" w:eastAsia="Times New Roman" w:hAnsi="Times New Roman"/>
        </w:rPr>
        <w:t xml:space="preserve"> = K</w:t>
      </w:r>
      <w:r>
        <w:rPr>
          <w:rFonts w:ascii="Times New Roman" w:cs="Times New Roman" w:eastAsia="Times New Roman" w:hAnsi="Times New Roman"/>
          <w:vertAlign w:val="subscript"/>
        </w:rPr>
        <w:t xml:space="preserve">c</w:t>
      </w:r>
      <w:r>
        <w:rPr>
          <w:rFonts w:ascii="Times New Roman" w:cs="Times New Roman" w:eastAsia="Times New Roman" w:hAnsi="Times New Roman"/>
          <w:vertAlign w:val="superscript"/>
        </w:rPr>
        <w:t xml:space="preserve">-1</w:t>
      </w:r>
      <w:r>
        <w:rPr>
          <w:rFonts w:ascii="Times New Roman" w:cs="Times New Roman" w:eastAsia="Times New Roman" w:hAnsi="Times New Roman"/>
        </w:rPr>
        <w:t xml:space="preserve"> M K</w:t>
      </w:r>
      <w:r>
        <w:rPr>
          <w:rFonts w:ascii="Times New Roman" w:cs="Times New Roman" w:eastAsia="Times New Roman" w:hAnsi="Times New Roman"/>
          <w:vertAlign w:val="subscript"/>
        </w:rPr>
        <w:t xml:space="preserve">p</w:t>
      </w:r>
      <w:r>
        <w:rPr>
          <w:rFonts w:ascii="Times New Roman" w:cs="Times New Roman" w:eastAsia="Times New Roman" w:hAnsi="Times New Roman"/>
          <w:vertAlign w:val="superscript"/>
        </w:rPr>
        <w:t xml:space="preserve">-1</w:t>
      </w:r>
      <w:r>
        <w:rPr>
          <w:rFonts w:ascii="Times New Roman" w:cs="Times New Roman" w:eastAsia="Times New Roman" w:hAnsi="Times New Roman"/>
        </w:rPr>
        <w:t xml:space="preserve"> M′ es estocástica por filas, de modo que su mayor eigenvalor es uno, y la multiplicidad de ese eigenvalor es igual al número de componentes conexas de la red municipio-rama. Cuando la censura elimina los vínculos que conectan a un grupo de municipios con el resto, la red se parte en bloques: el segundo eigenvalor se vuelve uno (λ</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1) y su eigenvector deja de ordenar a los municipios por complejidad, porque se vuelve un indicador de a qué bloque pertenece cada municipio. Esto es exactamente lo que ocurre con la PBT en 2023: dos componentes, λ</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1 y 99.96% de los municipios con el mismo ICE.</w:t>
      </w:r>
    </w:p>
    <w:p>
      <w:pPr>
        <w:spacing w:after="0" w:before="0" w:line="480"/>
        <w:ind w:firstLine="720"/>
        <w:jc w:val="both"/>
      </w:pPr>
      <w:r>
        <w:rPr>
          <w:rFonts w:ascii="Times New Roman" w:cs="Times New Roman" w:eastAsia="Times New Roman" w:hAnsi="Times New Roman"/>
          <w:b/>
          <w:bCs/>
        </w:rPr>
        <w:t xml:space="preserve">(iii) Eigenvector no identificado.</w:t>
      </w:r>
      <w:r>
        <w:rPr>
          <w:rFonts w:ascii="Times New Roman" w:cs="Times New Roman" w:eastAsia="Times New Roman" w:hAnsi="Times New Roman"/>
        </w:rPr>
        <w:t xml:space="preserve"> Aun sin desconexión total, si el segundo y el tercer eigenvalor casi coinciden, cualquier combinación de sus eigenvectores es una solución igualmente válida y el ordenamiento de municipios deja de estar determinado. En 2018 la PBT da λ</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0.439 y λ</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 = 0.429; con UE, λ</w:t>
      </w:r>
      <w:r>
        <w:rPr>
          <w:rFonts w:ascii="Times New Roman" w:cs="Times New Roman" w:eastAsia="Times New Roman" w:hAnsi="Times New Roman"/>
          <w:vertAlign w:val="subscript"/>
        </w:rPr>
        <w:t xml:space="preserve">2</w:t>
      </w:r>
      <w:r>
        <w:rPr>
          <w:rFonts w:ascii="Times New Roman" w:cs="Times New Roman" w:eastAsia="Times New Roman" w:hAnsi="Times New Roman"/>
        </w:rPr>
        <w:t xml:space="preserve"> = 0.333 y λ</w:t>
      </w:r>
      <w:r>
        <w:rPr>
          <w:rFonts w:ascii="Times New Roman" w:cs="Times New Roman" w:eastAsia="Times New Roman" w:hAnsi="Times New Roman"/>
          <w:vertAlign w:val="subscript"/>
        </w:rPr>
        <w:t xml:space="preserve">3</w:t>
      </w:r>
      <w:r>
        <w:rPr>
          <w:rFonts w:ascii="Times New Roman" w:cs="Times New Roman" w:eastAsia="Times New Roman" w:hAnsi="Times New Roman"/>
        </w:rPr>
        <w:t xml:space="preserve"> = 0.125.</w:t>
      </w:r>
    </w:p>
    <w:p>
      <w:pPr>
        <w:spacing w:after="0" w:before="0" w:line="480"/>
        <w:ind w:firstLine="720"/>
        <w:jc w:val="both"/>
      </w:pPr>
      <w:r>
        <w:rPr>
          <w:rFonts w:ascii="Times New Roman" w:cs="Times New Roman" w:eastAsia="Times New Roman" w:hAnsi="Times New Roman"/>
        </w:rPr>
        <w:t xml:space="preserve">La concentración de la producción amplifica el problema. Sumando las ramas observadas, el 1% de municipios con mayor PBT concentra entre 51% y 63% de la PBT publicada, frente a 24-29% en el caso de las UE. Como la censura elimina sobre todo las celdas de los municipios pequeños, lo que queda de la PBT está dominado por pocas ciudades grandes y la matriz pierde la información de la periferia. La Gráfica 3 y la Tabla 3 documentan el resultado: con PBT el índice tiene valores extremos de 17 a 47 desviaciones estándar, entre 11% y 100% de empates, y su correlación con la diversidad e incluso con el ICE de UE cambia de signo de un año a otro. Con UE la brecha espectral es estable (≈ 0.21) en todos los años.</w:t>
      </w:r>
    </w:p>
    <w:p>
      <w:pPr>
        <w:keepNext/>
        <w:spacing w:after="0" w:before="120"/>
        <w:jc w:val="center"/>
      </w:pPr>
      <w:r>
        <w:drawing>
          <wp:inline distT="0" distB="0" distL="0" distR="0">
            <wp:extent cx="5762625" cy="2781300"/>
            <wp:effectExtent t="0" r="0" b="0" l="0"/>
            <wp:docPr id="1" name="anexo/A02_espectro_ue_vs_pbt.png" descr="Condicionamiento de la matriz de complejidad: UE frente a PBT, México, 2003-2023" title="Condicionamiento de la matriz de complejidad: UE frente a PBT, México, 2003-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78130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3: Condicionamiento de la matriz de complejidad: UE frente a PBT, México, 2003-2023</w:t>
      </w:r>
    </w:p>
    <w:p>
      <w:pPr>
        <w:keepNext/>
        <w:spacing w:after="80" w:before="200"/>
        <w:jc w:val="center"/>
      </w:pPr>
      <w:r>
        <w:rPr>
          <w:rFonts w:ascii="Times New Roman" w:cs="Times New Roman" w:eastAsia="Times New Roman" w:hAnsi="Times New Roman"/>
          <w:i/>
          <w:iCs/>
          <w:color w:val="808080"/>
          <w:sz w:val="20"/>
          <w:szCs w:val="20"/>
        </w:rPr>
        <w:t xml:space="preserve">Tabla 3: Diagnóstico del ICE calculado con UE y con PBT sobre el mismo núcleo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900"/>
        <w:gridCol w:w="1100"/>
        <w:gridCol w:w="1240"/>
        <w:gridCol w:w="680"/>
        <w:gridCol w:w="680"/>
        <w:gridCol w:w="900"/>
        <w:gridCol w:w="1100"/>
        <w:gridCol w:w="1050"/>
        <w:gridCol w:w="1150"/>
      </w:tblGrid>
      <w:tr>
        <w:trPr>
          <w:tblHeader/>
        </w:trPr>
        <w:tc>
          <w:tcPr>
            <w:tcW w:type="dxa" w:w="5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Año</w:t>
            </w:r>
          </w:p>
        </w:tc>
        <w:tc>
          <w:tcPr>
            <w:tcW w:type="dxa" w:w="9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Variable</w:t>
            </w:r>
          </w:p>
        </w:tc>
        <w:tc>
          <w:tcPr>
            <w:tcW w:type="dxa" w:w="11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Municipios</w:t>
            </w:r>
          </w:p>
        </w:tc>
        <w:tc>
          <w:tcPr>
            <w:tcW w:type="dxa" w:w="12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Componentes</w:t>
            </w:r>
          </w:p>
        </w:tc>
        <w:tc>
          <w:tcPr>
            <w:tcW w:type="dxa" w:w="6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λ2</w:t>
            </w:r>
          </w:p>
        </w:tc>
        <w:tc>
          <w:tcPr>
            <w:tcW w:type="dxa" w:w="6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λ3</w:t>
            </w:r>
          </w:p>
        </w:tc>
        <w:tc>
          <w:tcPr>
            <w:tcW w:type="dxa" w:w="9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Empates (%)</w:t>
            </w:r>
          </w:p>
        </w:tc>
        <w:tc>
          <w:tcPr>
            <w:tcW w:type="dxa" w:w="11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Spearman con diversidad</w:t>
            </w:r>
          </w:p>
        </w:tc>
        <w:tc>
          <w:tcPr>
            <w:tcW w:type="dxa" w:w="10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Máx. |ICE| (d.e.)</w:t>
            </w:r>
          </w:p>
        </w:tc>
        <w:tc>
          <w:tcPr>
            <w:tcW w:type="dxa" w:w="11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Spearman con ICE-UE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2003</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2,085</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0.354</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0.131</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0.90</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3.5</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2003</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PBT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1,895</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0.430</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0.269</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17.0</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0.69</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6.8</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0.70</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2008</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2,205</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0.344</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0.134</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3.7</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2008</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PBT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2,026</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0.589</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0.409</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14.3</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-0.77</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44.3</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-0.79</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2013</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2,266</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0.338</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0.128</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3.8</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2013</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PBT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2,133</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0.542</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0.435</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12.7</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-0.03</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41.0</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0.02</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2018</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2,320</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0.333</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0.125</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3.4</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2018</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PBT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2,192</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0.439</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0.429</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10.9</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0.77</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20.2</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0.79</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2023</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UE</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2,337</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0.326</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0.121</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3.4</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2023</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PBT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2,222</w:t>
            </w:r>
          </w:p>
        </w:tc>
        <w:tc>
          <w:tcPr>
            <w:tcW w:type="dxa" w:w="12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1.000</w:t>
            </w:r>
          </w:p>
        </w:tc>
        <w:tc>
          <w:tcPr>
            <w:tcW w:type="dxa" w:w="68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0.423</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100.0</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-0.62</w:t>
            </w:r>
          </w:p>
        </w:tc>
        <w:tc>
          <w:tcPr>
            <w:tcW w:type="dxa" w:w="10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47.1</w:t>
            </w:r>
          </w:p>
        </w:tc>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-0.65</w:t>
            </w:r>
          </w:p>
        </w:tc>
      </w:tr>
    </w:tbl>
    <w:p>
      <w:pPr>
        <w:spacing w:after="240" w:before="60" w:line="240"/>
        <w:jc w:val="both"/>
      </w:pPr>
      <w:r>
        <w:rPr>
          <w:rFonts w:ascii="Times New Roman" w:cs="Times New Roman" w:eastAsia="Times New Roman" w:hAnsi="Times New Roman"/>
          <w:sz w:val="18"/>
          <w:szCs w:val="18"/>
        </w:rPr>
        <w:t xml:space="preserve">Fuente: elaboración propia con datos de los Censos Económicos 2004-2024 (INEGI). Nota: en PBT las celdas suprimidas cuentan como cero, como en py-ecomplexity. Empates: porcentaje de municipios del núcleo con un valor de ICE idéntico al de otro.</w:t>
      </w:r>
    </w:p>
    <w:p>
      <w:pPr>
        <w:spacing w:after="0" w:before="0" w:line="480"/>
        <w:ind w:firstLine="720"/>
        <w:jc w:val="both"/>
      </w:pPr>
      <w:r>
        <w:rPr>
          <w:rFonts w:ascii="Times New Roman" w:cs="Times New Roman" w:eastAsia="Times New Roman" w:hAnsi="Times New Roman"/>
        </w:rPr>
        <w:t xml:space="preserve">Por ello, la elección de UE no se basa en la forma de la distribución del índice (la normalidad no es un criterio de validez del ICE), sino en que es la única variable con la que la matriz de complejidad está bien definida. Personal ocupado por rama no es una alternativa: la confidencialidad de INEGI aplica a todas las variables económicas y tendría el mismo patrón de supresión.</w:t>
      </w:r>
    </w:p>
    <w:p>
      <w:pPr>
        <w:spacing w:after="0" w:before="0" w:line="480"/>
        <w:ind w:firstLine="720"/>
        <w:jc w:val="both"/>
      </w:pPr>
      <w:r>
        <w:rPr>
          <w:rFonts w:ascii="Times New Roman" w:cs="Times New Roman" w:eastAsia="Times New Roman" w:hAnsi="Times New Roman"/>
        </w:rPr>
        <w:t xml:space="preserve">La contrapartida de usar UE es conceptual: el índice mide la especialización en </w:t>
      </w:r>
      <w:r>
        <w:rPr>
          <w:rFonts w:ascii="Times New Roman" w:cs="Times New Roman" w:eastAsia="Times New Roman" w:hAnsi="Times New Roman"/>
          <w:i/>
          <w:iCs/>
        </w:rPr>
        <w:t xml:space="preserve">número de establecimientos</w:t>
      </w:r>
      <w:r>
        <w:rPr>
          <w:rFonts w:ascii="Times New Roman" w:cs="Times New Roman" w:eastAsia="Times New Roman" w:hAnsi="Times New Roman"/>
        </w:rPr>
        <w:t xml:space="preserve">, no en producción, y un establecimiento de una persona pesa lo mismo que una planta de miles de trabajadores. Esto se mitiga de dos formas. La RCA compara participaciones y no niveles, así que lo que importa es la composición del tejido de establecimientos. Además, la sección 5 muestra que el ICE construido con UE predice salarios y productividad medidos, más allá del tamaño del municipio.</w:t>
      </w:r>
    </w:p>
    <w:p>
      <w:pPr>
        <w:pStyle w:val="Heading2"/>
        <w:keepNext/>
        <w:spacing w:after="0" w:before="120" w:line="480"/>
      </w:pPr>
      <w:r>
        <w:rPr>
          <w:rFonts w:ascii="Times New Roman" w:cs="Times New Roman" w:eastAsia="Times New Roman" w:hAnsi="Times New Roman"/>
          <w:b/>
          <w:bCs/>
          <w:i/>
          <w:iCs/>
          <w:sz w:val="24"/>
          <w:szCs w:val="24"/>
        </w:rPr>
        <w:t xml:space="preserve">4.3 Filtros y pérdida de información: municipios</w:t>
      </w:r>
    </w:p>
    <w:p>
      <w:pPr>
        <w:spacing w:after="0" w:before="0" w:line="480"/>
        <w:ind w:firstLine="720"/>
        <w:jc w:val="both"/>
      </w:pPr>
      <w:r>
        <w:rPr>
          <w:rFonts w:ascii="Times New Roman" w:cs="Times New Roman" w:eastAsia="Times New Roman" w:hAnsi="Times New Roman"/>
        </w:rPr>
        <w:t xml:space="preserve">La Tabla 4 presenta el recuento por año. Todos los municipios con al menos una UE registrada tienen ICE: el filtro del núcleo solo determina qué municipios participan en la estimación del PCI, y a los demás se les asigna un ICE proyectado (sección 3.5). Fuera del núcleo quedan entre 362 municipios (2003) y 132 (2023); casi todos por tener menos de 30 UE, y la mayoría en Oaxaca (251 de 362 en 2003 y 89 de 132 en 2023), que concentra municipios de muy baja población.</w:t>
      </w:r>
    </w:p>
    <w:p>
      <w:pPr>
        <w:keepNext/>
        <w:spacing w:after="80" w:before="200"/>
        <w:jc w:val="center"/>
      </w:pPr>
      <w:r>
        <w:rPr>
          <w:rFonts w:ascii="Times New Roman" w:cs="Times New Roman" w:eastAsia="Times New Roman" w:hAnsi="Times New Roman"/>
          <w:i/>
          <w:iCs/>
          <w:color w:val="808080"/>
          <w:sz w:val="20"/>
          <w:szCs w:val="20"/>
        </w:rPr>
        <w:t xml:space="preserve">Tabla 4: Municipios incluidos en el cálculo del ICE por año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1100"/>
        <w:gridCol w:w="1500"/>
        <w:gridCol w:w="1100"/>
        <w:gridCol w:w="1100"/>
        <w:gridCol w:w="1300"/>
        <w:gridCol w:w="1360"/>
      </w:tblGrid>
      <w:tr>
        <w:trPr>
          <w:tblHeader/>
        </w:trPr>
        <w:tc>
          <w:tcPr>
            <w:tcW w:type="dxa" w:w="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Año</w:t>
            </w:r>
          </w:p>
        </w:tc>
        <w:tc>
          <w:tcPr>
            <w:tcW w:type="dxa" w:w="12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Con UE (tienen ICE)</w:t>
            </w:r>
          </w:p>
        </w:tc>
        <w:tc>
          <w:tcPr>
            <w:tcW w:type="dxa" w:w="11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En el núcleo</w:t>
            </w:r>
          </w:p>
        </w:tc>
        <w:tc>
          <w:tcPr>
            <w:tcW w:type="dxa" w:w="15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Fuera del núcleo (ICE proyectado)</w:t>
            </w:r>
          </w:p>
        </w:tc>
        <w:tc>
          <w:tcPr>
            <w:tcW w:type="dxa" w:w="11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Fuera por &lt; 30 UE</w:t>
            </w:r>
          </w:p>
        </w:tc>
        <w:tc>
          <w:tcPr>
            <w:tcW w:type="dxa" w:w="11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Fuera por &lt; 5 ramas</w:t>
            </w:r>
          </w:p>
        </w:tc>
        <w:tc>
          <w:tcPr>
            <w:tcW w:type="dxa" w:w="13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Catálogo INEGI</w:t>
            </w:r>
          </w:p>
        </w:tc>
        <w:tc>
          <w:tcPr>
            <w:tcW w:type="dxa" w:w="13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En catálogo sin UE</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2,447</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2,085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362</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361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2,446</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2,455</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2,205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250</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250</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2,456</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2,266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190</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188</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2,465</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2,320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145</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145</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2023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2,469</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2,337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132</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2,475</w:t>
            </w:r>
          </w:p>
        </w:tc>
        <w:tc>
          <w:tcPr>
            <w:tcW w:type="dxa" w:w="13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r>
    </w:tbl>
    <w:p>
      <w:pPr>
        <w:spacing w:after="240" w:before="60" w:line="240"/>
        <w:jc w:val="both"/>
      </w:pPr>
      <w:r>
        <w:rPr>
          <w:rFonts w:ascii="Times New Roman" w:cs="Times New Roman" w:eastAsia="Times New Roman" w:hAnsi="Times New Roman"/>
          <w:sz w:val="18"/>
          <w:szCs w:val="18"/>
        </w:rPr>
        <w:t xml:space="preserve">Fuente: elaboración propia con datos de SAIC y del Catálogo Único de Claves Geoestadísticas (INEGI). Nota: solo se cuenta con los catálogos de 2003 y 2023; para 2008, 2013 y 2018 los cambios se describen respecto al censo anterior. El total de 2023 ya incluye la reasignación de los tres municipios creados en 2024.</w:t>
      </w:r>
    </w:p>
    <w:p>
      <w:pPr>
        <w:spacing w:after="0" w:before="0" w:line="480"/>
        <w:ind w:firstLine="720"/>
        <w:jc w:val="both"/>
      </w:pPr>
      <w:r>
        <w:rPr>
          <w:rFonts w:ascii="Times New Roman" w:cs="Times New Roman" w:eastAsia="Times New Roman" w:hAnsi="Times New Roman"/>
        </w:rPr>
        <w:t xml:space="preserve">El número de municipios cambia entre años por tres razones técnicas:</w:t>
      </w:r>
    </w:p>
    <w:p>
      <w:pPr>
        <w:pStyle w:val="ListParagraph"/>
        <w:numPr>
          <w:ilvl w:val="0"/>
          <w:numId w:val="2"/>
        </w:numPr>
        <w:spacing w:line="480"/>
        <w:jc w:val="both"/>
      </w:pPr>
      <w:r>
        <w:rPr>
          <w:rFonts w:ascii="Times New Roman" w:cs="Times New Roman" w:eastAsia="Times New Roman" w:hAnsi="Times New Roman"/>
          <w:b/>
          <w:bCs/>
        </w:rPr>
        <w:t xml:space="preserve">Municipios de nueva creación.</w:t>
      </w:r>
      <w:r>
        <w:rPr>
          <w:rFonts w:ascii="Times New Roman" w:cs="Times New Roman" w:eastAsia="Times New Roman" w:hAnsi="Times New Roman"/>
        </w:rPr>
        <w:t xml:space="preserve"> Entre los catálogos de 2003 y 2023 se crearon 29 municipios. Aparecen en el censo del año siguiente a su creación: 8 en 2008 (por ejemplo, Tulum y Cochoapa el Grande), 1 en 2013 (Bacalar), 8 en 2018 (cinco en Chiapas, dos en Morelos y Puerto Morelos) y 9 en 2023 (entre ellos San Quintín y San Felipe, en Baja California). José Joaquín de Herrera y Tonanitla ya aparecen en 2003, aunque no están en el catálogo de ese año, porque se crearon antes del levantamiento.</w:t>
      </w:r>
    </w:p>
    <w:p>
      <w:pPr>
        <w:pStyle w:val="ListParagraph"/>
        <w:numPr>
          <w:ilvl w:val="0"/>
          <w:numId w:val="2"/>
        </w:numPr>
        <w:spacing w:line="480"/>
        <w:jc w:val="both"/>
      </w:pPr>
      <w:r>
        <w:rPr>
          <w:rFonts w:ascii="Times New Roman" w:cs="Times New Roman" w:eastAsia="Times New Roman" w:hAnsi="Times New Roman"/>
          <w:b/>
          <w:bCs/>
        </w:rPr>
        <w:t xml:space="preserve">Cambios de clave geoestadística.</w:t>
      </w:r>
      <w:r>
        <w:rPr>
          <w:rFonts w:ascii="Times New Roman" w:cs="Times New Roman" w:eastAsia="Times New Roman" w:hAnsi="Times New Roman"/>
        </w:rPr>
        <w:t xml:space="preserve"> Los tres municipios creados en 2024 (Villa de Pozos, Eldorado y Juan José Ríos) aparecen en el censo de 2023 con claves que no existen en el catálogo de claves de 2023 ni en ESRU-EMOVI; se sumaron a su municipio de origen (en los mapas, sus polígonos aparecen sin dato). Para los municipios creados después de 2003, el municipio de origen se identificó emparejando sus localidades con las del catálogo de 2003 por coordenadas y nombre (28 de 29 resueltos; Iliatenco queda pendiente de asignación manual).</w:t>
      </w:r>
    </w:p>
    <w:p>
      <w:pPr>
        <w:pStyle w:val="ListParagraph"/>
        <w:numPr>
          <w:ilvl w:val="0"/>
          <w:numId w:val="2"/>
        </w:numPr>
        <w:spacing w:line="480"/>
        <w:jc w:val="both"/>
      </w:pPr>
      <w:r>
        <w:rPr>
          <w:rFonts w:ascii="Times New Roman" w:cs="Times New Roman" w:eastAsia="Times New Roman" w:hAnsi="Times New Roman"/>
          <w:b/>
          <w:bCs/>
        </w:rPr>
        <w:t xml:space="preserve">Nula actividad registrada.</w:t>
      </w:r>
      <w:r>
        <w:rPr>
          <w:rFonts w:ascii="Times New Roman" w:cs="Times New Roman" w:eastAsia="Times New Roman" w:hAnsi="Times New Roman"/>
        </w:rPr>
        <w:t xml:space="preserve"> Algunos municipios existen en el catálogo pero no tienen UE en un censo: Nicolás Ruíz (Chiapas) en 2003, y Amatenango de la Frontera, Bejucal de Ocampo, Bella Vista, La Grandeza, Capitán Luis Ángel Vidal y Honduras de la Sierra (todos en Chiapas) en 2023. Sin establecimientos no hay estructura productiva que medir, así que no tienen ICE en ese año. Con los datos disponibles no se puede distinguir si la ausencia refleja falta real de actividad o problemas de levantamiento en esa zona.</w:t>
      </w:r>
    </w:p>
    <w:p>
      <w:pPr>
        <w:spacing w:after="0" w:before="0" w:line="480"/>
        <w:ind w:firstLine="720"/>
        <w:jc w:val="both"/>
      </w:pPr>
      <w:r>
        <w:rPr>
          <w:rFonts w:ascii="Times New Roman" w:cs="Times New Roman" w:eastAsia="Times New Roman" w:hAnsi="Times New Roman"/>
        </w:rPr>
        <w:t xml:space="preserve">El impacto sobre la muestra de análisis es pequeño. De los entrevistados de la cohorte de 25-34 años de ESRU-EMOVI, 32 provienen de municipios fuera del núcleo en el año censal que les corresponde (entre 0.6% y 1.1% de la población ponderada); ellos conservan un ICE proyectado. Otros 15 no tienen ICE porque su municipio no existía en ese año censal; su asignación al municipio de origen queda como decisión pendiente del modelo de movilidad.</w:t>
      </w:r>
    </w:p>
    <w:p>
      <w:pPr>
        <w:pStyle w:val="Heading1"/>
        <w:keepNext/>
        <w:spacing w:after="0" w:before="240" w:line="480"/>
      </w:pPr>
      <w:r>
        <w:rPr>
          <w:rFonts w:ascii="Times New Roman" w:cs="Times New Roman" w:eastAsia="Times New Roman" w:hAnsi="Times New Roman"/>
          <w:b/>
          <w:bCs/>
          <w:sz w:val="24"/>
          <w:szCs w:val="24"/>
        </w:rPr>
        <w:t xml:space="preserve">5. Defensa técnica II: nivel de agregación (rama)</w:t>
      </w:r>
    </w:p>
    <w:p>
      <w:pPr>
        <w:pStyle w:val="Heading2"/>
        <w:keepNext/>
        <w:spacing w:after="0" w:before="120" w:line="480"/>
      </w:pPr>
      <w:r>
        <w:rPr>
          <w:rFonts w:ascii="Times New Roman" w:cs="Times New Roman" w:eastAsia="Times New Roman" w:hAnsi="Times New Roman"/>
          <w:b/>
          <w:bCs/>
          <w:i/>
          <w:iCs/>
          <w:sz w:val="24"/>
          <w:szCs w:val="24"/>
        </w:rPr>
        <w:t xml:space="preserve">5.1 Regla de decisión fijada antes de estimar</w:t>
      </w:r>
    </w:p>
    <w:p>
      <w:pPr>
        <w:spacing w:after="0" w:before="0" w:line="480"/>
        <w:ind w:firstLine="720"/>
        <w:jc w:val="both"/>
      </w:pPr>
      <w:r>
        <w:rPr>
          <w:rFonts w:ascii="Times New Roman" w:cs="Times New Roman" w:eastAsia="Times New Roman" w:hAnsi="Times New Roman"/>
        </w:rPr>
        <w:t xml:space="preserve">La elección entre rama (4 dígitos SCIAN, alrededor de 270 actividades) y clase (6 dígitos, alrededor de 880) se resolvió con una regla establecida antes de ver los resultados. La métrica es el R² parcial del ICE en una regresión de la remuneración media municipal (en logaritmo relativo al promedio nacional) que controla por log de población, log de UE, diversidad y efectos fijos por estado, para 2003 y 2013. Clase sería la especificación base solo si el intervalo bootstrap al 95% (remuestreando estados, 1,999 réplicas) de la diferencia Clase − Rama excluyera el cero a favor de clase en ambos años. En cualquier otro caso se usa rama, por parsimonia y porque la matriz a nivel rama tiene menos celdas vacías.</w:t>
      </w:r>
    </w:p>
    <w:p>
      <w:pPr>
        <w:keepNext/>
        <w:spacing w:after="80" w:before="200"/>
        <w:jc w:val="center"/>
      </w:pPr>
      <w:r>
        <w:rPr>
          <w:rFonts w:ascii="Times New Roman" w:cs="Times New Roman" w:eastAsia="Times New Roman" w:hAnsi="Times New Roman"/>
          <w:i/>
          <w:iCs/>
          <w:color w:val="808080"/>
          <w:sz w:val="20"/>
          <w:szCs w:val="20"/>
        </w:rPr>
        <w:t xml:space="preserve">Tabla 5: Regla Rama vs. Clase: R² parcial del ICE en la regresión de remuneración media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400"/>
        <w:gridCol w:w="1400"/>
        <w:gridCol w:w="1700"/>
        <w:gridCol w:w="1700"/>
        <w:gridCol w:w="1160"/>
      </w:tblGrid>
      <w:tr>
        <w:trPr>
          <w:tblHeader/>
        </w:trPr>
        <w:tc>
          <w:tcPr>
            <w:tcW w:type="dxa" w:w="8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Año</w:t>
            </w:r>
          </w:p>
        </w:tc>
        <w:tc>
          <w:tcPr>
            <w:tcW w:type="dxa" w:w="12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Municipios</w:t>
            </w:r>
          </w:p>
        </w:tc>
        <w:tc>
          <w:tcPr>
            <w:tcW w:type="dxa" w:w="14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R² parcial (rama)</w:t>
            </w:r>
          </w:p>
        </w:tc>
        <w:tc>
          <w:tcPr>
            <w:tcW w:type="dxa" w:w="14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R² parcial (clase)</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Diferencia (clase − rama)</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IC 95% bootstrap</w:t>
            </w:r>
          </w:p>
        </w:tc>
        <w:tc>
          <w:tcPr>
            <w:tcW w:type="dxa" w:w="11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¿Clase gana?</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2,272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0.068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0.061</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−0.007</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[−0.018, 0.012]</w:t>
            </w:r>
          </w:p>
        </w:tc>
        <w:tc>
          <w:tcPr>
            <w:tcW w:type="dxa" w:w="11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No</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0.062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0.067</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+0.005</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[−0.009, 0.018]</w:t>
            </w:r>
          </w:p>
        </w:tc>
        <w:tc>
          <w:tcPr>
            <w:tcW w:type="dxa" w:w="11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No</w:t>
            </w:r>
          </w:p>
        </w:tc>
      </w:tr>
    </w:tbl>
    <w:p>
      <w:pPr>
        <w:spacing w:after="240" w:before="60" w:line="240"/>
        <w:jc w:val="both"/>
      </w:pPr>
      <w:r>
        <w:rPr>
          <w:rFonts w:ascii="Times New Roman" w:cs="Times New Roman" w:eastAsia="Times New Roman" w:hAnsi="Times New Roman"/>
          <w:sz w:val="18"/>
          <w:szCs w:val="18"/>
        </w:rPr>
        <w:t xml:space="preserve">Fuente: elaboración propia con datos de los Censos Económicos 2004-2024 (INEGI). Nota: controles de log población, log UE, diversidad y efectos fijos por estado; bootstrap por estado con 1,999 réplicas y semilla fija.</w:t>
      </w:r>
    </w:p>
    <w:p>
      <w:pPr>
        <w:spacing w:after="0" w:before="0" w:line="480"/>
        <w:ind w:firstLine="720"/>
        <w:jc w:val="both"/>
      </w:pPr>
      <w:r>
        <w:rPr>
          <w:rFonts w:ascii="Times New Roman" w:cs="Times New Roman" w:eastAsia="Times New Roman" w:hAnsi="Times New Roman"/>
        </w:rPr>
        <w:t xml:space="preserve">Ninguno de los dos intervalos excluye el cero, así que la especificación base es rama. Esto no significa que rama domine estadísticamente a clase: ambas tienen un poder predictivo equivalente. La elección descansa en la regla previa, en la parsimonia y en que las conclusiones no dependen de ella (sección 5.2). Esta regla sustituye al criterio utilizado en la versión preliminar del proyecto (un diagrama de Taylor contra el PIB per cápita), que se descartó por dos razones. La primera es que el cruce entre las bases asignaba a cada municipio el PIB de otro, porque el identificador de GADM sigue un orden alfabético y no la clave de INEGI. La segunda es que, con un solo regresor, la desviación estándar normalizada del diagrama es igual a la correlación por construcción, así que el diagrama no aporta información adicional.</w:t>
      </w:r>
    </w:p>
    <w:p>
      <w:pPr>
        <w:pStyle w:val="Heading2"/>
        <w:keepNext/>
        <w:spacing w:after="0" w:before="120" w:line="480"/>
      </w:pPr>
      <w:r>
        <w:rPr>
          <w:rFonts w:ascii="Times New Roman" w:cs="Times New Roman" w:eastAsia="Times New Roman" w:hAnsi="Times New Roman"/>
          <w:b/>
          <w:bCs/>
          <w:i/>
          <w:iCs/>
          <w:sz w:val="24"/>
          <w:szCs w:val="24"/>
        </w:rPr>
        <w:t xml:space="preserve">5.2 Robustez de la especificación</w:t>
      </w:r>
    </w:p>
    <w:p>
      <w:pPr>
        <w:spacing w:after="0" w:before="0" w:line="480"/>
        <w:ind w:firstLine="720"/>
        <w:jc w:val="both"/>
      </w:pPr>
      <w:r>
        <w:rPr>
          <w:rFonts w:ascii="Times New Roman" w:cs="Times New Roman" w:eastAsia="Times New Roman" w:hAnsi="Times New Roman"/>
        </w:rPr>
        <w:t xml:space="preserve">La Tabla 6 compara la especificación base con 33 alternativas. Los umbrales del núcleo y la exclusión de ramas cuya ubicación no refleja capacidades locales prácticamente no cambian el ordenamiento de municipios (Spearman ≥ 0.992). Clase y el método alternativo de Fitness-Complexity (Tacchella et al., 2012) conservan correlaciones altas (0.97 y 0.95), pero reordenan entre 22% y 30% de los municipios entre quintiles; por eso todas las alternativas se exportan para volver a estimar el modelo de movilidad con cada una.</w:t>
      </w:r>
    </w:p>
    <w:p>
      <w:pPr>
        <w:keepNext/>
        <w:spacing w:after="80" w:before="200"/>
        <w:jc w:val="center"/>
      </w:pPr>
      <w:r>
        <w:rPr>
          <w:rFonts w:ascii="Times New Roman" w:cs="Times New Roman" w:eastAsia="Times New Roman" w:hAnsi="Times New Roman"/>
          <w:i/>
          <w:iCs/>
          <w:color w:val="808080"/>
          <w:sz w:val="20"/>
          <w:szCs w:val="20"/>
        </w:rPr>
        <w:t xml:space="preserve">Tabla 6: Sensibilidad del ICE a especificaciones alternativas (2003-2023)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1700"/>
        <w:gridCol w:w="1860"/>
      </w:tblGrid>
      <w:tr>
        <w:trPr>
          <w:tblHeader/>
        </w:trPr>
        <w:tc>
          <w:tcPr>
            <w:tcW w:type="dxa" w:w="15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Alternativa</w:t>
            </w:r>
          </w:p>
        </w:tc>
        <w:tc>
          <w:tcPr>
            <w:tcW w:type="dxa" w:w="43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Descripción</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Spearman con la base</w:t>
            </w:r>
          </w:p>
        </w:tc>
        <w:tc>
          <w:tcPr>
            <w:tcW w:type="dxa" w:w="18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 que cambia de quintil</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Malla de umbrales (27)</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UE mínimas ∈ {10, 30, 100}; ramas mínimas ∈ {3, 5, 10}; municipios mínimos por rama ∈ {5, 10, 20}</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0.992–1.000</w:t>
            </w:r>
          </w:p>
        </w:tc>
        <w:tc>
          <w:tcPr>
            <w:tcW w:type="dxa" w:w="1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0.0–10.5</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R1</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Excluye ramas con ubicación por mandato o monopolio estatal (5211 banca central, 5232 bolsa de valores, 2111 petróleo y gas)</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 0.9998</w:t>
            </w:r>
          </w:p>
        </w:tc>
        <w:tc>
          <w:tcPr>
            <w:tcW w:type="dxa" w:w="1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0.1–0.2</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R2</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Excluye servicios públicos de red (subsector 221: electricidad, gas por ductos, agua)</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0.997–0.998</w:t>
            </w:r>
          </w:p>
        </w:tc>
        <w:tc>
          <w:tcPr>
            <w:tcW w:type="dxa" w:w="1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3.8–6.5</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R3</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Excluye minería (sector 21), ubicada por recursos naturales</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0.999–1.000</w:t>
            </w:r>
          </w:p>
        </w:tc>
        <w:tc>
          <w:tcPr>
            <w:tcW w:type="dxa" w:w="1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0.8–2.0</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R4</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R1 + R2 + R3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0.996–0.998</w:t>
            </w:r>
          </w:p>
        </w:tc>
        <w:tc>
          <w:tcPr>
            <w:tcW w:type="dxa" w:w="1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4.0–6.7</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Clase</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SCIAN a 6 dígitos, mismo núcleo y método</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0.968–0.971</w:t>
            </w:r>
          </w:p>
        </w:tc>
        <w:tc>
          <w:tcPr>
            <w:tcW w:type="dxa" w:w="1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21.8–24.0</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Fitness-Complexity</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Tacchella et al. (2012), mismo núcleo</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0.945–0.958</w:t>
            </w:r>
          </w:p>
        </w:tc>
        <w:tc>
          <w:tcPr>
            <w:tcW w:type="dxa" w:w="1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27.7–29.8</w:t>
            </w:r>
          </w:p>
        </w:tc>
      </w:tr>
      <w:tr>
        <w:trPr>
          <w:cantSplit/>
        </w:trPr>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Ramas comunes</w:t>
            </w:r>
          </w:p>
        </w:tc>
        <w:tc>
          <w:tcPr>
            <w:tcW w:type="dxa" w:w="4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Solo las 272 ramas presentes en los cinco años</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 0.9995</w:t>
            </w:r>
          </w:p>
        </w:tc>
        <w:tc>
          <w:tcPr>
            <w:tcW w:type="dxa" w:w="18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0.0–1.5</w:t>
            </w:r>
          </w:p>
        </w:tc>
      </w:tr>
    </w:tbl>
    <w:p>
      <w:pPr>
        <w:spacing w:after="240" w:before="60" w:line="240"/>
        <w:jc w:val="both"/>
      </w:pPr>
      <w:r>
        <w:rPr>
          <w:rFonts w:ascii="Times New Roman" w:cs="Times New Roman" w:eastAsia="Times New Roman" w:hAnsi="Times New Roman"/>
          <w:sz w:val="18"/>
          <w:szCs w:val="18"/>
        </w:rPr>
        <w:t xml:space="preserve">Fuente: elaboración propia con datos de los Censos Económicos 2004-2024 (INEGI).</w:t>
      </w:r>
    </w:p>
    <w:p>
      <w:pPr>
        <w:pStyle w:val="Heading2"/>
        <w:keepNext/>
        <w:spacing w:after="0" w:before="120" w:line="480"/>
      </w:pPr>
      <w:r>
        <w:rPr>
          <w:rFonts w:ascii="Times New Roman" w:cs="Times New Roman" w:eastAsia="Times New Roman" w:hAnsi="Times New Roman"/>
          <w:b/>
          <w:bCs/>
          <w:i/>
          <w:iCs/>
          <w:sz w:val="24"/>
          <w:szCs w:val="24"/>
        </w:rPr>
        <w:t xml:space="preserve">5.3 Defensa contra la circularidad y el efecto escala (crítica de Soloaga)</w:t>
      </w:r>
    </w:p>
    <w:p>
      <w:pPr>
        <w:spacing w:after="0" w:before="0" w:line="480"/>
        <w:ind w:firstLine="720"/>
        <w:jc w:val="both"/>
      </w:pPr>
      <w:r>
        <w:rPr>
          <w:rFonts w:ascii="Times New Roman" w:cs="Times New Roman" w:eastAsia="Times New Roman" w:hAnsi="Times New Roman"/>
        </w:rPr>
        <w:t xml:space="preserve">La contribución del proyecto frente a Soloaga et al. (2025) consiste en que el ICE mide el contenido productivo del territorio y no su escala. La crítica señala dos riesgos: que la especificación del ICE se eligió por predecir el PIB per cápita, y que el conteo de UE crece con el tamaño del municipio. Si el ICE solo sustituyera al ingreso o al tamaño urbano, la contribución desaparecería. La respuesta tiene cinco partes.</w:t>
      </w:r>
    </w:p>
    <w:p>
      <w:pPr>
        <w:spacing w:after="0" w:before="0" w:line="480"/>
        <w:ind w:firstLine="720"/>
        <w:jc w:val="both"/>
      </w:pPr>
      <w:r>
        <w:rPr>
          <w:rFonts w:ascii="Times New Roman" w:cs="Times New Roman" w:eastAsia="Times New Roman" w:hAnsi="Times New Roman"/>
          <w:b/>
          <w:bCs/>
        </w:rPr>
        <w:t xml:space="preserve">(a) La especificación ya no se elige por el PIB.</w:t>
      </w:r>
      <w:r>
        <w:rPr>
          <w:rFonts w:ascii="Times New Roman" w:cs="Times New Roman" w:eastAsia="Times New Roman" w:hAnsi="Times New Roman"/>
        </w:rPr>
        <w:t xml:space="preserve"> La regla de la sección 5.1 usa remuneraciones medidas en los censos, con controles de escala. El PIB municipal disponible (Kummu et al., 2025) es, dentro de cada estado, una estimación de un modelo de aprendizaje automático cuyas variables explicativas son el nivel de urbanización y el tiempo de viaje a la ciudad más cercana. Validar el ICE contra ese PIB equivaldría a validarlo contra la escala, que es precisamente lo que la crítica cuestiona. Por eso el PIB solo se reporta de manera descriptiva (correlación de 0.49 a 0.51 con el ICE) y no se usa como evidencia.</w:t>
      </w:r>
    </w:p>
    <w:p>
      <w:pPr>
        <w:spacing w:after="0" w:before="0" w:line="480"/>
        <w:ind w:firstLine="720"/>
        <w:jc w:val="both"/>
      </w:pPr>
      <w:r>
        <w:rPr>
          <w:rFonts w:ascii="Times New Roman" w:cs="Times New Roman" w:eastAsia="Times New Roman" w:hAnsi="Times New Roman"/>
          <w:b/>
          <w:bCs/>
        </w:rPr>
        <w:t xml:space="preserve">(b) El nivel de UE no entra al índice.</w:t>
      </w:r>
      <w:r>
        <w:rPr>
          <w:rFonts w:ascii="Times New Roman" w:cs="Times New Roman" w:eastAsia="Times New Roman" w:hAnsi="Times New Roman"/>
        </w:rPr>
        <w:t xml:space="preserve"> La RCA es invariante a la escala: si todas las UE de un municipio se multiplican por una constante </w:t>
      </w:r>
      <w:r>
        <w:rPr>
          <w:rFonts w:ascii="Times New Roman" w:cs="Times New Roman" w:eastAsia="Times New Roman" w:hAnsi="Times New Roman"/>
          <w:i/>
          <w:iCs/>
        </w:rPr>
        <w:t xml:space="preserve">λ</w:t>
      </w:r>
      <w:r>
        <w:rPr>
          <w:rFonts w:ascii="Times New Roman" w:cs="Times New Roman" w:eastAsia="Times New Roman" w:hAnsi="Times New Roman"/>
        </w:rPr>
        <w:t xml:space="preserve">, su participación en cada rama no cambia y su ICE tampoco. El tamaño solo puede influir a través de la diversidad, porque un municipio con más establecimientos tiende a estar presente en más ramas. Ese canal existe y es fuerte, y la Tabla 7 lo cuantifica sin rodeos.</w:t>
      </w:r>
    </w:p>
    <w:p>
      <w:pPr>
        <w:keepNext/>
        <w:spacing w:after="80" w:before="200"/>
        <w:jc w:val="center"/>
      </w:pPr>
      <w:r>
        <w:rPr>
          <w:rFonts w:ascii="Times New Roman" w:cs="Times New Roman" w:eastAsia="Times New Roman" w:hAnsi="Times New Roman"/>
          <w:i/>
          <w:iCs/>
          <w:color w:val="808080"/>
          <w:sz w:val="20"/>
          <w:szCs w:val="20"/>
        </w:rPr>
        <w:t xml:space="preserve">Tabla 7: Proporción de la varianza del ICE explicada por la escala y la diversidad (R²)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300"/>
        <w:gridCol w:w="1300"/>
        <w:gridCol w:w="1400"/>
        <w:gridCol w:w="1700"/>
        <w:gridCol w:w="1560"/>
      </w:tblGrid>
      <w:tr>
        <w:trPr>
          <w:tblHeader/>
        </w:trPr>
        <w:tc>
          <w:tcPr>
            <w:tcW w:type="dxa" w:w="9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Año</w:t>
            </w:r>
          </w:p>
        </w:tc>
        <w:tc>
          <w:tcPr>
            <w:tcW w:type="dxa" w:w="12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Municipios</w:t>
            </w:r>
          </w:p>
        </w:tc>
        <w:tc>
          <w:tcPr>
            <w:tcW w:type="dxa" w:w="13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log población</w:t>
            </w:r>
          </w:p>
        </w:tc>
        <w:tc>
          <w:tcPr>
            <w:tcW w:type="dxa" w:w="13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 log UE</w:t>
            </w:r>
          </w:p>
        </w:tc>
        <w:tc>
          <w:tcPr>
            <w:tcW w:type="dxa" w:w="14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 diversidad</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 efectos fijos de estado</w:t>
            </w:r>
          </w:p>
        </w:tc>
        <w:tc>
          <w:tcPr>
            <w:tcW w:type="dxa" w:w="15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Categorías de tamaño</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2,447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0.69</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0.88</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0.90</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0.68</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2,455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0.69</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0.69</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2,456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0.70</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0.67</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2,465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0.85</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0.67</w:t>
            </w:r>
          </w:p>
        </w:tc>
      </w:tr>
      <w:tr>
        <w:trPr>
          <w:cantSplit/>
        </w:trPr>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2023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2,469</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0.75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0.85</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0.88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0.66</w:t>
            </w:r>
          </w:p>
        </w:tc>
      </w:tr>
    </w:tbl>
    <w:p>
      <w:pPr>
        <w:spacing w:after="240" w:before="60" w:line="240"/>
        <w:jc w:val="both"/>
      </w:pPr>
      <w:r>
        <w:rPr>
          <w:rFonts w:ascii="Times New Roman" w:cs="Times New Roman" w:eastAsia="Times New Roman" w:hAnsi="Times New Roman"/>
          <w:sz w:val="18"/>
          <w:szCs w:val="18"/>
        </w:rPr>
        <w:t xml:space="preserve">Fuente: elaboración propia con datos de los Censos Económicos (INEGI) y población de INEGI y CONAPO. Nota: categorías de tamaño poblacional del municipio: menos de 15 mil, 15-50 mil, 50-350 mil y 350 mil o más habitantes, en el espíritu de los cortes de tamaño urbano de Soloaga et al. (2025).</w:t>
      </w:r>
    </w:p>
    <w:p>
      <w:pPr>
        <w:spacing w:after="0" w:before="0" w:line="480"/>
        <w:ind w:firstLine="720"/>
        <w:jc w:val="both"/>
      </w:pPr>
      <w:r>
        <w:rPr>
          <w:rFonts w:ascii="Times New Roman" w:cs="Times New Roman" w:eastAsia="Times New Roman" w:hAnsi="Times New Roman"/>
        </w:rPr>
        <w:t xml:space="preserve">La escala y la diversidad explican entre 85% y 88% de la varianza del ICE, y entre 88% y 90% si se añaden efectos fijos de estado. El ICE y el tamaño </w:t>
      </w:r>
      <w:r>
        <w:rPr>
          <w:rFonts w:ascii="Times New Roman" w:cs="Times New Roman" w:eastAsia="Times New Roman" w:hAnsi="Times New Roman"/>
          <w:b/>
          <w:bCs/>
        </w:rPr>
        <w:t xml:space="preserve">no son lo mismo</w:t>
      </w:r>
      <w:r>
        <w:rPr>
          <w:rFonts w:ascii="Times New Roman" w:cs="Times New Roman" w:eastAsia="Times New Roman" w:hAnsi="Times New Roman"/>
        </w:rPr>
        <w:t xml:space="preserve">, pero se traslapan en buena medida. Dentro de cada categoría de tamaño, el ICE conserva una dispersión considerable (desviación estándar de 0.45 a 0.80), es decir, municipios de tamaño similar tienen estructuras productivas muy distintas. El componente del ICE que no explica la escala, de 10% a 12% de su varianza, es el que debe sostener la contribución, y las partes (c) y (d) muestran que tiene contenido.</w:t>
      </w:r>
    </w:p>
    <w:p>
      <w:pPr>
        <w:spacing w:after="0" w:before="0" w:line="480"/>
        <w:ind w:firstLine="720"/>
        <w:jc w:val="both"/>
      </w:pPr>
      <w:r>
        <w:rPr>
          <w:rFonts w:ascii="Times New Roman" w:cs="Times New Roman" w:eastAsia="Times New Roman" w:hAnsi="Times New Roman"/>
          <w:b/>
          <w:bCs/>
        </w:rPr>
        <w:t xml:space="preserve">(c) El componente independiente de la escala predice salarios y productividad.</w:t>
      </w:r>
      <w:r>
        <w:rPr>
          <w:rFonts w:ascii="Times New Roman" w:cs="Times New Roman" w:eastAsia="Times New Roman" w:hAnsi="Times New Roman"/>
        </w:rPr>
        <w:t xml:space="preserve"> La Tabla 8 muestra la regresión de la remuneración media municipal (en logaritmo relativo al promedio nacional) sobre el ICE, agregando controles de manera progresiva. Con todos los controles (escala, diversidad y efectos fijos por estado), un aumento de una desviación estándar en el ICE se asocia con remuneraciones entre 24 y 37 puntos logarítmicos más altas en todos los años, con p &lt; 0.0001 en el bootstrap restringido por estado. Para la productividad laboral (VACB por persona ocupada) el coeficiente va de 0.55 a 0.63 (p ≤ 0.0001). El resultado se mantiene con las categorías de tamaño en lugar de las variables continuas, y con ambas a la vez (0.25-0.40). El ICE también predice el crecimiento posterior de la remuneración relativa (0.07 en 2003-2023; 0.15 en el panel de periodos de cinco años) con todos los controles.</w:t>
      </w:r>
    </w:p>
    <w:p>
      <w:pPr>
        <w:keepNext/>
        <w:spacing w:after="80" w:before="200"/>
        <w:jc w:val="center"/>
      </w:pPr>
      <w:r>
        <w:rPr>
          <w:rFonts w:ascii="Times New Roman" w:cs="Times New Roman" w:eastAsia="Times New Roman" w:hAnsi="Times New Roman"/>
          <w:i/>
          <w:iCs/>
          <w:color w:val="808080"/>
          <w:sz w:val="20"/>
          <w:szCs w:val="20"/>
        </w:rPr>
        <w:t xml:space="preserve">Tabla 8: El ICE y la remuneración media municipal con controles de escala: coeficiente del ICE (error estándar) y R² parcial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tblHeader/>
        </w:trPr>
        <w:tc>
          <w:tcPr>
            <w:tcW w:type="dxa" w:w="21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Especificación</w:t>
            </w:r>
          </w:p>
        </w:tc>
        <w:tc>
          <w:tcPr>
            <w:tcW w:type="dxa" w:w="14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2003</w:t>
            </w:r>
          </w:p>
        </w:tc>
        <w:tc>
          <w:tcPr>
            <w:tcW w:type="dxa" w:w="14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2008</w:t>
            </w:r>
          </w:p>
        </w:tc>
        <w:tc>
          <w:tcPr>
            <w:tcW w:type="dxa" w:w="14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2013</w:t>
            </w:r>
          </w:p>
        </w:tc>
        <w:tc>
          <w:tcPr>
            <w:tcW w:type="dxa" w:w="14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2018</w:t>
            </w:r>
          </w:p>
        </w:tc>
        <w:tc>
          <w:tcPr>
            <w:tcW w:type="dxa" w:w="14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2023</w:t>
            </w:r>
          </w:p>
        </w:tc>
      </w:tr>
      <w:tr>
        <w:trPr>
          <w:cantSplit/>
        </w:trPr>
        <w:tc>
          <w:tcPr>
            <w:tcW w:type="dxa" w:w="21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Solo ICE</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0.322 (0.017); R²p 0.33</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0.349 (0.019); R²p 0.35</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0.304 (0.013); R²p 0.34</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0.282 (0.012); R²p 0.37</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0.243 (0.020); R²p 0.36</w:t>
            </w:r>
          </w:p>
        </w:tc>
      </w:tr>
      <w:tr>
        <w:trPr>
          <w:cantSplit/>
        </w:trPr>
        <w:tc>
          <w:tcPr>
            <w:tcW w:type="dxa" w:w="21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log población + log UE</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0.408 (0.031); R²p 0.15</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0.425 (0.032); R²p 0.16</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0.384 (0.037); R²p 0.17</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0.380 (0.039); R²p 0.22</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0.288 (0.029); R²p 0.17</w:t>
            </w:r>
          </w:p>
        </w:tc>
      </w:tr>
      <w:tr>
        <w:trPr>
          <w:cantSplit/>
        </w:trPr>
        <w:tc>
          <w:tcPr>
            <w:tcW w:type="dxa" w:w="21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diversidad</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0.454 (0.041); R²p 0.12</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0.411 (0.047); R²p 0.09</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0.391 (0.053); R²p 0.11</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0.385 (0.050); R²p 0.15</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0.285 (0.038); R²p 0.11</w:t>
            </w:r>
          </w:p>
        </w:tc>
      </w:tr>
      <w:tr>
        <w:trPr>
          <w:cantSplit/>
        </w:trPr>
        <w:tc>
          <w:tcPr>
            <w:tcW w:type="dxa" w:w="21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(4) + efectos fijos de estado</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0.365 (0.039); R²p 0.07</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0.339 (0.034); R²p 0.06</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0.310 (0.039); R²p 0.06</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0.310 (0.034); R²p 0.08</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0.239 (0.030); R²p 0.07</w:t>
            </w:r>
          </w:p>
        </w:tc>
      </w:tr>
      <w:tr>
        <w:trPr>
          <w:cantSplit/>
        </w:trPr>
        <w:tc>
          <w:tcPr>
            <w:tcW w:type="dxa" w:w="21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 Categorías de tamaño + todos los controles de (4)</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0.398 (0.045); R²p 0.07</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0.361 (0.036); R²p 0.06</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0.319 (0.042); R²p 0.06</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0.316 (0.035); R²p 0.08</w:t>
            </w:r>
          </w:p>
        </w:tc>
        <w:tc>
          <w:tcPr>
            <w:tcW w:type="dxa" w:w="144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0.249 (0.029); R²p 0.07</w:t>
            </w:r>
          </w:p>
        </w:tc>
      </w:tr>
    </w:tbl>
    <w:p>
      <w:pPr>
        <w:spacing w:after="240" w:before="60" w:line="240"/>
        <w:jc w:val="both"/>
      </w:pPr>
      <w:r>
        <w:rPr>
          <w:rFonts w:ascii="Times New Roman" w:cs="Times New Roman" w:eastAsia="Times New Roman" w:hAnsi="Times New Roman"/>
          <w:sz w:val="18"/>
          <w:szCs w:val="18"/>
        </w:rPr>
        <w:t xml:space="preserve">Fuente: elaboración propia con datos de los Censos Económicos (INEGI) y población de INEGI y CONAPO. Nota: variable dependiente: log(remuneraciones / personal remunerado) menos su valor nacional. Errores agrupados por estado. Todos los coeficientes tienen p ≤ 0.0001 en el wild cluster bootstrap restringido (pesos de Webb, 9,999 réplicas); los de (1)-(4) también son significativos con errores de Conley (100 km). R²p: R² parcial del ICE. Municipios: 2,272 a 2,432 por año.</w:t>
      </w:r>
    </w:p>
    <w:p>
      <w:pPr>
        <w:spacing w:after="0" w:before="0" w:line="480"/>
        <w:ind w:firstLine="720"/>
        <w:jc w:val="both"/>
      </w:pPr>
      <w:r>
        <w:rPr>
          <w:rFonts w:ascii="Times New Roman" w:cs="Times New Roman" w:eastAsia="Times New Roman" w:hAnsi="Times New Roman"/>
          <w:b/>
          <w:bCs/>
        </w:rPr>
        <w:t xml:space="preserve">(d) El ICE no sustituye al ingreso.</w:t>
      </w:r>
      <w:r>
        <w:rPr>
          <w:rFonts w:ascii="Times New Roman" w:cs="Times New Roman" w:eastAsia="Times New Roman" w:hAnsi="Times New Roman"/>
        </w:rPr>
        <w:t xml:space="preserve"> La correlación del ICE con la remuneración media relativa es de 0.57 a 0.61 (R² de 0.33 a 0.37): el índice comparte información con el ingreso, pero no es una medida de él. En la parte (c), el R² parcial cae de cerca de 0.35 sin controles a 0.06-0.09 con todos ellos. Buena parte de la correlación bruta sí era escala, pero queda una asociación independiente estable en los cinco años.</w:t>
      </w:r>
    </w:p>
    <w:p>
      <w:pPr>
        <w:spacing w:after="0" w:before="0" w:line="480"/>
        <w:ind w:firstLine="720"/>
        <w:jc w:val="both"/>
      </w:pPr>
      <w:r>
        <w:rPr>
          <w:rFonts w:ascii="Times New Roman" w:cs="Times New Roman" w:eastAsia="Times New Roman" w:hAnsi="Times New Roman"/>
          <w:b/>
          <w:bCs/>
        </w:rPr>
        <w:t xml:space="preserve">(e) Circularidad.</w:t>
      </w:r>
      <w:r>
        <w:rPr>
          <w:rFonts w:ascii="Times New Roman" w:cs="Times New Roman" w:eastAsia="Times New Roman" w:hAnsi="Times New Roman"/>
        </w:rPr>
        <w:t xml:space="preserve"> La asociación no es mecánica: el ICE se calcula solo con conteos de establecimientos por rama, mientras que el validador usa salarios y valor agregado. Sí comparten la fuente (los Censos Económicos) y, por lo tanto, su cobertura (sin agricultura ni gobierno); no se puede afirmar que la circularidad quede descartada del todo, sino que no es de construcción. La prueba definitiva de la crítica corresponde al modelo de movilidad: el coeficiente del ICE debe sobrevivir con el log de la población del municipio de origen entre los controles. Esa especificación está prevista como principal y, dado que solo 10-12% de la varianza del ICE es independiente de la escala, también determina la potencia estadística con la que se podrá detectar el efecto.</w:t>
      </w:r>
    </w:p>
    <w:p>
      <w:pPr>
        <w:pStyle w:val="Heading2"/>
        <w:keepNext/>
        <w:spacing w:after="0" w:before="120" w:line="480"/>
      </w:pPr>
      <w:r>
        <w:rPr>
          <w:rFonts w:ascii="Times New Roman" w:cs="Times New Roman" w:eastAsia="Times New Roman" w:hAnsi="Times New Roman"/>
          <w:b/>
          <w:bCs/>
          <w:i/>
          <w:iCs/>
          <w:sz w:val="24"/>
          <w:szCs w:val="24"/>
        </w:rPr>
        <w:t xml:space="preserve">5.4 Filtros y pérdida de información: ramas</w:t>
      </w:r>
    </w:p>
    <w:p>
      <w:pPr>
        <w:spacing w:after="0" w:before="0" w:line="480"/>
        <w:ind w:firstLine="720"/>
        <w:jc w:val="both"/>
      </w:pPr>
      <w:r>
        <w:rPr>
          <w:rFonts w:ascii="Times New Roman" w:cs="Times New Roman" w:eastAsia="Times New Roman" w:hAnsi="Times New Roman"/>
        </w:rPr>
        <w:t xml:space="preserve">La Tabla 9 resume cuántas ramas entran al cálculo cada año y la Tabla 10 lista las excluidas. Hay dos motivos de exclusión. El primero es la cobertura del censo: respecto a la unión de 279 ramas, algunas no existen en ciertos años (por ejemplo, el manejo de residuos antes de 2018 o los servicios agropecuarios en 2003). El segundo es el umbral del núcleo: las ramas presentes en menos de 10 municipios no participan en la estimación, porque su PCI dependería de uno o dos municipios. Entre ellas están banca central, bolsa de valores, transporte por ferrocarril o por ductos y minería de carbón.</w:t>
      </w:r>
    </w:p>
    <w:p>
      <w:pPr>
        <w:keepNext/>
        <w:spacing w:after="80" w:before="200"/>
        <w:jc w:val="center"/>
      </w:pPr>
      <w:r>
        <w:rPr>
          <w:rFonts w:ascii="Times New Roman" w:cs="Times New Roman" w:eastAsia="Times New Roman" w:hAnsi="Times New Roman"/>
          <w:i/>
          <w:iCs/>
          <w:color w:val="808080"/>
          <w:sz w:val="20"/>
          <w:szCs w:val="20"/>
        </w:rPr>
        <w:t xml:space="preserve">Tabla 9: Ramas incluidas en el cálculo del ICE por año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800"/>
        <w:gridCol w:w="2600"/>
        <w:gridCol w:w="1660"/>
      </w:tblGrid>
      <w:tr>
        <w:trPr>
          <w:tblHeader/>
        </w:trPr>
        <w:tc>
          <w:tcPr>
            <w:tcW w:type="dxa" w:w="11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Año</w:t>
            </w:r>
          </w:p>
        </w:tc>
        <w:tc>
          <w:tcPr>
            <w:tcW w:type="dxa" w:w="22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Ramas presentes en el censo</w:t>
            </w:r>
          </w:p>
        </w:tc>
        <w:tc>
          <w:tcPr>
            <w:tcW w:type="dxa" w:w="18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Ramas en el núcleo</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Excluidas por presencia &lt; 10 municipios</w:t>
            </w:r>
          </w:p>
        </w:tc>
        <w:tc>
          <w:tcPr>
            <w:tcW w:type="dxa" w:w="16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Sin cobertura ese año</w:t>
            </w:r>
          </w:p>
        </w:tc>
      </w:tr>
      <w:tr>
        <w:trPr>
          <w:cantSplit/>
        </w:trPr>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2003</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16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r>
      <w:tr>
        <w:trPr>
          <w:cantSplit/>
        </w:trPr>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2008</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269</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16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r>
      <w:tr>
        <w:trPr>
          <w:cantSplit/>
        </w:trPr>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2013</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267</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16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r>
      <w:tr>
        <w:trPr>
          <w:cantSplit/>
        </w:trPr>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2018</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269</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16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r>
      <w:tr>
        <w:trPr>
          <w:cantSplit/>
        </w:trPr>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2023</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271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16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r>
    </w:tbl>
    <w:p>
      <w:pPr>
        <w:spacing w:after="240" w:before="60" w:line="240"/>
        <w:jc w:val="both"/>
      </w:pPr>
      <w:r>
        <w:rPr>
          <w:rFonts w:ascii="Times New Roman" w:cs="Times New Roman" w:eastAsia="Times New Roman" w:hAnsi="Times New Roman"/>
          <w:sz w:val="18"/>
          <w:szCs w:val="18"/>
        </w:rPr>
        <w:t xml:space="preserve">Fuente: elaboración propia con datos de los Censos Económicos 2004-2024 (INEGI).</w:t>
      </w:r>
    </w:p>
    <w:p>
      <w:pPr>
        <w:keepNext/>
        <w:spacing w:after="80" w:before="200"/>
        <w:jc w:val="center"/>
      </w:pPr>
      <w:r>
        <w:rPr>
          <w:rFonts w:ascii="Times New Roman" w:cs="Times New Roman" w:eastAsia="Times New Roman" w:hAnsi="Times New Roman"/>
          <w:i/>
          <w:iCs/>
          <w:color w:val="808080"/>
          <w:sz w:val="20"/>
          <w:szCs w:val="20"/>
        </w:rPr>
        <w:t xml:space="preserve">Tabla 10: Ramas excluidas del núcleo o sin cobertura, por año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2800"/>
        <w:gridCol w:w="1560"/>
      </w:tblGrid>
      <w:tr>
        <w:trPr>
          <w:tblHeader/>
        </w:trPr>
        <w:tc>
          <w:tcPr>
            <w:tcW w:type="dxa" w:w="8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left"/>
            </w:pPr>
            <w:r>
              <w:rPr>
                <w:rFonts w:ascii="Times New Roman" w:cs="Times New Roman" w:eastAsia="Times New Roman" w:hAnsi="Times New Roman"/>
                <w:b/>
                <w:bCs/>
                <w:sz w:val="18"/>
                <w:szCs w:val="18"/>
              </w:rPr>
              <w:t xml:space="preserve">Rama</w:t>
            </w:r>
          </w:p>
        </w:tc>
        <w:tc>
          <w:tcPr>
            <w:tcW w:type="dxa" w:w="42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Nombre</w:t>
            </w:r>
          </w:p>
        </w:tc>
        <w:tc>
          <w:tcPr>
            <w:tcW w:type="dxa" w:w="28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Fuera del núcleo: años (municipios con UE)</w:t>
            </w:r>
          </w:p>
        </w:tc>
        <w:tc>
          <w:tcPr>
            <w:tcW w:type="dxa" w:w="156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18"/>
                <w:szCs w:val="18"/>
              </w:rPr>
              <w:t xml:space="preserve">Sin cobertura en el censo</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1151</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Servicios relacionados con la agricultura</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1152</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Servicios relacionados con la cría y explotación de animales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1153</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Servicios relacionados con el aprovechamiento forestal</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2121</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Minería de carbón mineral</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(11), 2008 (10), 2013 (10), 2023 (8)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2211</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Generación, transmisión, distribución y comercialización de energía eléctrica</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2013 (7)</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2212</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Suministro de gas natural por ductos al consumidor final</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2008 (6), 2013 (9), 2018 (6), 2023 (9)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3346</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Fabricación y reproducción de medios magnéticos y ópticos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2018 (9), 2023 (9)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3365</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Fabricación de equipo ferroviario</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4811</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Transporte aéreo regular</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4821</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Transporte por ferrocarril</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(5), 2008 (5), 2013 (4), 2018 (5), 2023 (6)</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4853</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Servicio de taxis y limusinas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4861</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Transporte de petróleo crudo por ductos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2008 (5)</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2003, 2013, 2018, 2023</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4862</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Transporte de gas natural por ductos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4869</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Transporte por ductos de otros productos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(1), 2013 (5), 2018 (6), 2023 (8)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4879</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Otro transporte turístico</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(2), 2008 (2), 2013 (3), 2018 (7)</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5174</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Operadores de servicios de telecomunicaciones vía satélite</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5211</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Banca central</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(1), 2008 (1), 2013 (1), 2018 (1), 2023 (1)</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5222</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Instituciones financieras de fomento económico</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(7), 2008 (6), 2013 (6), 2018 (5)</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5225</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Servicios relacionados con la intermediación crediticia no bursátil</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2018 (9)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5232</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Bolsa de valores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2008 (1), 2013 (1), 2018 (2), 2023 (2)</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5622</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Tratamiento y disposición final de residuos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2003, 2008, 2013</w:t>
            </w:r>
          </w:p>
        </w:tc>
      </w:tr>
      <w:tr>
        <w:trPr>
          <w:cantSplit/>
        </w:trP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5629</w:t>
            </w:r>
          </w:p>
        </w:tc>
        <w:tc>
          <w:tcPr>
            <w:tcW w:type="dxa" w:w="42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Servicios de remediación, recuperación, y otros servicios de manejo de residuos</w:t>
            </w:r>
          </w:p>
        </w:tc>
        <w:tc>
          <w:tcPr>
            <w:tcW w:type="dxa" w:w="280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2003, 2008, 2013</w:t>
            </w:r>
          </w:p>
        </w:tc>
      </w:tr>
    </w:tbl>
    <w:p>
      <w:pPr>
        <w:spacing w:after="240" w:before="60" w:line="240"/>
        <w:jc w:val="both"/>
      </w:pPr>
      <w:r>
        <w:rPr>
          <w:rFonts w:ascii="Times New Roman" w:cs="Times New Roman" w:eastAsia="Times New Roman" w:hAnsi="Times New Roman"/>
          <w:sz w:val="18"/>
          <w:szCs w:val="18"/>
        </w:rPr>
        <w:t xml:space="preserve">Fuente: elaboración propia con datos de los Censos Económicos 2004-2024 (INEGI).</w:t>
      </w:r>
    </w:p>
    <w:p>
      <w:pPr>
        <w:spacing w:after="0" w:before="0" w:line="480"/>
        <w:ind w:firstLine="720"/>
        <w:jc w:val="both"/>
      </w:pPr>
      <w:r>
        <w:rPr>
          <w:rFonts w:ascii="Times New Roman" w:cs="Times New Roman" w:eastAsia="Times New Roman" w:hAnsi="Times New Roman"/>
        </w:rPr>
        <w:t xml:space="preserve">Además de estas exclusiones mecánicas, se definieron cuatro reglas de exclusión </w:t>
      </w:r>
      <w:r>
        <w:rPr>
          <w:rFonts w:ascii="Times New Roman" w:cs="Times New Roman" w:eastAsia="Times New Roman" w:hAnsi="Times New Roman"/>
          <w:b/>
          <w:bCs/>
        </w:rPr>
        <w:t xml:space="preserve">solo como prueba de robustez</w:t>
      </w:r>
      <w:r>
        <w:rPr>
          <w:rFonts w:ascii="Times New Roman" w:cs="Times New Roman" w:eastAsia="Times New Roman" w:hAnsi="Times New Roman"/>
        </w:rPr>
        <w:t xml:space="preserve"> (no en la especificación base, para no introducir decisiones discrecionales). Cubren ramas cuya ubicación no refleja capacidades productivas locales: por mandato o monopolio estatal (R1), por ser servicios públicos de red con presencia obligatoria (R2) o por la geología (R3, que se presenta por separado porque la literatura de comercio sí incluye la minería), y su combinación (R4). Parte de estas ramas ya queda fuera del núcleo por el umbral de presencia (5211 y 5232, además de 2121 y 2212 en varios años). Como muestra la Tabla 6, excluirlas no altera el ordenamiento de municipios.</w:t>
      </w:r>
    </w:p>
    <w:p>
      <w:pPr>
        <w:pStyle w:val="Heading1"/>
        <w:keepNext/>
        <w:spacing w:after="0" w:before="240" w:line="480"/>
      </w:pPr>
      <w:r>
        <w:rPr>
          <w:rFonts w:ascii="Times New Roman" w:cs="Times New Roman" w:eastAsia="Times New Roman" w:hAnsi="Times New Roman"/>
          <w:b/>
          <w:bCs/>
          <w:sz w:val="24"/>
          <w:szCs w:val="24"/>
        </w:rPr>
        <w:t xml:space="preserve">6. Límites del modelo: endogeneidad y autoselección</w:t>
      </w:r>
    </w:p>
    <w:p>
      <w:pPr>
        <w:spacing w:after="0" w:before="0" w:line="480"/>
        <w:ind w:firstLine="720"/>
        <w:jc w:val="both"/>
      </w:pPr>
      <w:r>
        <w:rPr>
          <w:rFonts w:ascii="Times New Roman" w:cs="Times New Roman" w:eastAsia="Times New Roman" w:hAnsi="Times New Roman"/>
        </w:rPr>
        <w:t xml:space="preserve">El ICE es una medida descriptiva de la estructura productiva y su uso en el análisis de movilidad es asociativo. Las principales limitaciones son las siguientes.</w:t>
      </w:r>
    </w:p>
    <w:p>
      <w:pPr>
        <w:spacing w:after="0" w:before="0" w:line="480"/>
        <w:ind w:firstLine="720"/>
        <w:jc w:val="both"/>
      </w:pPr>
      <w:r>
        <w:rPr>
          <w:rFonts w:ascii="Times New Roman" w:cs="Times New Roman" w:eastAsia="Times New Roman" w:hAnsi="Times New Roman"/>
          <w:b/>
          <w:bCs/>
        </w:rPr>
        <w:t xml:space="preserve">Endogeneidad.</w:t>
      </w:r>
      <w:r>
        <w:rPr>
          <w:rFonts w:ascii="Times New Roman" w:cs="Times New Roman" w:eastAsia="Times New Roman" w:hAnsi="Times New Roman"/>
        </w:rPr>
        <w:t xml:space="preserve"> La complejidad de un municipio se correlaciona con otras características que también pueden influir en la movilidad: infraestructura, calidad de escuelas y servicios de salud, instituciones locales, capital humano previo o conectividad. Ninguna de ellas está en el índice, y si alguna se omite del modelo de movilidad, el coeficiente del ICE la absorberá. Además, como se mostró en la sección 5.3, el ICE se traslapa en 85-90% con la escala y la diversidad, de modo que el componente que puede identificarse por separado es pequeño. La causalidad inversa también es posible a nivel territorial: la acumulación de capital humano de una generación atrae actividades más complejas para la siguiente.</w:t>
      </w:r>
    </w:p>
    <w:p>
      <w:pPr>
        <w:spacing w:after="0" w:before="0" w:line="480"/>
        <w:ind w:firstLine="720"/>
        <w:jc w:val="both"/>
      </w:pPr>
      <w:r>
        <w:rPr>
          <w:rFonts w:ascii="Times New Roman" w:cs="Times New Roman" w:eastAsia="Times New Roman" w:hAnsi="Times New Roman"/>
          <w:b/>
          <w:bCs/>
        </w:rPr>
        <w:t xml:space="preserve">Autoselección y migración.</w:t>
      </w:r>
      <w:r>
        <w:rPr>
          <w:rFonts w:ascii="Times New Roman" w:cs="Times New Roman" w:eastAsia="Times New Roman" w:hAnsi="Times New Roman"/>
        </w:rPr>
        <w:t xml:space="preserve"> Las familias no se distribuyen al azar entre municipios: los hogares con más recursos o expectativas pueden concentrarse en municipios más complejos, lo que mezcla el efecto del territorio con el del hogar. Esto se mitiga parcialmente con el uso del municipio de residencia a los 14 años (anterior a las decisiones de la persona) y con controles de origen, pero no se elimina. El ICE del municipio de destino, en cambio, depende de la decisión de migrar, que es parte del propio resultado de movilidad; por eso se usa solo de manera descriptiva. El municipio a los 14 años es, además, autorreportado.</w:t>
      </w:r>
    </w:p>
    <w:p>
      <w:pPr>
        <w:spacing w:after="0" w:before="0" w:line="480"/>
        <w:ind w:firstLine="720"/>
        <w:jc w:val="both"/>
      </w:pPr>
      <w:r>
        <w:rPr>
          <w:rFonts w:ascii="Times New Roman" w:cs="Times New Roman" w:eastAsia="Times New Roman" w:hAnsi="Times New Roman"/>
          <w:b/>
          <w:bCs/>
        </w:rPr>
        <w:t xml:space="preserve">Medición del índice.</w:t>
      </w:r>
    </w:p>
    <w:p>
      <w:pPr>
        <w:pStyle w:val="ListParagraph"/>
        <w:numPr>
          <w:ilvl w:val="0"/>
          <w:numId w:val="2"/>
        </w:numPr>
        <w:spacing w:line="480"/>
        <w:jc w:val="both"/>
      </w:pPr>
      <w:r>
        <w:rPr>
          <w:rFonts w:ascii="Times New Roman" w:cs="Times New Roman" w:eastAsia="Times New Roman" w:hAnsi="Times New Roman"/>
        </w:rPr>
        <w:t xml:space="preserve">UE cuenta establecimientos, no producción ni empleo (sección 4.2).</w:t>
      </w:r>
    </w:p>
    <w:p>
      <w:pPr>
        <w:pStyle w:val="ListParagraph"/>
        <w:numPr>
          <w:ilvl w:val="0"/>
          <w:numId w:val="2"/>
        </w:numPr>
        <w:spacing w:line="480"/>
        <w:jc w:val="both"/>
      </w:pPr>
      <w:r>
        <w:rPr>
          <w:rFonts w:ascii="Times New Roman" w:cs="Times New Roman" w:eastAsia="Times New Roman" w:hAnsi="Times New Roman"/>
        </w:rPr>
        <w:t xml:space="preserve">Los Censos Económicos no cubren la agricultura (del sector 11 solo aparecen acuicultura, pesca y servicios agropecuarios), el gobierno ni el comercio ambulante. En los municipios rurales, el ICE describe solo una parte de su economía.</w:t>
      </w:r>
    </w:p>
    <w:p>
      <w:pPr>
        <w:pStyle w:val="ListParagraph"/>
        <w:numPr>
          <w:ilvl w:val="0"/>
          <w:numId w:val="2"/>
        </w:numPr>
        <w:spacing w:line="480"/>
        <w:jc w:val="both"/>
      </w:pPr>
      <w:r>
        <w:rPr>
          <w:rFonts w:ascii="Times New Roman" w:cs="Times New Roman" w:eastAsia="Times New Roman" w:hAnsi="Times New Roman"/>
        </w:rPr>
        <w:t xml:space="preserve">El ICE es relativo a cada año. La interpolación entre años censales combina posiciones relativas, y las ramas que cambian de cobertura se controlan con la variante de ramas comunes (Spearman ≥ 0.9995 con la base).</w:t>
      </w:r>
    </w:p>
    <w:p>
      <w:pPr>
        <w:pStyle w:val="ListParagraph"/>
        <w:numPr>
          <w:ilvl w:val="0"/>
          <w:numId w:val="2"/>
        </w:numPr>
        <w:spacing w:line="480"/>
        <w:jc w:val="both"/>
      </w:pPr>
      <w:r>
        <w:rPr>
          <w:rFonts w:ascii="Times New Roman" w:cs="Times New Roman" w:eastAsia="Times New Roman" w:hAnsi="Times New Roman"/>
        </w:rPr>
        <w:t xml:space="preserve">Entre 132 y 362 municipios por año tienen un ICE proyectado, no estimado, y los municipios con muy pocas ramas presentan empates (hasta 2.5% en 2003).</w:t>
      </w:r>
    </w:p>
    <w:p>
      <w:pPr>
        <w:pStyle w:val="ListParagraph"/>
        <w:numPr>
          <w:ilvl w:val="0"/>
          <w:numId w:val="2"/>
        </w:numPr>
        <w:spacing w:line="480"/>
        <w:jc w:val="both"/>
      </w:pPr>
      <w:r>
        <w:rPr>
          <w:rFonts w:ascii="Times New Roman" w:cs="Times New Roman" w:eastAsia="Times New Roman" w:hAnsi="Times New Roman"/>
        </w:rPr>
        <w:t xml:space="preserve">La geografía cambia entre censos (29 municipios creados entre 2003 y 2023 y 3 en 2024), y el ICE de un municipio que cedió territorio a uno nuevo no es estrictamente comparable antes y después de la división.</w:t>
      </w:r>
    </w:p>
    <w:p>
      <w:pPr>
        <w:spacing w:after="0" w:before="0" w:line="480"/>
        <w:ind w:firstLine="720"/>
        <w:jc w:val="both"/>
      </w:pPr>
      <w:r>
        <w:rPr>
          <w:rFonts w:ascii="Times New Roman" w:cs="Times New Roman" w:eastAsia="Times New Roman" w:hAnsi="Times New Roman"/>
          <w:b/>
          <w:bCs/>
        </w:rPr>
        <w:t xml:space="preserve">Validación.</w:t>
      </w:r>
      <w:r>
        <w:rPr>
          <w:rFonts w:ascii="Times New Roman" w:cs="Times New Roman" w:eastAsia="Times New Roman" w:hAnsi="Times New Roman"/>
        </w:rPr>
        <w:t xml:space="preserve"> La remuneración media y la productividad provienen de la misma fuente que el ICE. Además, no se pueden calcular en 462 municipio-año sin personal remunerado (con una mediana de 18 UE, y 71% de ellos fuera del núcleo), así que la validación describe a los municipios con empleo asalariado. En las regresiones de crecimiento, si el nivel inicial se mide con error, el ICE puede absorber parte de la reversión a la media; por eso esos coeficientes se interpretan como asociación y no como prueba de convergencia.</w:t>
      </w:r>
    </w:p>
    <w:p>
      <w:pPr>
        <w:spacing w:after="0" w:before="0" w:line="480"/>
        <w:ind w:firstLine="720"/>
        <w:jc w:val="both"/>
      </w:pPr>
      <w:r>
        <w:rPr>
          <w:rFonts w:ascii="Times New Roman" w:cs="Times New Roman" w:eastAsia="Times New Roman" w:hAnsi="Times New Roman"/>
          <w:b/>
          <w:bCs/>
        </w:rPr>
        <w:t xml:space="preserve">Inferencia.</w:t>
      </w:r>
      <w:r>
        <w:rPr>
          <w:rFonts w:ascii="Times New Roman" w:cs="Times New Roman" w:eastAsia="Times New Roman" w:hAnsi="Times New Roman"/>
        </w:rPr>
        <w:t xml:space="preserve"> El ICE es un regresor estimado y su incertidumbre (por ejemplo, ante distintos umbrales) no se propaga automáticamente a los errores estándar del modelo de movilidad. Esta incertidumbre se aborda volviendo a estimar el modelo con las 33 especificaciones alternativas. La dependencia espacial entre municipios vecinos se atiende con errores agrupados por estado y, como robustez, con errores de Conley.</w:t>
      </w:r>
    </w:p>
    <w:p>
      <w:pPr>
        <w:pStyle w:val="Heading1"/>
        <w:keepNext/>
        <w:spacing w:after="0" w:before="240" w:line="480"/>
      </w:pPr>
      <w:r>
        <w:rPr>
          <w:rFonts w:ascii="Times New Roman" w:cs="Times New Roman" w:eastAsia="Times New Roman" w:hAnsi="Times New Roman"/>
          <w:b/>
          <w:bCs/>
          <w:sz w:val="24"/>
          <w:szCs w:val="24"/>
        </w:rPr>
        <w:t xml:space="preserve">7. Resultados y contextualización de México (2003-2023)</w:t>
      </w:r>
    </w:p>
    <w:p>
      <w:pPr>
        <w:pStyle w:val="Heading2"/>
        <w:keepNext/>
        <w:spacing w:after="0" w:before="120" w:line="480"/>
      </w:pPr>
      <w:r>
        <w:rPr>
          <w:rFonts w:ascii="Times New Roman" w:cs="Times New Roman" w:eastAsia="Times New Roman" w:hAnsi="Times New Roman"/>
          <w:b/>
          <w:bCs/>
          <w:i/>
          <w:iCs/>
          <w:sz w:val="24"/>
          <w:szCs w:val="24"/>
        </w:rPr>
        <w:t xml:space="preserve">7.1 Distribución territorial de la complejidad</w:t>
      </w:r>
    </w:p>
    <w:p>
      <w:pPr>
        <w:spacing w:after="0" w:before="0" w:line="480"/>
        <w:ind w:firstLine="720"/>
        <w:jc w:val="both"/>
      </w:pPr>
      <w:r>
        <w:rPr>
          <w:rFonts w:ascii="Times New Roman" w:cs="Times New Roman" w:eastAsia="Times New Roman" w:hAnsi="Times New Roman"/>
        </w:rPr>
        <w:t xml:space="preserve">El Mapa 1 muestra el ICE municipal en 2023. Los valores más altos se concentran en las zonas metropolitanas del norte (Monterrey y su área conurbada, Ciudad Juárez, Reynosa, Tijuana), el Bajío (Querétaro), Guadalajara y el Valle de México. Los diez municipios más complejos en 2023 son Apodaca, Álvaro Obregón, Querétaro, Miguel Hidalgo, Reynosa, Juárez, Benito Juárez, Monterrey, San Pedro Garza García y Tlalnepantla de Baz. En el extremo opuesto, 45 de los 50 municipios menos complejos están en Oaxaca, y los demás en Guerrero, Chiapas, Puebla y Yucatán.</w:t>
      </w:r>
    </w:p>
    <w:p>
      <w:pPr>
        <w:keepNext/>
        <w:spacing w:after="0" w:before="120"/>
        <w:jc w:val="center"/>
      </w:pPr>
      <w:r>
        <w:drawing>
          <wp:inline distT="0" distB="0" distL="0" distR="0">
            <wp:extent cx="5762625" cy="4848225"/>
            <wp:effectExtent t="0" r="0" b="0" l="0"/>
            <wp:docPr id="1" name="G11_mapa_ice_2023.png" descr="Distribución espacial del ICE municipal, México, 2023" title="Distribución espacial del ICE municipal, México,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84822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Mapa 1: Distribución espacial del ICE municipal, México, 2023</w:t>
      </w:r>
    </w:p>
    <w:p>
      <w:pPr>
        <w:spacing w:after="0" w:before="0" w:line="480"/>
        <w:ind w:firstLine="720"/>
        <w:jc w:val="both"/>
      </w:pPr>
      <w:r>
        <w:rPr>
          <w:rFonts w:ascii="Times New Roman" w:cs="Times New Roman" w:eastAsia="Times New Roman" w:hAnsi="Times New Roman"/>
        </w:rPr>
        <w:t xml:space="preserve">Las Gráficas 4 y 5 comparan la distribución por región del CEEY en 2003 y 2023. La mediana del ICE del Sur pasó de −0.80 a −0.65 desviaciones estándar, mientras que la de las demás regiones se ubica alrededor de cero (Centro 0.10, Centro-norte 0.11, Norte-occidente 0.05 y Norte −0.07 en 2023). En 2023, 79% de los municipios del Sur está por debajo de la media del núcleo, y 35.5% de ellos pertenece al quintil nacional más bajo, frente a entre 3% y 9% en las otras regiones. El Norte presenta un patrón polarizado: 34% de sus municipios está en el quintil más alto (los centros urbanos e industriales), pero su mediana es negativa por los municipios rurales del interior de Sonora y Chihuahua. La fractura territorial es, por lo tanto, entre el Sur y el resto del país, más que un gradiente norte-sur continuo.</w:t>
      </w:r>
    </w:p>
    <w:p>
      <w:pPr>
        <w:keepNext/>
        <w:spacing w:after="0" w:before="120"/>
        <w:jc w:val="center"/>
      </w:pPr>
      <w:r>
        <w:drawing>
          <wp:inline distT="0" distB="0" distL="0" distR="0">
            <wp:extent cx="5486400" cy="3295650"/>
            <wp:effectExtent t="0" r="0" b="0" l="0"/>
            <wp:docPr id="1" name="G07_violin_regiones_2003.png" descr="Distribución del ICE municipal por región CEEY, México, 2003" title="Distribución del ICE municipal por región CEEY, México,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4: Distribución del ICE municipal por región CEEY, México, 2003</w:t>
      </w:r>
    </w:p>
    <w:p>
      <w:pPr>
        <w:keepNext/>
        <w:spacing w:after="0" w:before="120"/>
        <w:jc w:val="center"/>
      </w:pPr>
      <w:r>
        <w:drawing>
          <wp:inline distT="0" distB="0" distL="0" distR="0">
            <wp:extent cx="5486400" cy="3295650"/>
            <wp:effectExtent t="0" r="0" b="0" l="0"/>
            <wp:docPr id="1" name="G07_violin_regiones_2023.png" descr="Distribución del ICE municipal por región CEEY, México, 2023" title="Distribución del ICE municipal por región CEEY, México,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29565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5: Distribución del ICE municipal por región CEEY, México, 2023</w:t>
      </w:r>
    </w:p>
    <w:p>
      <w:pPr>
        <w:pStyle w:val="Heading2"/>
        <w:keepNext/>
        <w:spacing w:after="0" w:before="120" w:line="480"/>
      </w:pPr>
      <w:r>
        <w:rPr>
          <w:rFonts w:ascii="Times New Roman" w:cs="Times New Roman" w:eastAsia="Times New Roman" w:hAnsi="Times New Roman"/>
          <w:b/>
          <w:bCs/>
          <w:i/>
          <w:iCs/>
          <w:sz w:val="24"/>
          <w:szCs w:val="24"/>
        </w:rPr>
        <w:t xml:space="preserve">7.2 Complejidad actual y potencial de diversificación</w:t>
      </w:r>
    </w:p>
    <w:p>
      <w:pPr>
        <w:spacing w:after="0" w:before="0" w:line="480"/>
        <w:ind w:firstLine="720"/>
        <w:jc w:val="both"/>
      </w:pPr>
      <w:r>
        <w:rPr>
          <w:rFonts w:ascii="Times New Roman" w:cs="Times New Roman" w:eastAsia="Times New Roman" w:hAnsi="Times New Roman"/>
        </w:rPr>
        <w:t xml:space="preserve">La Gráfica 6 relaciona el ICE con el COI. El Sur combina baja complejidad actual con bajo potencial de diversificación (mediana del COI de −0.70 en 2023): sus municipios no solo tienen pocas capacidades, sino que están lejos de las actividades complejas a las que podrían diversificarse. En general, el COI crece con el ICE: los municipios con más capacidades también están más cerca de nuevas actividades complejas, lo que tiende a reproducir la brecha. En el Norte, el COI mediano también es bajo (−0.32), pero por la polarización de la región: sus municipios rurales tienen un COI muy bajo, mientras que sus centros urbanos del quintil superior tienen una mediana de 1.90.</w:t>
      </w:r>
    </w:p>
    <w:p>
      <w:pPr>
        <w:keepNext/>
        <w:spacing w:after="0" w:before="120"/>
        <w:jc w:val="center"/>
      </w:pPr>
      <w:r>
        <w:drawing>
          <wp:inline distT="0" distB="0" distL="0" distR="0">
            <wp:extent cx="5486400" cy="4848225"/>
            <wp:effectExtent t="0" r="0" b="0" l="0"/>
            <wp:docPr id="1" name="G08_ice_coi_norte_sur_2023.png" descr="Complejidad actual (ICE) y potencial de diversificación (COI), Norte vs. Sur, México, 2023" title="Complejidad actual (ICE) y potencial de diversificación (COI), Norte vs. Sur, México,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84822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6: Complejidad actual (ICE) y potencial de diversificación (COI), Norte vs. Sur, México, 2023</w:t>
      </w:r>
    </w:p>
    <w:p>
      <w:pPr>
        <w:pStyle w:val="Heading2"/>
        <w:keepNext/>
        <w:spacing w:after="0" w:before="120" w:line="480"/>
      </w:pPr>
      <w:r>
        <w:rPr>
          <w:rFonts w:ascii="Times New Roman" w:cs="Times New Roman" w:eastAsia="Times New Roman" w:hAnsi="Times New Roman"/>
          <w:b/>
          <w:bCs/>
          <w:i/>
          <w:iCs/>
          <w:sz w:val="24"/>
          <w:szCs w:val="24"/>
        </w:rPr>
        <w:t xml:space="preserve">7.3 Barreras de entrada tecnológicas</w:t>
      </w:r>
    </w:p>
    <w:p>
      <w:pPr>
        <w:spacing w:after="0" w:before="0" w:line="480"/>
        <w:ind w:firstLine="720"/>
        <w:jc w:val="both"/>
      </w:pPr>
      <w:r>
        <w:rPr>
          <w:rFonts w:ascii="Times New Roman" w:cs="Times New Roman" w:eastAsia="Times New Roman" w:hAnsi="Times New Roman"/>
        </w:rPr>
        <w:t xml:space="preserve">Las ramas más complejas en 2023 son servicios financieros, transporte aéreo y fabricación de computadoras (Gráfica 7), y se ubican en pocos municipios (ubicuidad de 10 a 28). La distancia tecnológica a estas actividades revela barreras de entrada marcadas. Entre los municipios de los dos quintiles inferiores de ICE, ninguno tiene ventaja comparativa en alguna de las 20 ramas más complejas, y su distancia promedio a ellas es de 0.98 a 0.99 (en una escala de 0 a 1). En el quintil superior, 42% tiene ventaja en al menos una de esas ramas y la distancia promedio es de 0.80.</w:t>
      </w:r>
    </w:p>
    <w:p>
      <w:pPr>
        <w:keepNext/>
        <w:spacing w:after="0" w:before="120"/>
        <w:jc w:val="center"/>
      </w:pPr>
      <w:r>
        <w:drawing>
          <wp:inline distT="0" distB="0" distL="0" distR="0">
            <wp:extent cx="5943600" cy="3038475"/>
            <wp:effectExtent t="0" r="0" b="0" l="0"/>
            <wp:docPr id="1" name="G04_top5_ramas_pci_2023.png" descr="Las cinco ramas con mayor complejidad de producto (PCI), México, 2023" title="Las cinco ramas con mayor complejidad de producto (PCI), México,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03847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7: Las cinco ramas con mayor complejidad de producto (PCI), México, 2023</w:t>
      </w:r>
    </w:p>
    <w:p>
      <w:pPr>
        <w:spacing w:after="0" w:before="0" w:line="480"/>
        <w:ind w:firstLine="720"/>
        <w:jc w:val="both"/>
      </w:pPr>
      <w:r>
        <w:rPr>
          <w:rFonts w:ascii="Times New Roman" w:cs="Times New Roman" w:eastAsia="Times New Roman" w:hAnsi="Times New Roman"/>
        </w:rPr>
        <w:t xml:space="preserve">Las Gráficas 8 y 9 contrastan a los cinco municipios más y menos complejos. Los primeros tienen ventaja comparativa en muchas ramas de PCI alto, a distancias cortas; los segundos solo la tienen en ramas de baja complejidad (comercio de abarrotes, preparación de alimentos, servicios básicos) y enfrentan distancias cercanas a uno respecto de cualquier actividad compleja. Para estos municipios, una diversificación gradual hacia ramas cercanas no alcanza las actividades complejas, porque no hay ramas intermedias próximas.</w:t>
      </w:r>
    </w:p>
    <w:p>
      <w:pPr>
        <w:keepNext/>
        <w:spacing w:after="0" w:before="120"/>
        <w:jc w:val="center"/>
      </w:pPr>
      <w:r>
        <w:drawing>
          <wp:inline distT="0" distB="0" distL="0" distR="0">
            <wp:extent cx="5124450" cy="3810000"/>
            <wp:effectExtent t="0" r="0" b="0" l="0"/>
            <wp:docPr id="1" name="G02_distancia_pci_top5_municipios_2023.png" descr="Distancia tecnológica y PCI de los cinco municipios con mayor ICE, México, 2023" title="Distancia tecnológica y PCI de los cinco municipios con mayor ICE, México,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81000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8: Distancia tecnológica y PCI de los cinco municipios con mayor ICE, México, 2023</w:t>
      </w:r>
    </w:p>
    <w:p>
      <w:pPr>
        <w:keepNext/>
        <w:spacing w:after="0" w:before="120"/>
        <w:jc w:val="center"/>
      </w:pPr>
      <w:r>
        <w:drawing>
          <wp:inline distT="0" distB="0" distL="0" distR="0">
            <wp:extent cx="5124450" cy="2819400"/>
            <wp:effectExtent t="0" r="0" b="0" l="0"/>
            <wp:docPr id="1" name="G03_distancia_pci_bottom5_municipios_2023.png" descr="Distancia tecnológica y PCI de los cinco municipios con menor ICE, México, 2023" title="Distancia tecnológica y PCI de los cinco municipios con menor ICE, México,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281940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Gráfica 9: Distancia tecnológica y PCI de los cinco municipios con menor ICE, México, 2023</w:t>
      </w:r>
    </w:p>
    <w:p>
      <w:pPr>
        <w:pStyle w:val="Heading2"/>
        <w:keepNext/>
        <w:spacing w:after="0" w:before="120" w:line="480"/>
      </w:pPr>
      <w:r>
        <w:rPr>
          <w:rFonts w:ascii="Times New Roman" w:cs="Times New Roman" w:eastAsia="Times New Roman" w:hAnsi="Times New Roman"/>
          <w:b/>
          <w:bCs/>
          <w:i/>
          <w:iCs/>
          <w:sz w:val="24"/>
          <w:szCs w:val="24"/>
        </w:rPr>
        <w:t xml:space="preserve">7.4 Inmovilidad estructural: pisos y techos pegajosos</w:t>
      </w:r>
    </w:p>
    <w:p>
      <w:pPr>
        <w:spacing w:after="0" w:before="0" w:line="480"/>
        <w:ind w:firstLine="720"/>
        <w:jc w:val="both"/>
      </w:pPr>
      <w:r>
        <w:rPr>
          <w:rFonts w:ascii="Times New Roman" w:cs="Times New Roman" w:eastAsia="Times New Roman" w:hAnsi="Times New Roman"/>
        </w:rPr>
        <w:t xml:space="preserve">La Matriz 1 documenta la persistencia de la posición relativa de los municipios entre 2003 y 2023 (2,443 municipios presentes en ambos años). El 60.7% permaneció en el mismo quintil y 96.2% se movió a lo sumo un quintil; solo 0.5% se desplazó tres o más quintiles. Los extremos son los más persistentes: 69.7% de los municipios que estaban en el quintil más bajo en 2003 seguía ahí en 2023 (piso pegajoso), y 83.4% de los del quintil más alto conservó su posición (techo pegajoso). Solo 5 municipios pasaron del quintil más bajo a los dos superiores y ninguno cayó del más alto a los dos inferiores. La correlación de rangos entre ambos años es de 0.91.</w:t>
      </w:r>
    </w:p>
    <w:p>
      <w:pPr>
        <w:keepNext/>
        <w:spacing w:after="0" w:before="120"/>
        <w:jc w:val="center"/>
      </w:pPr>
      <w:r>
        <w:drawing>
          <wp:inline distT="0" distB="0" distL="0" distR="0">
            <wp:extent cx="4752975" cy="4429125"/>
            <wp:effectExtent t="0" r="0" b="0" l="0"/>
            <wp:docPr id="1" name="G09_transicion_nacional_2003_2023.png" descr="Matriz de transición de quintiles del ICE municipal, México, 2003-2023" title="Matriz de transición de quintiles del ICE municipal, México, 2003-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442912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Matriz 1: Matriz de transición de quintiles del ICE municipal, México, 2003-2023</w:t>
      </w:r>
    </w:p>
    <w:p>
      <w:pPr>
        <w:spacing w:after="0" w:before="0" w:line="480"/>
        <w:ind w:firstLine="720"/>
        <w:jc w:val="both"/>
      </w:pPr>
      <w:r>
        <w:rPr>
          <w:rFonts w:ascii="Times New Roman" w:cs="Times New Roman" w:eastAsia="Times New Roman" w:hAnsi="Times New Roman"/>
        </w:rPr>
        <w:t xml:space="preserve">Por región (Matriz 2), el piso pegajoso es más fuerte en el Norte-occidente (75.0%) y el Sur (72.5%), y el techo pegajoso alcanza 88-90% en el Norte, el Centro-norte y el Centro. El Sur es la única región donde el techo es menos firme (68.2%): sus pocos municipios complejos tienden a perder posición. El Mapa 2 resume estas dinámicas: 803 municipios permanecieron en los dos quintiles inferiores en ambos años (rezago persistente), concentrados en Oaxaca (427), Puebla (88), Veracruz (61), Yucatán (49) y Chiapas (42); 695 se mantuvieron en los dos superiores sin cambiar de quintil, sobre todo en el norte y el centro; 350 subieron y 363 bajaron de quintil.</w:t>
      </w:r>
    </w:p>
    <w:p>
      <w:pPr>
        <w:keepNext/>
        <w:spacing w:after="0" w:before="120"/>
        <w:jc w:val="center"/>
      </w:pPr>
      <w:r>
        <w:drawing>
          <wp:inline distT="0" distB="0" distL="0" distR="0">
            <wp:extent cx="5943600" cy="3619500"/>
            <wp:effectExtent t="0" r="0" b="0" l="0"/>
            <wp:docPr id="1" name="G10_transicion_regional_2003_2023.png" descr="Matrices de transición de quintiles del ICE municipal por región CEEY, México, 2003-2023" title="Matrices de transición de quintiles del ICE municipal por región CEEY, México, 2003-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619500"/>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Matriz 2: Matrices de transición de quintiles del ICE municipal por región CEEY, México, 2003-2023</w:t>
      </w:r>
    </w:p>
    <w:p>
      <w:pPr>
        <w:keepNext/>
        <w:spacing w:after="0" w:before="120"/>
        <w:jc w:val="center"/>
      </w:pPr>
      <w:r>
        <w:drawing>
          <wp:inline distT="0" distB="0" distL="0" distR="0">
            <wp:extent cx="5762625" cy="4181475"/>
            <wp:effectExtent t="0" r="0" b="0" l="0"/>
            <wp:docPr id="1" name="G13_mapa_tipologias_2003_2023.png" descr="Tipología de movilidad de la complejidad económica municipal, México, 2003-2023" title="Tipología de movilidad de la complejidad económica municipal, México, 2003-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4181475"/>
                    </a:xfrm>
                    <a:prstGeom prst="rect">
                      <a:avLst/>
                    </a:prstGeom>
                  </pic:spPr>
                </pic:pic>
              </a:graphicData>
            </a:graphic>
          </wp:inline>
        </w:drawing>
      </w:r>
    </w:p>
    <w:p>
      <w:pPr>
        <w:spacing w:after="240" w:before="60"/>
        <w:jc w:val="center"/>
      </w:pPr>
      <w:r>
        <w:rPr>
          <w:rFonts w:ascii="Times New Roman" w:cs="Times New Roman" w:eastAsia="Times New Roman" w:hAnsi="Times New Roman"/>
          <w:i/>
          <w:iCs/>
          <w:color w:val="808080"/>
          <w:sz w:val="20"/>
          <w:szCs w:val="20"/>
        </w:rPr>
        <w:t xml:space="preserve">Mapa 2: Tipología de movilidad de la complejidad económica municipal, México, 2003-2023</w:t>
      </w:r>
    </w:p>
    <w:p>
      <w:pPr>
        <w:spacing w:after="0" w:before="0" w:line="480"/>
        <w:ind w:firstLine="720"/>
        <w:jc w:val="both"/>
      </w:pPr>
      <w:r>
        <w:rPr>
          <w:rFonts w:ascii="Times New Roman" w:cs="Times New Roman" w:eastAsia="Times New Roman" w:hAnsi="Times New Roman"/>
        </w:rPr>
        <w:t xml:space="preserve">Dos precisiones son necesarias para interpretar estas matrices. Primera, como el ICE se estandariza en cada año, la persistencia se refiere a posiciones relativas: un municipio puede haber ganado capacidades y aun así mantenerse en su quintil si el resto avanzó al mismo ritmo. Segunda, las matrices son descriptivas: documentan la inmovilidad, pero no identifican sus causas.</w:t>
      </w:r>
    </w:p>
    <w:p>
      <w:pPr>
        <w:pStyle w:val="Heading2"/>
        <w:keepNext/>
        <w:spacing w:after="0" w:before="120" w:line="480"/>
      </w:pPr>
      <w:r>
        <w:rPr>
          <w:rFonts w:ascii="Times New Roman" w:cs="Times New Roman" w:eastAsia="Times New Roman" w:hAnsi="Times New Roman"/>
          <w:b/>
          <w:bCs/>
          <w:i/>
          <w:iCs/>
          <w:sz w:val="24"/>
          <w:szCs w:val="24"/>
        </w:rPr>
        <w:t xml:space="preserve">7.5 Hallazgos espaciales</w:t>
      </w:r>
    </w:p>
    <w:p>
      <w:pPr>
        <w:spacing w:after="0" w:before="0" w:line="480"/>
        <w:ind w:firstLine="720"/>
        <w:jc w:val="both"/>
      </w:pPr>
      <w:r>
        <w:rPr>
          <w:rFonts w:ascii="Times New Roman" w:cs="Times New Roman" w:eastAsia="Times New Roman" w:hAnsi="Times New Roman"/>
          <w:b/>
          <w:bCs/>
        </w:rPr>
        <w:t xml:space="preserve">La fractura Norte-Sur.</w:t>
      </w:r>
      <w:r>
        <w:rPr>
          <w:rFonts w:ascii="Times New Roman" w:cs="Times New Roman" w:eastAsia="Times New Roman" w:hAnsi="Times New Roman"/>
        </w:rPr>
        <w:t xml:space="preserve"> La brecha de complejidad separa al Sur del resto del país y se mantuvo durante dos décadas. El Sur tiene la mediana de ICE más baja (−0.65 en 2023), concentra a más de un tercio de sus municipios en el quintil nacional inferior y tiene el menor potencial de diversificación. El Norte no es homogéneamente complejo: combina polos urbano-industriales de alta complejidad con un interior rural de baja complejidad.</w:t>
      </w:r>
    </w:p>
    <w:p>
      <w:pPr>
        <w:spacing w:after="0" w:before="0" w:line="480"/>
        <w:ind w:firstLine="720"/>
        <w:jc w:val="both"/>
      </w:pPr>
      <w:r>
        <w:rPr>
          <w:rFonts w:ascii="Times New Roman" w:cs="Times New Roman" w:eastAsia="Times New Roman" w:hAnsi="Times New Roman"/>
          <w:b/>
          <w:bCs/>
        </w:rPr>
        <w:t xml:space="preserve">Inmovilidad estructural.</w:t>
      </w:r>
      <w:r>
        <w:rPr>
          <w:rFonts w:ascii="Times New Roman" w:cs="Times New Roman" w:eastAsia="Times New Roman" w:hAnsi="Times New Roman"/>
        </w:rPr>
        <w:t xml:space="preserve"> La estructura productiva municipal es muy persistente (correlación de rangos de 0.91 en veinte años, 96% de los municipios a un quintil o menos de su posición original), con pisos y techos pegajosos. Este patrón es paralelo a la persistencia intergeneracional que documenta el CEEY para los recursos de los hogares, y es la motivación empírica para preguntar si crecer en un municipio de baja complejidad se asocia con menor movilidad.</w:t>
      </w:r>
    </w:p>
    <w:p>
      <w:pPr>
        <w:spacing w:after="0" w:before="0" w:line="480"/>
        <w:ind w:firstLine="720"/>
        <w:jc w:val="both"/>
      </w:pPr>
      <w:r>
        <w:rPr>
          <w:rFonts w:ascii="Times New Roman" w:cs="Times New Roman" w:eastAsia="Times New Roman" w:hAnsi="Times New Roman"/>
          <w:b/>
          <w:bCs/>
        </w:rPr>
        <w:t xml:space="preserve">Barreras de entrada tecnológicas.</w:t>
      </w:r>
      <w:r>
        <w:rPr>
          <w:rFonts w:ascii="Times New Roman" w:cs="Times New Roman" w:eastAsia="Times New Roman" w:hAnsi="Times New Roman"/>
        </w:rPr>
        <w:t xml:space="preserve"> Las actividades complejas están a una distancia casi máxima de las capacidades de los municipios de baja complejidad, sin ramas intermedias que permitan una diversificación gradual. En los términos del espacio de producto, estos municipios están en la periferia de la red, lejos del núcleo donde se ubican las actividades complejas.</w:t>
      </w:r>
    </w:p>
    <w:p>
      <w:pPr>
        <w:spacing w:after="0" w:before="0" w:line="480"/>
        <w:ind w:firstLine="720"/>
        <w:jc w:val="both"/>
      </w:pPr>
      <w:r>
        <w:rPr>
          <w:rFonts w:ascii="Times New Roman" w:cs="Times New Roman" w:eastAsia="Times New Roman" w:hAnsi="Times New Roman"/>
        </w:rPr>
        <w:t xml:space="preserve">Estos hallazgos son descriptivos y se interpretan con las limitaciones de la sección 6. En particular, el traslape entre complejidad y escala implica que la geografía de la complejidad es, en buena medida, también la geografía de la urbanización. El aporte del ICE al análisis de movilidad dependerá de que su componente independiente de la escala conserve una asociación con los resultados de las personas.</w:t>
      </w:r>
    </w:p>
    <w:p>
      <w:r>
        <w:br w:type="page"/>
      </w:r>
    </w:p>
    <w:p>
      <w:pPr>
        <w:spacing w:line="480"/>
        <w:jc w:val="center"/>
      </w:pPr>
      <w:r>
        <w:rPr>
          <w:rFonts w:ascii="Times New Roman" w:cs="Times New Roman" w:eastAsia="Times New Roman" w:hAnsi="Times New Roman"/>
          <w:b/>
          <w:bCs/>
        </w:rPr>
        <w:t xml:space="preserve">REFERENCIAS</w:t>
      </w:r>
    </w:p>
    <w:p>
      <w:pPr>
        <w:spacing w:line="480"/>
        <w:ind w:left="720" w:hanging="720"/>
      </w:pPr>
      <w:r>
        <w:rPr>
          <w:rFonts w:ascii="Times New Roman" w:cs="Times New Roman" w:eastAsia="Times New Roman" w:hAnsi="Times New Roman"/>
        </w:rPr>
        <w:t xml:space="preserve">Centro de Estudios Espinosa Yglesias (CEEY). (2023). </w:t>
      </w:r>
      <w:r>
        <w:rPr>
          <w:rFonts w:ascii="Times New Roman" w:cs="Times New Roman" w:eastAsia="Times New Roman" w:hAnsi="Times New Roman"/>
          <w:i/>
          <w:iCs/>
        </w:rPr>
        <w:t xml:space="preserve">Encuesta ESRU de Movilidad Social en México 2023 (ESRU-EMOVI 2023)</w:t>
      </w:r>
      <w:r>
        <w:rPr>
          <w:rFonts w:ascii="Times New Roman" w:cs="Times New Roman" w:eastAsia="Times New Roman" w:hAnsi="Times New Roman"/>
        </w:rPr>
        <w:t xml:space="preserve"> [Base de datos]. CEEY.</w:t>
      </w:r>
    </w:p>
    <w:p>
      <w:pPr>
        <w:spacing w:line="480"/>
        <w:ind w:left="720" w:hanging="720"/>
      </w:pPr>
      <w:r>
        <w:rPr>
          <w:rFonts w:ascii="Times New Roman" w:cs="Times New Roman" w:eastAsia="Times New Roman" w:hAnsi="Times New Roman"/>
        </w:rPr>
        <w:t xml:space="preserve">Hartmann, D., Guevara, M. R., Jara-Figueroa, C., Aristarán, M., &amp; Hidalgo, C. A. (2017). Linking economic complexity, institutions, and income inequality. </w:t>
      </w:r>
      <w:r>
        <w:rPr>
          <w:rFonts w:ascii="Times New Roman" w:cs="Times New Roman" w:eastAsia="Times New Roman" w:hAnsi="Times New Roman"/>
          <w:i/>
          <w:iCs/>
        </w:rPr>
        <w:t xml:space="preserve">World Development, 93</w:t>
      </w:r>
      <w:r>
        <w:rPr>
          <w:rFonts w:ascii="Times New Roman" w:cs="Times New Roman" w:eastAsia="Times New Roman" w:hAnsi="Times New Roman"/>
        </w:rPr>
        <w:t xml:space="preserve">, 75–93. https://doi.org/10.1016/j.worlddev.2016.12.020</w:t>
      </w:r>
    </w:p>
    <w:p>
      <w:pPr>
        <w:spacing w:line="480"/>
        <w:ind w:left="720" w:hanging="720"/>
      </w:pPr>
      <w:r>
        <w:rPr>
          <w:rFonts w:ascii="Times New Roman" w:cs="Times New Roman" w:eastAsia="Times New Roman" w:hAnsi="Times New Roman"/>
        </w:rPr>
        <w:t xml:space="preserve">Hausmann, R., Hidalgo, C. A., Bustos, S., Coscia, M., Simoes, A., &amp; Yıldırım, M. A. (2013). </w:t>
      </w:r>
      <w:r>
        <w:rPr>
          <w:rFonts w:ascii="Times New Roman" w:cs="Times New Roman" w:eastAsia="Times New Roman" w:hAnsi="Times New Roman"/>
          <w:i/>
          <w:iCs/>
        </w:rPr>
        <w:t xml:space="preserve">The Atlas of Economic Complexity: Mapping Paths to Prosperity</w:t>
      </w:r>
      <w:r>
        <w:rPr>
          <w:rFonts w:ascii="Times New Roman" w:cs="Times New Roman" w:eastAsia="Times New Roman" w:hAnsi="Times New Roman"/>
        </w:rPr>
        <w:t xml:space="preserve">. MIT Press.</w:t>
      </w:r>
    </w:p>
    <w:p>
      <w:pPr>
        <w:spacing w:line="480"/>
        <w:ind w:left="720" w:hanging="720"/>
      </w:pPr>
      <w:r>
        <w:rPr>
          <w:rFonts w:ascii="Times New Roman" w:cs="Times New Roman" w:eastAsia="Times New Roman" w:hAnsi="Times New Roman"/>
        </w:rPr>
        <w:t xml:space="preserve">Hidalgo, C. A., &amp; Hausmann, R. (2009). The building blocks of economic complexity. </w:t>
      </w:r>
      <w:r>
        <w:rPr>
          <w:rFonts w:ascii="Times New Roman" w:cs="Times New Roman" w:eastAsia="Times New Roman" w:hAnsi="Times New Roman"/>
          <w:i/>
          <w:iCs/>
        </w:rPr>
        <w:t xml:space="preserve">Proceedings of the National Academy of Sciences, 106</w:t>
      </w:r>
      <w:r>
        <w:rPr>
          <w:rFonts w:ascii="Times New Roman" w:cs="Times New Roman" w:eastAsia="Times New Roman" w:hAnsi="Times New Roman"/>
        </w:rPr>
        <w:t xml:space="preserve">(26), 10570–10575. https://doi.org/10.1073/pnas.0900943106</w:t>
      </w:r>
    </w:p>
    <w:p>
      <w:pPr>
        <w:spacing w:line="480"/>
        <w:ind w:left="720" w:hanging="720"/>
      </w:pPr>
      <w:r>
        <w:rPr>
          <w:rFonts w:ascii="Times New Roman" w:cs="Times New Roman" w:eastAsia="Times New Roman" w:hAnsi="Times New Roman"/>
        </w:rPr>
        <w:t xml:space="preserve">Hidalgo, C. A., Klinger, B., Barabási, A.-L., &amp; Hausmann, R. (2007). The product space conditions the development of nations. </w:t>
      </w:r>
      <w:r>
        <w:rPr>
          <w:rFonts w:ascii="Times New Roman" w:cs="Times New Roman" w:eastAsia="Times New Roman" w:hAnsi="Times New Roman"/>
          <w:i/>
          <w:iCs/>
        </w:rPr>
        <w:t xml:space="preserve">Science, 317</w:t>
      </w:r>
      <w:r>
        <w:rPr>
          <w:rFonts w:ascii="Times New Roman" w:cs="Times New Roman" w:eastAsia="Times New Roman" w:hAnsi="Times New Roman"/>
        </w:rPr>
        <w:t xml:space="preserve">(5837), 482–487. https://doi.org/10.1126/science.1144581</w:t>
      </w:r>
    </w:p>
    <w:p>
      <w:pPr>
        <w:spacing w:line="480"/>
        <w:ind w:left="720" w:hanging="720"/>
      </w:pPr>
      <w:r>
        <w:rPr>
          <w:rFonts w:ascii="Times New Roman" w:cs="Times New Roman" w:eastAsia="Times New Roman" w:hAnsi="Times New Roman"/>
        </w:rPr>
        <w:t xml:space="preserve">Instituto Nacional de Estadística y Geografía (INEGI). (2025). </w:t>
      </w:r>
      <w:r>
        <w:rPr>
          <w:rFonts w:ascii="Times New Roman" w:cs="Times New Roman" w:eastAsia="Times New Roman" w:hAnsi="Times New Roman"/>
          <w:i/>
          <w:iCs/>
        </w:rPr>
        <w:t xml:space="preserve">Censos Económicos 2024. Resultados definitivos. Sistema Automatizado de Información Censal (SAIC)</w:t>
      </w:r>
      <w:r>
        <w:rPr>
          <w:rFonts w:ascii="Times New Roman" w:cs="Times New Roman" w:eastAsia="Times New Roman" w:hAnsi="Times New Roman"/>
        </w:rPr>
        <w:t xml:space="preserve"> [Base de datos]. INEGI. Consultado el 8 de septiembre y el 4 de octubre de 2026.</w:t>
      </w:r>
    </w:p>
    <w:p>
      <w:pPr>
        <w:spacing w:line="480"/>
        <w:ind w:left="720" w:hanging="720"/>
      </w:pPr>
      <w:r>
        <w:rPr>
          <w:rFonts w:ascii="Times New Roman" w:cs="Times New Roman" w:eastAsia="Times New Roman" w:hAnsi="Times New Roman"/>
        </w:rPr>
        <w:t xml:space="preserve">Instituto Nacional de Estadística y Geografía (INEGI). (2023). </w:t>
      </w:r>
      <w:r>
        <w:rPr>
          <w:rFonts w:ascii="Times New Roman" w:cs="Times New Roman" w:eastAsia="Times New Roman" w:hAnsi="Times New Roman"/>
          <w:i/>
          <w:iCs/>
        </w:rPr>
        <w:t xml:space="preserve">Marco Geoestadístico 2023</w:t>
      </w:r>
      <w:r>
        <w:rPr>
          <w:rFonts w:ascii="Times New Roman" w:cs="Times New Roman" w:eastAsia="Times New Roman" w:hAnsi="Times New Roman"/>
        </w:rPr>
        <w:t xml:space="preserve"> y </w:t>
      </w:r>
      <w:r>
        <w:rPr>
          <w:rFonts w:ascii="Times New Roman" w:cs="Times New Roman" w:eastAsia="Times New Roman" w:hAnsi="Times New Roman"/>
          <w:i/>
          <w:iCs/>
        </w:rPr>
        <w:t xml:space="preserve">Catálogo Único de Claves de Áreas Geoestadísticas Estatales, Municipales y Localidades</w:t>
      </w:r>
      <w:r>
        <w:rPr>
          <w:rFonts w:ascii="Times New Roman" w:cs="Times New Roman" w:eastAsia="Times New Roman" w:hAnsi="Times New Roman"/>
        </w:rPr>
        <w:t xml:space="preserve"> [Bases de datos]. INEGI.</w:t>
      </w:r>
    </w:p>
    <w:p>
      <w:pPr>
        <w:spacing w:line="480"/>
        <w:ind w:left="720" w:hanging="720"/>
      </w:pPr>
      <w:r>
        <w:rPr>
          <w:rFonts w:ascii="Times New Roman" w:cs="Times New Roman" w:eastAsia="Times New Roman" w:hAnsi="Times New Roman"/>
        </w:rPr>
        <w:t xml:space="preserve">Kummu, M., Kosonen, M., &amp; Masoumzadeh Sayyar, S. (2025). Downscaled gridded global dataset for gross domestic product (GDP) per capita PPP over 1990–2022. </w:t>
      </w:r>
      <w:r>
        <w:rPr>
          <w:rFonts w:ascii="Times New Roman" w:cs="Times New Roman" w:eastAsia="Times New Roman" w:hAnsi="Times New Roman"/>
          <w:i/>
          <w:iCs/>
        </w:rPr>
        <w:t xml:space="preserve">Scientific Data, 12</w:t>
      </w:r>
      <w:r>
        <w:rPr>
          <w:rFonts w:ascii="Times New Roman" w:cs="Times New Roman" w:eastAsia="Times New Roman" w:hAnsi="Times New Roman"/>
        </w:rPr>
        <w:t xml:space="preserve">, 178. https://doi.org/10.1038/s41597-025-04487-x</w:t>
      </w:r>
    </w:p>
    <w:p>
      <w:pPr>
        <w:spacing w:line="480"/>
        <w:ind w:left="720" w:hanging="720"/>
      </w:pPr>
      <w:r>
        <w:rPr>
          <w:rFonts w:ascii="Times New Roman" w:cs="Times New Roman" w:eastAsia="Times New Roman" w:hAnsi="Times New Roman"/>
        </w:rPr>
        <w:t xml:space="preserve">Soloaga, I., Plassot, T., &amp; Cazzuffi, C. (2025). A Common Framework to Analyze Social Mobility and Inequality of Opportunity in Functional Territories: Chile, Colombia and Mexico.</w:t>
      </w:r>
    </w:p>
    <w:p>
      <w:pPr>
        <w:spacing w:line="480"/>
        <w:ind w:left="720" w:hanging="720"/>
      </w:pPr>
      <w:r>
        <w:rPr>
          <w:rFonts w:ascii="Times New Roman" w:cs="Times New Roman" w:eastAsia="Times New Roman" w:hAnsi="Times New Roman"/>
        </w:rPr>
        <w:t xml:space="preserve">Tacchella, A., Cristelli, M., Caldarelli, G., Gabrielli, A., &amp; Pietronero, L. (2012). A new metrics for countries' fitness and products' complexity. </w:t>
      </w:r>
      <w:r>
        <w:rPr>
          <w:rFonts w:ascii="Times New Roman" w:cs="Times New Roman" w:eastAsia="Times New Roman" w:hAnsi="Times New Roman"/>
          <w:i/>
          <w:iCs/>
        </w:rPr>
        <w:t xml:space="preserve">Scientific Reports, 2</w:t>
      </w:r>
      <w:r>
        <w:rPr>
          <w:rFonts w:ascii="Times New Roman" w:cs="Times New Roman" w:eastAsia="Times New Roman" w:hAnsi="Times New Roman"/>
        </w:rPr>
        <w:t xml:space="preserve">, 723. https://doi.org/10.1038/srep00723</w:t>
      </w:r>
    </w:p>
    <w:p>
      <w:pPr>
        <w:spacing w:line="480"/>
        <w:ind w:left="720" w:hanging="720"/>
      </w:pPr>
      <w:r>
        <w:rPr>
          <w:rFonts w:ascii="Times New Roman" w:cs="Times New Roman" w:eastAsia="Times New Roman" w:hAnsi="Times New Roman"/>
        </w:rPr>
        <w:t xml:space="preserve">The Growth Lab at Harvard University. (2025). </w:t>
      </w:r>
      <w:r>
        <w:rPr>
          <w:rFonts w:ascii="Times New Roman" w:cs="Times New Roman" w:eastAsia="Times New Roman" w:hAnsi="Times New Roman"/>
          <w:i/>
          <w:iCs/>
        </w:rPr>
        <w:t xml:space="preserve">py-ecomplexity</w:t>
      </w:r>
      <w:r>
        <w:rPr>
          <w:rFonts w:ascii="Times New Roman" w:cs="Times New Roman" w:eastAsia="Times New Roman" w:hAnsi="Times New Roman"/>
        </w:rPr>
        <w:t xml:space="preserve"> (versión 0.5.3) [Software]. https://github.com/cid-harvard/py-ecomplexity</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a4cdeeeea55392d4b103e0d7ad458292ebb6be1.png"/><Relationship Id="rId10" Type="http://schemas.openxmlformats.org/officeDocument/2006/relationships/image" Target="media/7e3e20d3c011705a82f6863ca354db7c178d5fb8.png"/><Relationship Id="rId11" Type="http://schemas.openxmlformats.org/officeDocument/2006/relationships/image" Target="media/f21bd05ab409c43cc711a5b90d70c764fe0af33a.png"/><Relationship Id="rId12" Type="http://schemas.openxmlformats.org/officeDocument/2006/relationships/image" Target="media/9771b2ebd81aaa99b16f8790ae6bcd2d6aef7fcd.png"/><Relationship Id="rId13" Type="http://schemas.openxmlformats.org/officeDocument/2006/relationships/image" Target="media/15c168fabd7989fc92598f690943e885f7170303.png"/><Relationship Id="rId14" Type="http://schemas.openxmlformats.org/officeDocument/2006/relationships/image" Target="media/eb6dc9fbfb44c7e8e100ac40f05e8f3d0578ff30.png"/><Relationship Id="rId15" Type="http://schemas.openxmlformats.org/officeDocument/2006/relationships/image" Target="media/3f9d78f15699e179eaf587490a84eabc08951ca7.png"/><Relationship Id="rId16" Type="http://schemas.openxmlformats.org/officeDocument/2006/relationships/image" Target="media/5f7582e1d3da70456e76986510e155b2fe7a0455.png"/><Relationship Id="rId17" Type="http://schemas.openxmlformats.org/officeDocument/2006/relationships/image" Target="media/91997eb2342a660fb7612b4102e351a2ab6aa81e.png"/><Relationship Id="rId18" Type="http://schemas.openxmlformats.org/officeDocument/2006/relationships/image" Target="media/5aa3e398760d1c9ff961f2214b5d6e895fa6a516.png"/><Relationship Id="rId19" Type="http://schemas.openxmlformats.org/officeDocument/2006/relationships/image" Target="media/253a05208d813e42c8afb0e93ce3dff8de20c6be.png"/><Relationship Id="rId20" Type="http://schemas.openxmlformats.org/officeDocument/2006/relationships/image" Target="media/8ffe3cdc4743b9985b5b48be6a8fe7b7759614a4.png"/><Relationship Id="rId21" Type="http://schemas.openxmlformats.org/officeDocument/2006/relationships/image" Target="media/b085e7fece4296cc08a06d3678f480de123e8da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Apéndice Metodológico del ICE</dc:title>
  <dc:creator>Equipo 1</dc:creator>
  <cp:lastModifiedBy>Un-named</cp:lastModifiedBy>
  <cp:revision>1</cp:revision>
  <dcterms:created xsi:type="dcterms:W3CDTF">2026-10-04T20:33:47.971Z</dcterms:created>
  <dcterms:modified xsi:type="dcterms:W3CDTF">2026-10-04T20:33:47.972Z</dcterms:modified>
</cp:coreProperties>
</file>

<file path=docProps/custom.xml><?xml version="1.0" encoding="utf-8"?>
<Properties xmlns="http://schemas.openxmlformats.org/officeDocument/2006/custom-properties" xmlns:vt="http://schemas.openxmlformats.org/officeDocument/2006/docPropsVTypes"/>
</file>