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CEDF0" w14:textId="39F30100" w:rsidR="00BB7054" w:rsidRPr="00047313" w:rsidRDefault="00BB7054" w:rsidP="00BB7054">
      <w:pPr>
        <w:rPr>
          <w:b/>
          <w:bCs/>
        </w:rPr>
      </w:pPr>
      <w:r w:rsidRPr="00047313">
        <w:rPr>
          <w:b/>
          <w:bCs/>
        </w:rPr>
        <w:t xml:space="preserve">PORTFOLIO ANALYTICS </w:t>
      </w:r>
      <w:r w:rsidRPr="00047313">
        <w:rPr>
          <w:b/>
          <w:bCs/>
        </w:rPr>
        <w:t xml:space="preserve">AND RISK </w:t>
      </w:r>
      <w:r w:rsidRPr="00047313">
        <w:rPr>
          <w:b/>
          <w:bCs/>
        </w:rPr>
        <w:t>DASHBOARD - EXECUTIVE REPORT</w:t>
      </w:r>
    </w:p>
    <w:p w14:paraId="34F113D6" w14:textId="77777777" w:rsidR="00BB7054" w:rsidRDefault="00BB7054" w:rsidP="00BB7054"/>
    <w:p w14:paraId="1F92D821" w14:textId="44DAE82D" w:rsidR="00BB7054" w:rsidRDefault="00BB7054" w:rsidP="00BB7054">
      <w:r w:rsidRPr="00047313">
        <w:rPr>
          <w:b/>
          <w:bCs/>
        </w:rPr>
        <w:t>Report Period:</w:t>
      </w:r>
      <w:r>
        <w:t xml:space="preserve"> </w:t>
      </w:r>
      <w:r w:rsidR="00047313">
        <w:t>Jan 2018 – Dec 2025</w:t>
      </w:r>
    </w:p>
    <w:p w14:paraId="5F7A263B" w14:textId="687E60A5" w:rsidR="00BB7054" w:rsidRDefault="00BB7054" w:rsidP="00BB7054">
      <w:r w:rsidRPr="00047313">
        <w:rPr>
          <w:b/>
          <w:bCs/>
        </w:rPr>
        <w:t>Prepared For</w:t>
      </w:r>
      <w:r>
        <w:t>: Client/Management Name</w:t>
      </w:r>
    </w:p>
    <w:p w14:paraId="6C1980C5" w14:textId="473A773A" w:rsidR="00BB7054" w:rsidRDefault="00BB7054" w:rsidP="00BB7054">
      <w:r w:rsidRPr="00047313">
        <w:rPr>
          <w:b/>
          <w:bCs/>
        </w:rPr>
        <w:t>Prepared By:</w:t>
      </w:r>
      <w:r>
        <w:t xml:space="preserve"> </w:t>
      </w:r>
      <w:r>
        <w:t>David Asikpo</w:t>
      </w:r>
    </w:p>
    <w:p w14:paraId="296DEF84" w14:textId="0743AAA9" w:rsidR="00BB7054" w:rsidRDefault="00BB7054" w:rsidP="00BB7054">
      <w:r w:rsidRPr="00047313">
        <w:rPr>
          <w:b/>
          <w:bCs/>
        </w:rPr>
        <w:t>Date:</w:t>
      </w:r>
      <w:r>
        <w:t xml:space="preserve"> </w:t>
      </w:r>
      <w:r>
        <w:t>16th January 2026</w:t>
      </w:r>
    </w:p>
    <w:p w14:paraId="798A6ECB" w14:textId="77777777" w:rsidR="00BB7054" w:rsidRDefault="00BB7054" w:rsidP="00BB7054"/>
    <w:p w14:paraId="3C391E65" w14:textId="77777777" w:rsidR="007F0A47" w:rsidRPr="007F0A47" w:rsidRDefault="007F0A47" w:rsidP="007F0A47">
      <w:pPr>
        <w:rPr>
          <w:b/>
          <w:bCs/>
        </w:rPr>
      </w:pPr>
      <w:r w:rsidRPr="007F0A47">
        <w:rPr>
          <w:b/>
          <w:bCs/>
        </w:rPr>
        <w:t>PORTFOLIO PERFORMANCE OVERVIEW</w:t>
      </w:r>
    </w:p>
    <w:p w14:paraId="764FE06E" w14:textId="77777777" w:rsidR="007F0A47" w:rsidRPr="007F0A47" w:rsidRDefault="007F0A47" w:rsidP="007F0A47">
      <w:r w:rsidRPr="007F0A47">
        <w:t>This analysis evaluates an equally-weighted portfolio comprising six securities (AAPL, GLD, MFST, ^GSPC, TLT, EMM) with an initial investment of $1,000,000 ($166,667 per position) in 2018. Over an 8-year period through 2025, the portfolio delivered substantial growth, reaching a terminal value of $3.4 million—representing a </w:t>
      </w:r>
      <w:r w:rsidRPr="007F0A47">
        <w:rPr>
          <w:b/>
          <w:bCs/>
        </w:rPr>
        <w:t>+240% cumulative return</w:t>
      </w:r>
      <w:r w:rsidRPr="007F0A47">
        <w:t> and an </w:t>
      </w:r>
      <w:r w:rsidRPr="007F0A47">
        <w:rPr>
          <w:b/>
          <w:bCs/>
        </w:rPr>
        <w:t>annualized return of +9.24%</w:t>
      </w:r>
      <w:r w:rsidRPr="007F0A47">
        <w:t>.</w:t>
      </w:r>
    </w:p>
    <w:p w14:paraId="7161D0B2" w14:textId="77777777" w:rsidR="007F0A47" w:rsidRPr="007F0A47" w:rsidRDefault="007F0A47" w:rsidP="007F0A47">
      <w:pPr>
        <w:rPr>
          <w:b/>
          <w:bCs/>
        </w:rPr>
      </w:pPr>
      <w:r w:rsidRPr="007F0A47">
        <w:rPr>
          <w:b/>
          <w:bCs/>
        </w:rPr>
        <w:t>RISK-RETURN PROFILE</w:t>
      </w:r>
    </w:p>
    <w:p w14:paraId="50903CDE" w14:textId="77777777" w:rsidR="007F0A47" w:rsidRPr="007F0A47" w:rsidRDefault="007F0A47" w:rsidP="007F0A47">
      <w:r w:rsidRPr="007F0A47">
        <w:t>The portfolio demonstrated </w:t>
      </w:r>
      <w:r w:rsidRPr="007F0A47">
        <w:rPr>
          <w:b/>
          <w:bCs/>
        </w:rPr>
        <w:t>positive risk-adjusted returns</w:t>
      </w:r>
      <w:r w:rsidRPr="007F0A47">
        <w:t>, though concentration risks emerged in 2022 when correlation spikes elevated the risk level to 24.13%. During this period, high inter-asset correlations created systemic vulnerability where market downturns would have impacted all positions simultaneously.</w:t>
      </w:r>
    </w:p>
    <w:p w14:paraId="487BE265" w14:textId="77777777" w:rsidR="007F0A47" w:rsidRPr="007F0A47" w:rsidRDefault="007F0A47" w:rsidP="007F0A47">
      <w:pPr>
        <w:rPr>
          <w:b/>
          <w:bCs/>
        </w:rPr>
      </w:pPr>
      <w:r w:rsidRPr="007F0A47">
        <w:rPr>
          <w:b/>
          <w:bCs/>
        </w:rPr>
        <w:t>KEY PERFORMANCE DRIVERS</w:t>
      </w:r>
    </w:p>
    <w:p w14:paraId="53A91D0C" w14:textId="77777777" w:rsidR="007F0A47" w:rsidRPr="007F0A47" w:rsidRDefault="007F0A47" w:rsidP="007F0A47">
      <w:r w:rsidRPr="007F0A47">
        <w:rPr>
          <w:b/>
          <w:bCs/>
        </w:rPr>
        <w:t>AAPL emerged as the dominant value contributor</w:t>
      </w:r>
      <w:r w:rsidRPr="007F0A47">
        <w:t>, generating the largest absolute returns despite not consistently leading in annual percentage growth. Its significant appreciation during key periods (2019-2020, 2024-2025) established it as the portfolio's primary growth engine. Notably, MFST initially outperformed in 2018 before AAPL assumed leadership.</w:t>
      </w:r>
    </w:p>
    <w:p w14:paraId="19CC45D4" w14:textId="77777777" w:rsidR="007F0A47" w:rsidRPr="007F0A47" w:rsidRDefault="007F0A47" w:rsidP="007F0A47">
      <w:pPr>
        <w:rPr>
          <w:b/>
          <w:bCs/>
        </w:rPr>
      </w:pPr>
      <w:r w:rsidRPr="007F0A47">
        <w:rPr>
          <w:b/>
          <w:bCs/>
        </w:rPr>
        <w:t>DIVERSIFICATION ASSESSMENT</w:t>
      </w:r>
    </w:p>
    <w:p w14:paraId="4C9FA224" w14:textId="77777777" w:rsidR="007F0A47" w:rsidRPr="007F0A47" w:rsidRDefault="007F0A47" w:rsidP="007F0A47">
      <w:r w:rsidRPr="007F0A47">
        <w:t>While the equal-weight strategy provided initial balance, </w:t>
      </w:r>
      <w:r w:rsidRPr="007F0A47">
        <w:rPr>
          <w:b/>
          <w:bCs/>
        </w:rPr>
        <w:t>tech-sector concentration developed over time</w:t>
      </w:r>
      <w:r w:rsidRPr="007F0A47">
        <w:t>, with AAPL, MFST, and ^GSPC showing elevated correlations. This reduced the portfolio's diversification benefits and increased sector-specific risk exposure.</w:t>
      </w:r>
    </w:p>
    <w:p w14:paraId="231C2DE6" w14:textId="77777777" w:rsidR="007F0A47" w:rsidRPr="007F0A47" w:rsidRDefault="007F0A47" w:rsidP="007F0A47">
      <w:pPr>
        <w:rPr>
          <w:b/>
          <w:bCs/>
        </w:rPr>
      </w:pPr>
      <w:r w:rsidRPr="007F0A47">
        <w:rPr>
          <w:b/>
          <w:bCs/>
        </w:rPr>
        <w:t>STRATEGIC IMPLICATIONS</w:t>
      </w:r>
    </w:p>
    <w:p w14:paraId="0B199CD6" w14:textId="77777777" w:rsidR="007F0A47" w:rsidRPr="007F0A47" w:rsidRDefault="007F0A47" w:rsidP="007F0A47">
      <w:r w:rsidRPr="007F0A47">
        <w:t>The portfolio successfully generated alpha relative to initial capital, but opportunities exist to enhance diversification and manage correlation risk—particularly within technology holdings—without compromising return objectives.</w:t>
      </w:r>
    </w:p>
    <w:p w14:paraId="70A26DC5" w14:textId="77777777" w:rsidR="007F0A47" w:rsidRPr="007F0A47" w:rsidRDefault="007F0A47" w:rsidP="007F0A47">
      <w:r w:rsidRPr="007F0A47">
        <w:rPr>
          <w:b/>
          <w:bCs/>
        </w:rPr>
        <w:lastRenderedPageBreak/>
        <w:t>KEY TAKEAWAY:</w:t>
      </w:r>
      <w:r w:rsidRPr="007F0A47">
        <w:t> The portfolio achieved strong absolute returns (+240% cumulative) with acceptable risk-adjusted performance, though structural optimization could further improve resilience during high-correlation market regimes.</w:t>
      </w:r>
    </w:p>
    <w:p w14:paraId="152F0651" w14:textId="77777777" w:rsidR="00BF6633" w:rsidRDefault="00BF6633" w:rsidP="00BB7054"/>
    <w:p w14:paraId="12BE80E1" w14:textId="680EA724" w:rsidR="00DB52E7" w:rsidRDefault="00BF6633" w:rsidP="00BB7054">
      <w:r w:rsidRPr="00BF6633">
        <w:rPr>
          <w:b/>
          <w:bCs/>
        </w:rPr>
        <w:t>Table: 2025 Portfolio Allocation vs Initial (2018)</w:t>
      </w:r>
    </w:p>
    <w:tbl>
      <w:tblPr>
        <w:tblW w:w="0" w:type="auto"/>
        <w:tblInd w:w="-289" w:type="dxa"/>
        <w:shd w:val="clear" w:color="auto" w:fill="FFFFFF"/>
        <w:tblCellMar>
          <w:top w:w="15" w:type="dxa"/>
          <w:left w:w="15" w:type="dxa"/>
          <w:bottom w:w="15" w:type="dxa"/>
          <w:right w:w="15" w:type="dxa"/>
        </w:tblCellMar>
        <w:tblLook w:val="04A0" w:firstRow="1" w:lastRow="0" w:firstColumn="1" w:lastColumn="0" w:noHBand="0" w:noVBand="1"/>
      </w:tblPr>
      <w:tblGrid>
        <w:gridCol w:w="1170"/>
        <w:gridCol w:w="1712"/>
        <w:gridCol w:w="1909"/>
        <w:gridCol w:w="2675"/>
      </w:tblGrid>
      <w:tr w:rsidR="00DB52E7" w:rsidRPr="00F33635" w14:paraId="32600A7E" w14:textId="77777777" w:rsidTr="00F33635">
        <w:trPr>
          <w:tblHeader/>
        </w:trPr>
        <w:tc>
          <w:tcPr>
            <w:tcW w:w="1170" w:type="dxa"/>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2CB52B03" w14:textId="77777777" w:rsidR="00DB52E7" w:rsidRPr="00F33635" w:rsidRDefault="00DB52E7" w:rsidP="00F33635">
            <w:r w:rsidRPr="00F33635">
              <w:t>Stock</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3D3FD959" w14:textId="77777777" w:rsidR="00DB52E7" w:rsidRPr="00F33635" w:rsidRDefault="00DB52E7" w:rsidP="00F33635">
            <w:r w:rsidRPr="00F33635">
              <w:t>Initial (2018)</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5581FB34" w14:textId="77777777" w:rsidR="00DB52E7" w:rsidRPr="00F33635" w:rsidRDefault="00DB52E7" w:rsidP="00F33635">
            <w:r w:rsidRPr="00F33635">
              <w:t>Current (2025)</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63FB14F6" w14:textId="77777777" w:rsidR="00DB52E7" w:rsidRPr="00F33635" w:rsidRDefault="00DB52E7" w:rsidP="00F33635">
            <w:r w:rsidRPr="00F33635">
              <w:t>Performance Implied</w:t>
            </w:r>
          </w:p>
        </w:tc>
      </w:tr>
      <w:tr w:rsidR="00DB52E7" w:rsidRPr="00F33635" w14:paraId="66629FCD" w14:textId="77777777" w:rsidTr="00F33635">
        <w:tc>
          <w:tcPr>
            <w:tcW w:w="1170" w:type="dxa"/>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297F578C" w14:textId="77777777" w:rsidR="00DB52E7" w:rsidRPr="00F33635" w:rsidRDefault="00DB52E7" w:rsidP="00F33635">
            <w:r w:rsidRPr="00F33635">
              <w:rPr>
                <w:b/>
                <w:bCs/>
              </w:rPr>
              <w:t>AAPL</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154E4C2F" w14:textId="77777777" w:rsidR="00DB52E7" w:rsidRPr="00F33635" w:rsidRDefault="00DB52E7" w:rsidP="00F33635">
            <w:r w:rsidRPr="00F33635">
              <w:t>16.67%</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77CD74FF" w14:textId="77777777" w:rsidR="00DB52E7" w:rsidRPr="00F33635" w:rsidRDefault="00DB52E7" w:rsidP="00F33635">
            <w:r w:rsidRPr="00F33635">
              <w:rPr>
                <w:b/>
                <w:bCs/>
              </w:rPr>
              <w:t>32.7%</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6135C20F" w14:textId="77777777" w:rsidR="00DB52E7" w:rsidRPr="00F33635" w:rsidRDefault="00DB52E7" w:rsidP="00F33635">
            <w:r w:rsidRPr="00F33635">
              <w:rPr>
                <w:rFonts w:ascii="Segoe UI Emoji" w:hAnsi="Segoe UI Emoji" w:cs="Segoe UI Emoji"/>
              </w:rPr>
              <w:t>⭐</w:t>
            </w:r>
            <w:r w:rsidRPr="00F33635">
              <w:t xml:space="preserve"> Top performer</w:t>
            </w:r>
          </w:p>
        </w:tc>
      </w:tr>
      <w:tr w:rsidR="00DB52E7" w:rsidRPr="00F33635" w14:paraId="0B1AE445" w14:textId="77777777" w:rsidTr="00F33635">
        <w:tc>
          <w:tcPr>
            <w:tcW w:w="1170" w:type="dxa"/>
            <w:tcBorders>
              <w:top w:val="single" w:sz="4" w:space="0" w:color="auto"/>
              <w:left w:val="single" w:sz="4" w:space="0" w:color="auto"/>
              <w:right w:val="single" w:sz="4" w:space="0" w:color="auto"/>
            </w:tcBorders>
            <w:shd w:val="clear" w:color="auto" w:fill="FFFFFF"/>
            <w:tcMar>
              <w:top w:w="150" w:type="dxa"/>
              <w:left w:w="0" w:type="dxa"/>
              <w:bottom w:w="150" w:type="dxa"/>
              <w:right w:w="240" w:type="dxa"/>
            </w:tcMar>
            <w:vAlign w:val="center"/>
            <w:hideMark/>
          </w:tcPr>
          <w:p w14:paraId="709959F4" w14:textId="77777777" w:rsidR="00DB52E7" w:rsidRPr="00F33635" w:rsidRDefault="00DB52E7" w:rsidP="00F33635">
            <w:r w:rsidRPr="00F33635">
              <w:rPr>
                <w:b/>
                <w:bCs/>
              </w:rPr>
              <w:t>MFST</w:t>
            </w:r>
          </w:p>
        </w:tc>
        <w:tc>
          <w:tcPr>
            <w:tcW w:w="0" w:type="auto"/>
            <w:tcBorders>
              <w:top w:val="single" w:sz="4" w:space="0" w:color="auto"/>
              <w:left w:val="single" w:sz="4" w:space="0" w:color="auto"/>
              <w:right w:val="single" w:sz="4" w:space="0" w:color="auto"/>
            </w:tcBorders>
            <w:shd w:val="clear" w:color="auto" w:fill="FFFFFF"/>
            <w:tcMar>
              <w:top w:w="150" w:type="dxa"/>
              <w:left w:w="240" w:type="dxa"/>
              <w:bottom w:w="150" w:type="dxa"/>
              <w:right w:w="240" w:type="dxa"/>
            </w:tcMar>
            <w:vAlign w:val="center"/>
            <w:hideMark/>
          </w:tcPr>
          <w:p w14:paraId="461CE7B7" w14:textId="77777777" w:rsidR="00DB52E7" w:rsidRPr="00F33635" w:rsidRDefault="00DB52E7" w:rsidP="00F33635">
            <w:r w:rsidRPr="00F33635">
              <w:t>16.67%</w:t>
            </w:r>
          </w:p>
        </w:tc>
        <w:tc>
          <w:tcPr>
            <w:tcW w:w="0" w:type="auto"/>
            <w:tcBorders>
              <w:top w:val="single" w:sz="4" w:space="0" w:color="auto"/>
              <w:left w:val="single" w:sz="4" w:space="0" w:color="auto"/>
              <w:right w:val="single" w:sz="4" w:space="0" w:color="auto"/>
            </w:tcBorders>
            <w:shd w:val="clear" w:color="auto" w:fill="FFFFFF"/>
            <w:tcMar>
              <w:top w:w="150" w:type="dxa"/>
              <w:left w:w="240" w:type="dxa"/>
              <w:bottom w:w="150" w:type="dxa"/>
              <w:right w:w="240" w:type="dxa"/>
            </w:tcMar>
            <w:vAlign w:val="center"/>
            <w:hideMark/>
          </w:tcPr>
          <w:p w14:paraId="5DF23DE8" w14:textId="77777777" w:rsidR="00DB52E7" w:rsidRPr="00F33635" w:rsidRDefault="00DB52E7" w:rsidP="00F33635">
            <w:r w:rsidRPr="00F33635">
              <w:t>~18.5%</w:t>
            </w:r>
          </w:p>
        </w:tc>
        <w:tc>
          <w:tcPr>
            <w:tcW w:w="0" w:type="auto"/>
            <w:tcBorders>
              <w:top w:val="single" w:sz="4" w:space="0" w:color="auto"/>
              <w:left w:val="single" w:sz="4" w:space="0" w:color="auto"/>
              <w:right w:val="single" w:sz="4" w:space="0" w:color="auto"/>
            </w:tcBorders>
            <w:shd w:val="clear" w:color="auto" w:fill="FFFFFF"/>
            <w:tcMar>
              <w:top w:w="150" w:type="dxa"/>
              <w:left w:w="240" w:type="dxa"/>
              <w:bottom w:w="150" w:type="dxa"/>
              <w:right w:w="0" w:type="dxa"/>
            </w:tcMar>
            <w:vAlign w:val="center"/>
            <w:hideMark/>
          </w:tcPr>
          <w:p w14:paraId="2BCA4DE4" w14:textId="77777777" w:rsidR="00DB52E7" w:rsidRPr="00F33635" w:rsidRDefault="00DB52E7" w:rsidP="00F33635">
            <w:r w:rsidRPr="00F33635">
              <w:t>Strong growth</w:t>
            </w:r>
          </w:p>
        </w:tc>
      </w:tr>
      <w:tr w:rsidR="00DB52E7" w:rsidRPr="00F33635" w14:paraId="40ED4996" w14:textId="77777777" w:rsidTr="00F33635">
        <w:tc>
          <w:tcPr>
            <w:tcW w:w="1170" w:type="dxa"/>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21B3E6A3" w14:textId="77777777" w:rsidR="00DB52E7" w:rsidRPr="00F33635" w:rsidRDefault="00DB52E7" w:rsidP="00F33635">
            <w:r w:rsidRPr="00F33635">
              <w:rPr>
                <w:b/>
                <w:bCs/>
              </w:rPr>
              <w:t>^GSPC</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0DA3BE34" w14:textId="77777777" w:rsidR="00DB52E7" w:rsidRPr="00F33635" w:rsidRDefault="00DB52E7" w:rsidP="00F33635">
            <w:r w:rsidRPr="00F33635">
              <w:t>16.67%</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5DC49333" w14:textId="77777777" w:rsidR="00DB52E7" w:rsidRPr="00F33635" w:rsidRDefault="00DB52E7" w:rsidP="00F33635">
            <w:r w:rsidRPr="00F33635">
              <w:t>~17.5%</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6D71C707" w14:textId="77777777" w:rsidR="00DB52E7" w:rsidRPr="00F33635" w:rsidRDefault="00DB52E7" w:rsidP="00F33635">
            <w:r w:rsidRPr="00F33635">
              <w:t>Market tracking</w:t>
            </w:r>
          </w:p>
        </w:tc>
      </w:tr>
      <w:tr w:rsidR="00DB52E7" w:rsidRPr="00F33635" w14:paraId="57017285" w14:textId="77777777" w:rsidTr="00F33635">
        <w:tc>
          <w:tcPr>
            <w:tcW w:w="1170" w:type="dxa"/>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6A2CC4A6" w14:textId="77777777" w:rsidR="00DB52E7" w:rsidRPr="00F33635" w:rsidRDefault="00DB52E7" w:rsidP="00F33635">
            <w:r w:rsidRPr="00F33635">
              <w:rPr>
                <w:b/>
                <w:bCs/>
              </w:rPr>
              <w:t>EMM</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5281073E" w14:textId="77777777" w:rsidR="00DB52E7" w:rsidRPr="00F33635" w:rsidRDefault="00DB52E7" w:rsidP="00F33635">
            <w:r w:rsidRPr="00F33635">
              <w:t>16.67%</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3AFFC7CA" w14:textId="77777777" w:rsidR="00DB52E7" w:rsidRPr="00F33635" w:rsidRDefault="00DB52E7" w:rsidP="00F33635">
            <w:r w:rsidRPr="00F33635">
              <w:t>~15.5%</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021ABE41" w14:textId="77777777" w:rsidR="00DB52E7" w:rsidRPr="00F33635" w:rsidRDefault="00DB52E7" w:rsidP="00F33635">
            <w:r w:rsidRPr="00F33635">
              <w:t>Slight underperformance</w:t>
            </w:r>
          </w:p>
        </w:tc>
      </w:tr>
      <w:tr w:rsidR="00DB52E7" w:rsidRPr="00F33635" w14:paraId="37C723E4" w14:textId="77777777" w:rsidTr="00F33635">
        <w:tc>
          <w:tcPr>
            <w:tcW w:w="1170" w:type="dxa"/>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6D93326A" w14:textId="77777777" w:rsidR="00DB52E7" w:rsidRPr="00F33635" w:rsidRDefault="00DB52E7" w:rsidP="00F33635">
            <w:r w:rsidRPr="00F33635">
              <w:rPr>
                <w:b/>
                <w:bCs/>
              </w:rPr>
              <w:t>GLD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4301F2C9" w14:textId="77777777" w:rsidR="00DB52E7" w:rsidRPr="00F33635" w:rsidRDefault="00DB52E7" w:rsidP="00F33635">
            <w:r w:rsidRPr="00F33635">
              <w:t>16.67%</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3CCBE09C" w14:textId="77777777" w:rsidR="00DB52E7" w:rsidRPr="00F33635" w:rsidRDefault="00DB52E7" w:rsidP="00F33635">
            <w:r w:rsidRPr="00F33635">
              <w:t>~8.0%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3A49AEE4" w14:textId="77777777" w:rsidR="00DB52E7" w:rsidRPr="00F33635" w:rsidRDefault="00DB52E7" w:rsidP="00F33635">
            <w:r w:rsidRPr="00F33635">
              <w:t>Significant underweight</w:t>
            </w:r>
          </w:p>
        </w:tc>
      </w:tr>
      <w:tr w:rsidR="00DB52E7" w:rsidRPr="00F33635" w14:paraId="1771D432" w14:textId="77777777" w:rsidTr="00F33635">
        <w:tc>
          <w:tcPr>
            <w:tcW w:w="1170" w:type="dxa"/>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6DB8AB1B" w14:textId="77777777" w:rsidR="00DB52E7" w:rsidRPr="00F33635" w:rsidRDefault="00DB52E7" w:rsidP="00F33635">
            <w:r w:rsidRPr="00F33635">
              <w:rPr>
                <w:b/>
                <w:bCs/>
              </w:rPr>
              <w:t>TLT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60891D5F" w14:textId="77777777" w:rsidR="00DB52E7" w:rsidRPr="00F33635" w:rsidRDefault="00DB52E7" w:rsidP="00F33635">
            <w:r w:rsidRPr="00F33635">
              <w:t>16.67%</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0738BB61" w14:textId="77777777" w:rsidR="00DB52E7" w:rsidRPr="00F33635" w:rsidRDefault="00DB52E7" w:rsidP="00F33635">
            <w:r w:rsidRPr="00F33635">
              <w:t>~7.8%</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0FF3CFA6" w14:textId="77777777" w:rsidR="00DB52E7" w:rsidRPr="00F33635" w:rsidRDefault="00DB52E7" w:rsidP="00F33635">
            <w:r w:rsidRPr="00F33635">
              <w:t>Significant underweight</w:t>
            </w:r>
          </w:p>
        </w:tc>
      </w:tr>
      <w:tr w:rsidR="00DB52E7" w:rsidRPr="00F33635" w14:paraId="1CDC4D6D" w14:textId="77777777" w:rsidTr="00F33635">
        <w:tc>
          <w:tcPr>
            <w:tcW w:w="1170" w:type="dxa"/>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04E6412F" w14:textId="77777777" w:rsidR="00DB52E7" w:rsidRPr="00F33635" w:rsidRDefault="00DB52E7" w:rsidP="00F33635">
            <w:r w:rsidRPr="00F33635">
              <w:rPr>
                <w:b/>
                <w:bCs/>
              </w:rPr>
              <w:t>TOTAL</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105F5256" w14:textId="77777777" w:rsidR="00DB52E7" w:rsidRPr="00F33635" w:rsidRDefault="00DB52E7" w:rsidP="00F33635">
            <w:r w:rsidRPr="00F33635">
              <w:rPr>
                <w:b/>
                <w:bCs/>
              </w:rPr>
              <w:t>100.00%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33E671CD" w14:textId="77777777" w:rsidR="00DB52E7" w:rsidRPr="00F33635" w:rsidRDefault="00DB52E7" w:rsidP="00F33635">
            <w:r w:rsidRPr="00F33635">
              <w:rPr>
                <w:b/>
                <w:bCs/>
              </w:rPr>
              <w:t>100.00%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231CA46A" w14:textId="71A7C42D" w:rsidR="00DB52E7" w:rsidRPr="00F33635" w:rsidRDefault="00DB52E7" w:rsidP="00F33635"/>
        </w:tc>
      </w:tr>
    </w:tbl>
    <w:p w14:paraId="6E72EAEC" w14:textId="77777777" w:rsidR="00F33635" w:rsidRDefault="00F33635" w:rsidP="00BB7054"/>
    <w:p w14:paraId="4084DBBE" w14:textId="47319BCD" w:rsidR="00BB7054" w:rsidRDefault="00BB7054" w:rsidP="00BB7054"/>
    <w:p w14:paraId="781A4D40" w14:textId="77777777" w:rsidR="007F7F7F" w:rsidRPr="007F7F7F" w:rsidRDefault="007F7F7F" w:rsidP="007F7F7F">
      <w:pPr>
        <w:rPr>
          <w:b/>
          <w:bCs/>
        </w:rPr>
      </w:pPr>
      <w:r w:rsidRPr="007F7F7F">
        <w:rPr>
          <w:b/>
          <w:bCs/>
        </w:rPr>
        <w:t>PERFORMANCE ANALYSIS</w:t>
      </w:r>
    </w:p>
    <w:p w14:paraId="24128D9B" w14:textId="77777777" w:rsidR="007F7F7F" w:rsidRPr="007F7F7F" w:rsidRDefault="007F7F7F" w:rsidP="007F7F7F">
      <w:pPr>
        <w:rPr>
          <w:b/>
          <w:bCs/>
        </w:rPr>
      </w:pPr>
      <w:r w:rsidRPr="007F7F7F">
        <w:rPr>
          <w:b/>
          <w:bCs/>
        </w:rPr>
        <w:t>ANNUAL RETURNS ANALYSIS</w:t>
      </w:r>
    </w:p>
    <w:p w14:paraId="76CF48CC" w14:textId="77777777" w:rsidR="007F7F7F" w:rsidRPr="007F7F7F" w:rsidRDefault="007F7F7F" w:rsidP="007F7F7F">
      <w:pPr>
        <w:rPr>
          <w:b/>
          <w:bCs/>
        </w:rPr>
      </w:pPr>
      <w:r w:rsidRPr="007F7F7F">
        <w:rPr>
          <w:b/>
          <w:bCs/>
        </w:rPr>
        <w:t>2022 Market Downturn Analysis</w:t>
      </w:r>
    </w:p>
    <w:p w14:paraId="0928C3FB" w14:textId="77777777" w:rsidR="007F7F7F" w:rsidRPr="007F7F7F" w:rsidRDefault="007F7F7F" w:rsidP="007F7F7F">
      <w:r w:rsidRPr="007F7F7F">
        <w:t>The portfolio experienced its most significant drawdown in 2022, with all six positions posting negative annual returns—marking the only calendar year in the observed period where no security generated positive performance. This systemic decline coincided with elevated portfolio volatility, reaching a risk level of 19.28% for the year.</w:t>
      </w:r>
    </w:p>
    <w:p w14:paraId="7BF3300C" w14:textId="77777777" w:rsidR="007F7F7F" w:rsidRPr="007F7F7F" w:rsidRDefault="007F7F7F" w:rsidP="007F7F7F">
      <w:pPr>
        <w:rPr>
          <w:b/>
          <w:bCs/>
        </w:rPr>
      </w:pPr>
      <w:r w:rsidRPr="007F7F7F">
        <w:rPr>
          <w:b/>
          <w:bCs/>
        </w:rPr>
        <w:t>Sector Performance During Stress Period</w:t>
      </w:r>
    </w:p>
    <w:p w14:paraId="3B874195" w14:textId="77777777" w:rsidR="007F7F7F" w:rsidRPr="007F7F7F" w:rsidRDefault="007F7F7F" w:rsidP="007F7F7F">
      <w:r w:rsidRPr="007F7F7F">
        <w:t>Fixed income and technology sectors demonstrated particularly acute sensitivity to 2022 market conditions:</w:t>
      </w:r>
    </w:p>
    <w:p w14:paraId="4EEBC978" w14:textId="77777777" w:rsidR="007F7F7F" w:rsidRPr="007F7F7F" w:rsidRDefault="007F7F7F" w:rsidP="007F7F7F">
      <w:pPr>
        <w:numPr>
          <w:ilvl w:val="0"/>
          <w:numId w:val="1"/>
        </w:numPr>
      </w:pPr>
      <w:r w:rsidRPr="007F7F7F">
        <w:rPr>
          <w:b/>
          <w:bCs/>
        </w:rPr>
        <w:lastRenderedPageBreak/>
        <w:t>TLT (Treasury ETF):</w:t>
      </w:r>
      <w:r w:rsidRPr="007F7F7F">
        <w:t> -31% annual return (largest decline)</w:t>
      </w:r>
    </w:p>
    <w:p w14:paraId="469CE05A" w14:textId="77777777" w:rsidR="007F7F7F" w:rsidRPr="007F7F7F" w:rsidRDefault="007F7F7F" w:rsidP="007F7F7F">
      <w:pPr>
        <w:numPr>
          <w:ilvl w:val="0"/>
          <w:numId w:val="1"/>
        </w:numPr>
      </w:pPr>
      <w:r w:rsidRPr="007F7F7F">
        <w:rPr>
          <w:b/>
          <w:bCs/>
        </w:rPr>
        <w:t>AAPL (Technology):</w:t>
      </w:r>
      <w:r w:rsidRPr="007F7F7F">
        <w:t> -26% annual return (despite being portfolio leader)</w:t>
      </w:r>
    </w:p>
    <w:p w14:paraId="0B57BBC8" w14:textId="77777777" w:rsidR="007F7F7F" w:rsidRPr="007F7F7F" w:rsidRDefault="007F7F7F" w:rsidP="007F7F7F">
      <w:r w:rsidRPr="007F7F7F">
        <w:t>The synchronized downturn across all asset classes indicated limited diversification benefits during this market stress period, with correlations converging as risk assets and traditional hedges declined simultaneously.</w:t>
      </w:r>
    </w:p>
    <w:p w14:paraId="3FCBAE64" w14:textId="77777777" w:rsidR="007F7F7F" w:rsidRPr="007F7F7F" w:rsidRDefault="007F7F7F" w:rsidP="007F7F7F">
      <w:pPr>
        <w:rPr>
          <w:b/>
          <w:bCs/>
        </w:rPr>
      </w:pPr>
      <w:r w:rsidRPr="007F7F7F">
        <w:rPr>
          <w:b/>
          <w:bCs/>
        </w:rPr>
        <w:t>Long-Term Performance Context</w:t>
      </w:r>
    </w:p>
    <w:p w14:paraId="03EDF7CA" w14:textId="77777777" w:rsidR="007F7F7F" w:rsidRPr="007F7F7F" w:rsidRDefault="007F7F7F" w:rsidP="007F7F7F">
      <w:r w:rsidRPr="007F7F7F">
        <w:t xml:space="preserve">Excluding the anomalous 2022 period, the portfolio delivered consistently positive annual returns across all positions, with an average annualized return exceeding benchmark </w:t>
      </w:r>
      <w:proofErr w:type="gramStart"/>
      <w:r w:rsidRPr="007F7F7F">
        <w:t>expectations</w:t>
      </w:r>
      <w:proofErr w:type="gramEnd"/>
      <w:r w:rsidRPr="007F7F7F">
        <w:t>. The recovery trajectory post-2022 demonstrates the portfolio's resilience, with full recovery achieved within [X] months of the market bottom.</w:t>
      </w:r>
    </w:p>
    <w:p w14:paraId="3D1AF454" w14:textId="77777777" w:rsidR="007F7F7F" w:rsidRDefault="007F7F7F" w:rsidP="00BB7054"/>
    <w:p w14:paraId="10750D0A" w14:textId="21B452C5" w:rsidR="0070728F" w:rsidRPr="0070728F" w:rsidRDefault="0070728F" w:rsidP="0070728F">
      <w:pPr>
        <w:rPr>
          <w:b/>
          <w:bCs/>
        </w:rPr>
      </w:pPr>
      <w:r w:rsidRPr="0070728F">
        <w:rPr>
          <w:b/>
          <w:bCs/>
        </w:rPr>
        <w:t>MONTHLY PERFORMANCE PATTERN ANALYSIS</w:t>
      </w:r>
    </w:p>
    <w:p w14:paraId="7581F09A" w14:textId="77777777" w:rsidR="0070728F" w:rsidRPr="0070728F" w:rsidRDefault="0070728F" w:rsidP="0070728F">
      <w:pPr>
        <w:rPr>
          <w:b/>
          <w:bCs/>
        </w:rPr>
      </w:pPr>
      <w:r w:rsidRPr="0070728F">
        <w:rPr>
          <w:b/>
          <w:bCs/>
        </w:rPr>
        <w:t>SEASONALITY PATTERNS &amp; TREND ANALYSIS</w:t>
      </w:r>
    </w:p>
    <w:p w14:paraId="14F83816" w14:textId="77777777" w:rsidR="0070728F" w:rsidRPr="0070728F" w:rsidRDefault="0070728F" w:rsidP="0070728F">
      <w:pPr>
        <w:rPr>
          <w:b/>
          <w:bCs/>
        </w:rPr>
      </w:pPr>
      <w:r w:rsidRPr="0070728F">
        <w:rPr>
          <w:b/>
          <w:bCs/>
        </w:rPr>
        <w:t>Consistent Intra-Year Performance Pattern</w:t>
      </w:r>
    </w:p>
    <w:p w14:paraId="118C6C73" w14:textId="77777777" w:rsidR="0070728F" w:rsidRDefault="0070728F" w:rsidP="0070728F">
      <w:r w:rsidRPr="0070728F">
        <w:t>Historical analysis reveals a persistent </w:t>
      </w:r>
      <w:r w:rsidRPr="0070728F">
        <w:rPr>
          <w:b/>
          <w:bCs/>
        </w:rPr>
        <w:t>"early-year dip, late-year rally" pattern</w:t>
      </w:r>
      <w:r w:rsidRPr="0070728F">
        <w:t xml:space="preserve"> across the 8-year observation period. This cyclical </w:t>
      </w:r>
      <w:proofErr w:type="spellStart"/>
      <w:r w:rsidRPr="0070728F">
        <w:t>behavior</w:t>
      </w:r>
      <w:proofErr w:type="spellEnd"/>
      <w:r w:rsidRPr="0070728F">
        <w:t xml:space="preserve"> suggests potential tactical opportunities for strategic capital deployment, with average monthly returns demonstrating clear seasonal tendencies:</w:t>
      </w:r>
    </w:p>
    <w:p w14:paraId="3C391E5F" w14:textId="49560655" w:rsidR="006F6C48" w:rsidRPr="00CF7644" w:rsidRDefault="00270D7A" w:rsidP="0070728F">
      <w:pPr>
        <w:rPr>
          <w:b/>
          <w:bCs/>
        </w:rPr>
      </w:pPr>
      <w:r w:rsidRPr="00CF7644">
        <w:rPr>
          <w:b/>
          <w:bCs/>
        </w:rPr>
        <w:t xml:space="preserve">Quarterly Returns for year </w:t>
      </w:r>
      <w:r w:rsidR="00CF7644" w:rsidRPr="00CF7644">
        <w:rPr>
          <w:b/>
          <w:bCs/>
        </w:rPr>
        <w:t>2020</w:t>
      </w:r>
    </w:p>
    <w:tbl>
      <w:tblPr>
        <w:tblW w:w="6816" w:type="dxa"/>
        <w:tblLook w:val="04A0" w:firstRow="1" w:lastRow="0" w:firstColumn="1" w:lastColumn="0" w:noHBand="0" w:noVBand="1"/>
      </w:tblPr>
      <w:tblGrid>
        <w:gridCol w:w="1049"/>
        <w:gridCol w:w="976"/>
        <w:gridCol w:w="976"/>
        <w:gridCol w:w="976"/>
        <w:gridCol w:w="976"/>
        <w:gridCol w:w="976"/>
        <w:gridCol w:w="968"/>
      </w:tblGrid>
      <w:tr w:rsidR="006F6C48" w:rsidRPr="006F6C48" w14:paraId="78A34D59" w14:textId="77777777" w:rsidTr="006F6C48">
        <w:trPr>
          <w:trHeight w:val="288"/>
        </w:trPr>
        <w:tc>
          <w:tcPr>
            <w:tcW w:w="968" w:type="dxa"/>
            <w:tcBorders>
              <w:top w:val="single" w:sz="4" w:space="0" w:color="44B3E1"/>
              <w:left w:val="single" w:sz="4" w:space="0" w:color="44B3E1"/>
              <w:bottom w:val="single" w:sz="4" w:space="0" w:color="44B3E1"/>
              <w:right w:val="nil"/>
            </w:tcBorders>
            <w:shd w:val="clear" w:color="156082" w:fill="156082"/>
            <w:noWrap/>
            <w:vAlign w:val="bottom"/>
            <w:hideMark/>
          </w:tcPr>
          <w:p w14:paraId="1AF77FE1" w14:textId="77777777" w:rsidR="006F6C48" w:rsidRPr="006F6C48" w:rsidRDefault="006F6C48" w:rsidP="006F6C48">
            <w:pPr>
              <w:spacing w:after="0" w:line="240" w:lineRule="auto"/>
              <w:rPr>
                <w:rFonts w:ascii="Aptos Narrow" w:eastAsia="Times New Roman" w:hAnsi="Aptos Narrow" w:cs="Times New Roman"/>
                <w:b/>
                <w:bCs/>
                <w:color w:val="FFFFFF"/>
                <w:kern w:val="0"/>
                <w:sz w:val="22"/>
                <w:szCs w:val="22"/>
                <w:lang w:eastAsia="en-NG"/>
                <w14:ligatures w14:val="none"/>
              </w:rPr>
            </w:pPr>
            <w:r w:rsidRPr="006F6C48">
              <w:rPr>
                <w:rFonts w:ascii="Aptos Narrow" w:eastAsia="Times New Roman" w:hAnsi="Aptos Narrow" w:cs="Times New Roman"/>
                <w:b/>
                <w:bCs/>
                <w:color w:val="FFFFFF"/>
                <w:kern w:val="0"/>
                <w:sz w:val="22"/>
                <w:szCs w:val="22"/>
                <w:lang w:eastAsia="en-NG"/>
                <w14:ligatures w14:val="none"/>
              </w:rPr>
              <w:t>Column1</w:t>
            </w:r>
          </w:p>
        </w:tc>
        <w:tc>
          <w:tcPr>
            <w:tcW w:w="976" w:type="dxa"/>
            <w:tcBorders>
              <w:top w:val="single" w:sz="4" w:space="0" w:color="44B3E1"/>
              <w:left w:val="nil"/>
              <w:bottom w:val="single" w:sz="4" w:space="0" w:color="44B3E1"/>
              <w:right w:val="nil"/>
            </w:tcBorders>
            <w:shd w:val="clear" w:color="156082" w:fill="156082"/>
            <w:noWrap/>
            <w:vAlign w:val="bottom"/>
            <w:hideMark/>
          </w:tcPr>
          <w:p w14:paraId="23F1A658" w14:textId="77777777" w:rsidR="006F6C48" w:rsidRPr="006F6C48" w:rsidRDefault="006F6C48" w:rsidP="006F6C48">
            <w:pPr>
              <w:spacing w:after="0" w:line="240" w:lineRule="auto"/>
              <w:rPr>
                <w:rFonts w:ascii="Aptos Narrow" w:eastAsia="Times New Roman" w:hAnsi="Aptos Narrow" w:cs="Times New Roman"/>
                <w:b/>
                <w:bCs/>
                <w:color w:val="FFFFFF"/>
                <w:kern w:val="0"/>
                <w:sz w:val="22"/>
                <w:szCs w:val="22"/>
                <w:lang w:eastAsia="en-NG"/>
                <w14:ligatures w14:val="none"/>
              </w:rPr>
            </w:pPr>
            <w:r w:rsidRPr="006F6C48">
              <w:rPr>
                <w:rFonts w:ascii="Aptos Narrow" w:eastAsia="Times New Roman" w:hAnsi="Aptos Narrow" w:cs="Times New Roman"/>
                <w:b/>
                <w:bCs/>
                <w:color w:val="FFFFFF"/>
                <w:kern w:val="0"/>
                <w:sz w:val="22"/>
                <w:szCs w:val="22"/>
                <w:lang w:eastAsia="en-NG"/>
                <w14:ligatures w14:val="none"/>
              </w:rPr>
              <w:t>AAPL</w:t>
            </w:r>
          </w:p>
        </w:tc>
        <w:tc>
          <w:tcPr>
            <w:tcW w:w="976" w:type="dxa"/>
            <w:tcBorders>
              <w:top w:val="single" w:sz="4" w:space="0" w:color="44B3E1"/>
              <w:left w:val="nil"/>
              <w:bottom w:val="single" w:sz="4" w:space="0" w:color="44B3E1"/>
              <w:right w:val="nil"/>
            </w:tcBorders>
            <w:shd w:val="clear" w:color="156082" w:fill="156082"/>
            <w:noWrap/>
            <w:vAlign w:val="bottom"/>
            <w:hideMark/>
          </w:tcPr>
          <w:p w14:paraId="08873C03" w14:textId="77777777" w:rsidR="006F6C48" w:rsidRPr="006F6C48" w:rsidRDefault="006F6C48" w:rsidP="006F6C48">
            <w:pPr>
              <w:spacing w:after="0" w:line="240" w:lineRule="auto"/>
              <w:rPr>
                <w:rFonts w:ascii="Aptos Narrow" w:eastAsia="Times New Roman" w:hAnsi="Aptos Narrow" w:cs="Times New Roman"/>
                <w:b/>
                <w:bCs/>
                <w:color w:val="FFFFFF"/>
                <w:kern w:val="0"/>
                <w:sz w:val="22"/>
                <w:szCs w:val="22"/>
                <w:lang w:eastAsia="en-NG"/>
                <w14:ligatures w14:val="none"/>
              </w:rPr>
            </w:pPr>
            <w:r w:rsidRPr="006F6C48">
              <w:rPr>
                <w:rFonts w:ascii="Aptos Narrow" w:eastAsia="Times New Roman" w:hAnsi="Aptos Narrow" w:cs="Times New Roman"/>
                <w:b/>
                <w:bCs/>
                <w:color w:val="FFFFFF"/>
                <w:kern w:val="0"/>
                <w:sz w:val="22"/>
                <w:szCs w:val="22"/>
                <w:lang w:eastAsia="en-NG"/>
                <w14:ligatures w14:val="none"/>
              </w:rPr>
              <w:t>GLD</w:t>
            </w:r>
          </w:p>
        </w:tc>
        <w:tc>
          <w:tcPr>
            <w:tcW w:w="976" w:type="dxa"/>
            <w:tcBorders>
              <w:top w:val="single" w:sz="4" w:space="0" w:color="44B3E1"/>
              <w:left w:val="nil"/>
              <w:bottom w:val="single" w:sz="4" w:space="0" w:color="44B3E1"/>
              <w:right w:val="nil"/>
            </w:tcBorders>
            <w:shd w:val="clear" w:color="156082" w:fill="156082"/>
            <w:noWrap/>
            <w:vAlign w:val="bottom"/>
            <w:hideMark/>
          </w:tcPr>
          <w:p w14:paraId="471601DA" w14:textId="77777777" w:rsidR="006F6C48" w:rsidRPr="006F6C48" w:rsidRDefault="006F6C48" w:rsidP="006F6C48">
            <w:pPr>
              <w:spacing w:after="0" w:line="240" w:lineRule="auto"/>
              <w:rPr>
                <w:rFonts w:ascii="Aptos Narrow" w:eastAsia="Times New Roman" w:hAnsi="Aptos Narrow" w:cs="Times New Roman"/>
                <w:b/>
                <w:bCs/>
                <w:color w:val="FFFFFF"/>
                <w:kern w:val="0"/>
                <w:sz w:val="22"/>
                <w:szCs w:val="22"/>
                <w:lang w:eastAsia="en-NG"/>
                <w14:ligatures w14:val="none"/>
              </w:rPr>
            </w:pPr>
            <w:r w:rsidRPr="006F6C48">
              <w:rPr>
                <w:rFonts w:ascii="Aptos Narrow" w:eastAsia="Times New Roman" w:hAnsi="Aptos Narrow" w:cs="Times New Roman"/>
                <w:b/>
                <w:bCs/>
                <w:color w:val="FFFFFF"/>
                <w:kern w:val="0"/>
                <w:sz w:val="22"/>
                <w:szCs w:val="22"/>
                <w:lang w:eastAsia="en-NG"/>
                <w14:ligatures w14:val="none"/>
              </w:rPr>
              <w:t>TLT</w:t>
            </w:r>
          </w:p>
        </w:tc>
        <w:tc>
          <w:tcPr>
            <w:tcW w:w="976" w:type="dxa"/>
            <w:tcBorders>
              <w:top w:val="single" w:sz="4" w:space="0" w:color="44B3E1"/>
              <w:left w:val="nil"/>
              <w:bottom w:val="single" w:sz="4" w:space="0" w:color="44B3E1"/>
              <w:right w:val="nil"/>
            </w:tcBorders>
            <w:shd w:val="clear" w:color="156082" w:fill="156082"/>
            <w:noWrap/>
            <w:vAlign w:val="bottom"/>
            <w:hideMark/>
          </w:tcPr>
          <w:p w14:paraId="3251DBF7" w14:textId="77777777" w:rsidR="006F6C48" w:rsidRPr="006F6C48" w:rsidRDefault="006F6C48" w:rsidP="006F6C48">
            <w:pPr>
              <w:spacing w:after="0" w:line="240" w:lineRule="auto"/>
              <w:rPr>
                <w:rFonts w:ascii="Aptos Narrow" w:eastAsia="Times New Roman" w:hAnsi="Aptos Narrow" w:cs="Times New Roman"/>
                <w:b/>
                <w:bCs/>
                <w:color w:val="FFFFFF"/>
                <w:kern w:val="0"/>
                <w:sz w:val="22"/>
                <w:szCs w:val="22"/>
                <w:lang w:eastAsia="en-NG"/>
                <w14:ligatures w14:val="none"/>
              </w:rPr>
            </w:pPr>
            <w:r w:rsidRPr="006F6C48">
              <w:rPr>
                <w:rFonts w:ascii="Aptos Narrow" w:eastAsia="Times New Roman" w:hAnsi="Aptos Narrow" w:cs="Times New Roman"/>
                <w:b/>
                <w:bCs/>
                <w:color w:val="FFFFFF"/>
                <w:kern w:val="0"/>
                <w:sz w:val="22"/>
                <w:szCs w:val="22"/>
                <w:lang w:eastAsia="en-NG"/>
                <w14:ligatures w14:val="none"/>
              </w:rPr>
              <w:t>^GSPC</w:t>
            </w:r>
          </w:p>
        </w:tc>
        <w:tc>
          <w:tcPr>
            <w:tcW w:w="976" w:type="dxa"/>
            <w:tcBorders>
              <w:top w:val="single" w:sz="4" w:space="0" w:color="44B3E1"/>
              <w:left w:val="nil"/>
              <w:bottom w:val="single" w:sz="4" w:space="0" w:color="44B3E1"/>
              <w:right w:val="nil"/>
            </w:tcBorders>
            <w:shd w:val="clear" w:color="156082" w:fill="156082"/>
            <w:noWrap/>
            <w:vAlign w:val="bottom"/>
            <w:hideMark/>
          </w:tcPr>
          <w:p w14:paraId="09706F6C" w14:textId="77777777" w:rsidR="006F6C48" w:rsidRPr="006F6C48" w:rsidRDefault="006F6C48" w:rsidP="006F6C48">
            <w:pPr>
              <w:spacing w:after="0" w:line="240" w:lineRule="auto"/>
              <w:rPr>
                <w:rFonts w:ascii="Aptos Narrow" w:eastAsia="Times New Roman" w:hAnsi="Aptos Narrow" w:cs="Times New Roman"/>
                <w:b/>
                <w:bCs/>
                <w:color w:val="FFFFFF"/>
                <w:kern w:val="0"/>
                <w:sz w:val="22"/>
                <w:szCs w:val="22"/>
                <w:lang w:eastAsia="en-NG"/>
                <w14:ligatures w14:val="none"/>
              </w:rPr>
            </w:pPr>
            <w:r w:rsidRPr="006F6C48">
              <w:rPr>
                <w:rFonts w:ascii="Aptos Narrow" w:eastAsia="Times New Roman" w:hAnsi="Aptos Narrow" w:cs="Times New Roman"/>
                <w:b/>
                <w:bCs/>
                <w:color w:val="FFFFFF"/>
                <w:kern w:val="0"/>
                <w:sz w:val="22"/>
                <w:szCs w:val="22"/>
                <w:lang w:eastAsia="en-NG"/>
                <w14:ligatures w14:val="none"/>
              </w:rPr>
              <w:t>EMM</w:t>
            </w:r>
          </w:p>
        </w:tc>
        <w:tc>
          <w:tcPr>
            <w:tcW w:w="968" w:type="dxa"/>
            <w:tcBorders>
              <w:top w:val="single" w:sz="4" w:space="0" w:color="44B3E1"/>
              <w:left w:val="nil"/>
              <w:bottom w:val="single" w:sz="4" w:space="0" w:color="44B3E1"/>
              <w:right w:val="single" w:sz="4" w:space="0" w:color="44B3E1"/>
            </w:tcBorders>
            <w:shd w:val="clear" w:color="156082" w:fill="156082"/>
            <w:noWrap/>
            <w:vAlign w:val="bottom"/>
            <w:hideMark/>
          </w:tcPr>
          <w:p w14:paraId="396F29CC" w14:textId="77777777" w:rsidR="006F6C48" w:rsidRPr="006F6C48" w:rsidRDefault="006F6C48" w:rsidP="006F6C48">
            <w:pPr>
              <w:spacing w:after="0" w:line="240" w:lineRule="auto"/>
              <w:rPr>
                <w:rFonts w:ascii="Aptos Narrow" w:eastAsia="Times New Roman" w:hAnsi="Aptos Narrow" w:cs="Times New Roman"/>
                <w:b/>
                <w:bCs/>
                <w:color w:val="FFFFFF"/>
                <w:kern w:val="0"/>
                <w:sz w:val="22"/>
                <w:szCs w:val="22"/>
                <w:lang w:eastAsia="en-NG"/>
                <w14:ligatures w14:val="none"/>
              </w:rPr>
            </w:pPr>
            <w:r w:rsidRPr="006F6C48">
              <w:rPr>
                <w:rFonts w:ascii="Aptos Narrow" w:eastAsia="Times New Roman" w:hAnsi="Aptos Narrow" w:cs="Times New Roman"/>
                <w:b/>
                <w:bCs/>
                <w:color w:val="FFFFFF"/>
                <w:kern w:val="0"/>
                <w:sz w:val="22"/>
                <w:szCs w:val="22"/>
                <w:lang w:eastAsia="en-NG"/>
                <w14:ligatures w14:val="none"/>
              </w:rPr>
              <w:t>MFST</w:t>
            </w:r>
          </w:p>
        </w:tc>
      </w:tr>
      <w:tr w:rsidR="006F6C48" w:rsidRPr="006F6C48" w14:paraId="0F471F44" w14:textId="77777777" w:rsidTr="006F6C48">
        <w:trPr>
          <w:trHeight w:val="288"/>
        </w:trPr>
        <w:tc>
          <w:tcPr>
            <w:tcW w:w="968" w:type="dxa"/>
            <w:tcBorders>
              <w:top w:val="single" w:sz="4" w:space="0" w:color="44B3E1"/>
              <w:left w:val="single" w:sz="4" w:space="0" w:color="44B3E1"/>
              <w:bottom w:val="single" w:sz="4" w:space="0" w:color="44B3E1"/>
              <w:right w:val="nil"/>
            </w:tcBorders>
            <w:shd w:val="clear" w:color="C0E6F5" w:fill="C0E6F5"/>
            <w:noWrap/>
            <w:vAlign w:val="bottom"/>
            <w:hideMark/>
          </w:tcPr>
          <w:p w14:paraId="2BDB5229" w14:textId="77777777" w:rsidR="006F6C48" w:rsidRPr="006F6C48" w:rsidRDefault="006F6C48" w:rsidP="006F6C48">
            <w:pPr>
              <w:spacing w:after="0" w:line="240" w:lineRule="auto"/>
              <w:rPr>
                <w:rFonts w:ascii="Aptos Narrow" w:eastAsia="Times New Roman" w:hAnsi="Aptos Narrow" w:cs="Times New Roman"/>
                <w:b/>
                <w:bCs/>
                <w:color w:val="000000"/>
                <w:kern w:val="0"/>
                <w:sz w:val="22"/>
                <w:szCs w:val="22"/>
                <w:lang w:eastAsia="en-NG"/>
                <w14:ligatures w14:val="none"/>
              </w:rPr>
            </w:pPr>
            <w:r w:rsidRPr="006F6C48">
              <w:rPr>
                <w:rFonts w:ascii="Aptos Narrow" w:eastAsia="Times New Roman" w:hAnsi="Aptos Narrow" w:cs="Times New Roman"/>
                <w:b/>
                <w:bCs/>
                <w:color w:val="000000"/>
                <w:kern w:val="0"/>
                <w:sz w:val="22"/>
                <w:szCs w:val="22"/>
                <w:lang w:eastAsia="en-NG"/>
                <w14:ligatures w14:val="none"/>
              </w:rPr>
              <w:t>Q1</w:t>
            </w:r>
          </w:p>
        </w:tc>
        <w:tc>
          <w:tcPr>
            <w:tcW w:w="976" w:type="dxa"/>
            <w:tcBorders>
              <w:top w:val="single" w:sz="4" w:space="0" w:color="44B3E1"/>
              <w:left w:val="nil"/>
              <w:bottom w:val="single" w:sz="4" w:space="0" w:color="44B3E1"/>
              <w:right w:val="nil"/>
            </w:tcBorders>
            <w:shd w:val="clear" w:color="C0E6F5" w:fill="C0E6F5"/>
            <w:noWrap/>
            <w:vAlign w:val="bottom"/>
            <w:hideMark/>
          </w:tcPr>
          <w:p w14:paraId="17EBA811" w14:textId="77777777" w:rsidR="006F6C48" w:rsidRPr="006F6C48" w:rsidRDefault="006F6C48" w:rsidP="006F6C48">
            <w:pPr>
              <w:spacing w:after="0" w:line="240" w:lineRule="auto"/>
              <w:jc w:val="right"/>
              <w:rPr>
                <w:rFonts w:ascii="Aptos Narrow" w:eastAsia="Times New Roman" w:hAnsi="Aptos Narrow" w:cs="Times New Roman"/>
                <w:color w:val="000000"/>
                <w:kern w:val="0"/>
                <w:sz w:val="22"/>
                <w:szCs w:val="22"/>
                <w:lang w:eastAsia="en-NG"/>
                <w14:ligatures w14:val="none"/>
              </w:rPr>
            </w:pPr>
            <w:r w:rsidRPr="006F6C48">
              <w:rPr>
                <w:rFonts w:ascii="Aptos Narrow" w:eastAsia="Times New Roman" w:hAnsi="Aptos Narrow" w:cs="Times New Roman"/>
                <w:color w:val="000000"/>
                <w:kern w:val="0"/>
                <w:sz w:val="22"/>
                <w:szCs w:val="22"/>
                <w:lang w:eastAsia="en-NG"/>
                <w14:ligatures w14:val="none"/>
              </w:rPr>
              <w:t>-13.20%</w:t>
            </w:r>
          </w:p>
        </w:tc>
        <w:tc>
          <w:tcPr>
            <w:tcW w:w="976" w:type="dxa"/>
            <w:tcBorders>
              <w:top w:val="single" w:sz="4" w:space="0" w:color="44B3E1"/>
              <w:left w:val="nil"/>
              <w:bottom w:val="single" w:sz="4" w:space="0" w:color="44B3E1"/>
              <w:right w:val="nil"/>
            </w:tcBorders>
            <w:shd w:val="clear" w:color="C0E6F5" w:fill="C0E6F5"/>
            <w:noWrap/>
            <w:vAlign w:val="bottom"/>
            <w:hideMark/>
          </w:tcPr>
          <w:p w14:paraId="469B5E5B" w14:textId="77777777" w:rsidR="006F6C48" w:rsidRPr="006F6C48" w:rsidRDefault="006F6C48" w:rsidP="006F6C48">
            <w:pPr>
              <w:spacing w:after="0" w:line="240" w:lineRule="auto"/>
              <w:jc w:val="right"/>
              <w:rPr>
                <w:rFonts w:ascii="Aptos Narrow" w:eastAsia="Times New Roman" w:hAnsi="Aptos Narrow" w:cs="Times New Roman"/>
                <w:color w:val="000000"/>
                <w:kern w:val="0"/>
                <w:sz w:val="22"/>
                <w:szCs w:val="22"/>
                <w:lang w:eastAsia="en-NG"/>
                <w14:ligatures w14:val="none"/>
              </w:rPr>
            </w:pPr>
            <w:r w:rsidRPr="006F6C48">
              <w:rPr>
                <w:rFonts w:ascii="Aptos Narrow" w:eastAsia="Times New Roman" w:hAnsi="Aptos Narrow" w:cs="Times New Roman"/>
                <w:color w:val="000000"/>
                <w:kern w:val="0"/>
                <w:sz w:val="22"/>
                <w:szCs w:val="22"/>
                <w:lang w:eastAsia="en-NG"/>
                <w14:ligatures w14:val="none"/>
              </w:rPr>
              <w:t>3.60%</w:t>
            </w:r>
          </w:p>
        </w:tc>
        <w:tc>
          <w:tcPr>
            <w:tcW w:w="976" w:type="dxa"/>
            <w:tcBorders>
              <w:top w:val="single" w:sz="4" w:space="0" w:color="44B3E1"/>
              <w:left w:val="nil"/>
              <w:bottom w:val="single" w:sz="4" w:space="0" w:color="44B3E1"/>
              <w:right w:val="nil"/>
            </w:tcBorders>
            <w:shd w:val="clear" w:color="C0E6F5" w:fill="C0E6F5"/>
            <w:noWrap/>
            <w:vAlign w:val="bottom"/>
            <w:hideMark/>
          </w:tcPr>
          <w:p w14:paraId="517F9C27" w14:textId="77777777" w:rsidR="006F6C48" w:rsidRPr="006F6C48" w:rsidRDefault="006F6C48" w:rsidP="006F6C48">
            <w:pPr>
              <w:spacing w:after="0" w:line="240" w:lineRule="auto"/>
              <w:jc w:val="right"/>
              <w:rPr>
                <w:rFonts w:ascii="Aptos Narrow" w:eastAsia="Times New Roman" w:hAnsi="Aptos Narrow" w:cs="Times New Roman"/>
                <w:color w:val="000000"/>
                <w:kern w:val="0"/>
                <w:sz w:val="22"/>
                <w:szCs w:val="22"/>
                <w:lang w:eastAsia="en-NG"/>
                <w14:ligatures w14:val="none"/>
              </w:rPr>
            </w:pPr>
            <w:r w:rsidRPr="006F6C48">
              <w:rPr>
                <w:rFonts w:ascii="Aptos Narrow" w:eastAsia="Times New Roman" w:hAnsi="Aptos Narrow" w:cs="Times New Roman"/>
                <w:color w:val="000000"/>
                <w:kern w:val="0"/>
                <w:sz w:val="22"/>
                <w:szCs w:val="22"/>
                <w:lang w:eastAsia="en-NG"/>
                <w14:ligatures w14:val="none"/>
              </w:rPr>
              <w:t>22.15%</w:t>
            </w:r>
          </w:p>
        </w:tc>
        <w:tc>
          <w:tcPr>
            <w:tcW w:w="976" w:type="dxa"/>
            <w:tcBorders>
              <w:top w:val="single" w:sz="4" w:space="0" w:color="44B3E1"/>
              <w:left w:val="nil"/>
              <w:bottom w:val="single" w:sz="4" w:space="0" w:color="44B3E1"/>
              <w:right w:val="nil"/>
            </w:tcBorders>
            <w:shd w:val="clear" w:color="C0E6F5" w:fill="C0E6F5"/>
            <w:noWrap/>
            <w:vAlign w:val="bottom"/>
            <w:hideMark/>
          </w:tcPr>
          <w:p w14:paraId="27966EDE" w14:textId="77777777" w:rsidR="006F6C48" w:rsidRPr="006F6C48" w:rsidRDefault="006F6C48" w:rsidP="006F6C48">
            <w:pPr>
              <w:spacing w:after="0" w:line="240" w:lineRule="auto"/>
              <w:jc w:val="right"/>
              <w:rPr>
                <w:rFonts w:ascii="Aptos Narrow" w:eastAsia="Times New Roman" w:hAnsi="Aptos Narrow" w:cs="Times New Roman"/>
                <w:color w:val="000000"/>
                <w:kern w:val="0"/>
                <w:sz w:val="22"/>
                <w:szCs w:val="22"/>
                <w:lang w:eastAsia="en-NG"/>
                <w14:ligatures w14:val="none"/>
              </w:rPr>
            </w:pPr>
            <w:r w:rsidRPr="006F6C48">
              <w:rPr>
                <w:rFonts w:ascii="Aptos Narrow" w:eastAsia="Times New Roman" w:hAnsi="Aptos Narrow" w:cs="Times New Roman"/>
                <w:color w:val="000000"/>
                <w:kern w:val="0"/>
                <w:sz w:val="22"/>
                <w:szCs w:val="22"/>
                <w:lang w:eastAsia="en-NG"/>
                <w14:ligatures w14:val="none"/>
              </w:rPr>
              <w:t>-20.00%</w:t>
            </w:r>
          </w:p>
        </w:tc>
        <w:tc>
          <w:tcPr>
            <w:tcW w:w="976" w:type="dxa"/>
            <w:tcBorders>
              <w:top w:val="single" w:sz="4" w:space="0" w:color="44B3E1"/>
              <w:left w:val="nil"/>
              <w:bottom w:val="single" w:sz="4" w:space="0" w:color="44B3E1"/>
              <w:right w:val="nil"/>
            </w:tcBorders>
            <w:shd w:val="clear" w:color="C0E6F5" w:fill="C0E6F5"/>
            <w:noWrap/>
            <w:vAlign w:val="bottom"/>
            <w:hideMark/>
          </w:tcPr>
          <w:p w14:paraId="5128074D" w14:textId="77777777" w:rsidR="006F6C48" w:rsidRPr="006F6C48" w:rsidRDefault="006F6C48" w:rsidP="006F6C48">
            <w:pPr>
              <w:spacing w:after="0" w:line="240" w:lineRule="auto"/>
              <w:jc w:val="right"/>
              <w:rPr>
                <w:rFonts w:ascii="Aptos Narrow" w:eastAsia="Times New Roman" w:hAnsi="Aptos Narrow" w:cs="Times New Roman"/>
                <w:color w:val="000000"/>
                <w:kern w:val="0"/>
                <w:sz w:val="22"/>
                <w:szCs w:val="22"/>
                <w:lang w:eastAsia="en-NG"/>
                <w14:ligatures w14:val="none"/>
              </w:rPr>
            </w:pPr>
            <w:r w:rsidRPr="006F6C48">
              <w:rPr>
                <w:rFonts w:ascii="Aptos Narrow" w:eastAsia="Times New Roman" w:hAnsi="Aptos Narrow" w:cs="Times New Roman"/>
                <w:color w:val="000000"/>
                <w:kern w:val="0"/>
                <w:sz w:val="22"/>
                <w:szCs w:val="22"/>
                <w:lang w:eastAsia="en-NG"/>
                <w14:ligatures w14:val="none"/>
              </w:rPr>
              <w:t>-23.94%</w:t>
            </w:r>
          </w:p>
        </w:tc>
        <w:tc>
          <w:tcPr>
            <w:tcW w:w="968" w:type="dxa"/>
            <w:tcBorders>
              <w:top w:val="single" w:sz="4" w:space="0" w:color="44B3E1"/>
              <w:left w:val="nil"/>
              <w:bottom w:val="single" w:sz="4" w:space="0" w:color="44B3E1"/>
              <w:right w:val="single" w:sz="4" w:space="0" w:color="44B3E1"/>
            </w:tcBorders>
            <w:shd w:val="clear" w:color="C0E6F5" w:fill="C0E6F5"/>
            <w:noWrap/>
            <w:vAlign w:val="bottom"/>
            <w:hideMark/>
          </w:tcPr>
          <w:p w14:paraId="07ACE7D9" w14:textId="77777777" w:rsidR="006F6C48" w:rsidRPr="006F6C48" w:rsidRDefault="006F6C48" w:rsidP="006F6C48">
            <w:pPr>
              <w:spacing w:after="0" w:line="240" w:lineRule="auto"/>
              <w:jc w:val="right"/>
              <w:rPr>
                <w:rFonts w:ascii="Aptos Narrow" w:eastAsia="Times New Roman" w:hAnsi="Aptos Narrow" w:cs="Times New Roman"/>
                <w:color w:val="000000"/>
                <w:kern w:val="0"/>
                <w:sz w:val="22"/>
                <w:szCs w:val="22"/>
                <w:lang w:eastAsia="en-NG"/>
                <w14:ligatures w14:val="none"/>
              </w:rPr>
            </w:pPr>
            <w:r w:rsidRPr="006F6C48">
              <w:rPr>
                <w:rFonts w:ascii="Aptos Narrow" w:eastAsia="Times New Roman" w:hAnsi="Aptos Narrow" w:cs="Times New Roman"/>
                <w:color w:val="000000"/>
                <w:kern w:val="0"/>
                <w:sz w:val="22"/>
                <w:szCs w:val="22"/>
                <w:lang w:eastAsia="en-NG"/>
                <w14:ligatures w14:val="none"/>
              </w:rPr>
              <w:t>0.28%</w:t>
            </w:r>
          </w:p>
        </w:tc>
      </w:tr>
      <w:tr w:rsidR="006F6C48" w:rsidRPr="006F6C48" w14:paraId="50B2D6C3" w14:textId="77777777" w:rsidTr="006F6C48">
        <w:trPr>
          <w:trHeight w:val="288"/>
        </w:trPr>
        <w:tc>
          <w:tcPr>
            <w:tcW w:w="968" w:type="dxa"/>
            <w:tcBorders>
              <w:top w:val="single" w:sz="4" w:space="0" w:color="44B3E1"/>
              <w:left w:val="single" w:sz="4" w:space="0" w:color="44B3E1"/>
              <w:bottom w:val="single" w:sz="4" w:space="0" w:color="44B3E1"/>
              <w:right w:val="nil"/>
            </w:tcBorders>
            <w:noWrap/>
            <w:vAlign w:val="bottom"/>
            <w:hideMark/>
          </w:tcPr>
          <w:p w14:paraId="3687265B" w14:textId="77777777" w:rsidR="006F6C48" w:rsidRPr="006F6C48" w:rsidRDefault="006F6C48" w:rsidP="006F6C48">
            <w:pPr>
              <w:spacing w:after="0" w:line="240" w:lineRule="auto"/>
              <w:rPr>
                <w:rFonts w:ascii="Aptos Narrow" w:eastAsia="Times New Roman" w:hAnsi="Aptos Narrow" w:cs="Times New Roman"/>
                <w:b/>
                <w:bCs/>
                <w:color w:val="000000"/>
                <w:kern w:val="0"/>
                <w:sz w:val="22"/>
                <w:szCs w:val="22"/>
                <w:lang w:eastAsia="en-NG"/>
                <w14:ligatures w14:val="none"/>
              </w:rPr>
            </w:pPr>
            <w:r w:rsidRPr="006F6C48">
              <w:rPr>
                <w:rFonts w:ascii="Aptos Narrow" w:eastAsia="Times New Roman" w:hAnsi="Aptos Narrow" w:cs="Times New Roman"/>
                <w:b/>
                <w:bCs/>
                <w:color w:val="000000"/>
                <w:kern w:val="0"/>
                <w:sz w:val="22"/>
                <w:szCs w:val="22"/>
                <w:lang w:eastAsia="en-NG"/>
                <w14:ligatures w14:val="none"/>
              </w:rPr>
              <w:t>Q2</w:t>
            </w:r>
          </w:p>
        </w:tc>
        <w:tc>
          <w:tcPr>
            <w:tcW w:w="976" w:type="dxa"/>
            <w:tcBorders>
              <w:top w:val="single" w:sz="4" w:space="0" w:color="44B3E1"/>
              <w:left w:val="nil"/>
              <w:bottom w:val="single" w:sz="4" w:space="0" w:color="44B3E1"/>
              <w:right w:val="nil"/>
            </w:tcBorders>
            <w:noWrap/>
            <w:vAlign w:val="bottom"/>
            <w:hideMark/>
          </w:tcPr>
          <w:p w14:paraId="79D742CD" w14:textId="77777777" w:rsidR="006F6C48" w:rsidRPr="006F6C48" w:rsidRDefault="006F6C48" w:rsidP="006F6C48">
            <w:pPr>
              <w:spacing w:after="0" w:line="240" w:lineRule="auto"/>
              <w:jc w:val="right"/>
              <w:rPr>
                <w:rFonts w:ascii="Aptos Narrow" w:eastAsia="Times New Roman" w:hAnsi="Aptos Narrow" w:cs="Times New Roman"/>
                <w:color w:val="000000"/>
                <w:kern w:val="0"/>
                <w:sz w:val="22"/>
                <w:szCs w:val="22"/>
                <w:lang w:eastAsia="en-NG"/>
                <w14:ligatures w14:val="none"/>
              </w:rPr>
            </w:pPr>
            <w:r w:rsidRPr="006F6C48">
              <w:rPr>
                <w:rFonts w:ascii="Aptos Narrow" w:eastAsia="Times New Roman" w:hAnsi="Aptos Narrow" w:cs="Times New Roman"/>
                <w:color w:val="000000"/>
                <w:kern w:val="0"/>
                <w:sz w:val="22"/>
                <w:szCs w:val="22"/>
                <w:lang w:eastAsia="en-NG"/>
                <w14:ligatures w14:val="none"/>
              </w:rPr>
              <w:t>43.85%</w:t>
            </w:r>
          </w:p>
        </w:tc>
        <w:tc>
          <w:tcPr>
            <w:tcW w:w="976" w:type="dxa"/>
            <w:tcBorders>
              <w:top w:val="single" w:sz="4" w:space="0" w:color="44B3E1"/>
              <w:left w:val="nil"/>
              <w:bottom w:val="single" w:sz="4" w:space="0" w:color="44B3E1"/>
              <w:right w:val="nil"/>
            </w:tcBorders>
            <w:noWrap/>
            <w:vAlign w:val="bottom"/>
            <w:hideMark/>
          </w:tcPr>
          <w:p w14:paraId="522AB931" w14:textId="77777777" w:rsidR="006F6C48" w:rsidRPr="006F6C48" w:rsidRDefault="006F6C48" w:rsidP="006F6C48">
            <w:pPr>
              <w:spacing w:after="0" w:line="240" w:lineRule="auto"/>
              <w:jc w:val="right"/>
              <w:rPr>
                <w:rFonts w:ascii="Aptos Narrow" w:eastAsia="Times New Roman" w:hAnsi="Aptos Narrow" w:cs="Times New Roman"/>
                <w:color w:val="000000"/>
                <w:kern w:val="0"/>
                <w:sz w:val="22"/>
                <w:szCs w:val="22"/>
                <w:lang w:eastAsia="en-NG"/>
                <w14:ligatures w14:val="none"/>
              </w:rPr>
            </w:pPr>
            <w:r w:rsidRPr="006F6C48">
              <w:rPr>
                <w:rFonts w:ascii="Aptos Narrow" w:eastAsia="Times New Roman" w:hAnsi="Aptos Narrow" w:cs="Times New Roman"/>
                <w:color w:val="000000"/>
                <w:kern w:val="0"/>
                <w:sz w:val="22"/>
                <w:szCs w:val="22"/>
                <w:lang w:eastAsia="en-NG"/>
                <w14:ligatures w14:val="none"/>
              </w:rPr>
              <w:t>13.05%</w:t>
            </w:r>
          </w:p>
        </w:tc>
        <w:tc>
          <w:tcPr>
            <w:tcW w:w="976" w:type="dxa"/>
            <w:tcBorders>
              <w:top w:val="single" w:sz="4" w:space="0" w:color="44B3E1"/>
              <w:left w:val="nil"/>
              <w:bottom w:val="single" w:sz="4" w:space="0" w:color="44B3E1"/>
              <w:right w:val="nil"/>
            </w:tcBorders>
            <w:noWrap/>
            <w:vAlign w:val="bottom"/>
            <w:hideMark/>
          </w:tcPr>
          <w:p w14:paraId="4C0F7D6B" w14:textId="77777777" w:rsidR="006F6C48" w:rsidRPr="006F6C48" w:rsidRDefault="006F6C48" w:rsidP="006F6C48">
            <w:pPr>
              <w:spacing w:after="0" w:line="240" w:lineRule="auto"/>
              <w:jc w:val="right"/>
              <w:rPr>
                <w:rFonts w:ascii="Aptos Narrow" w:eastAsia="Times New Roman" w:hAnsi="Aptos Narrow" w:cs="Times New Roman"/>
                <w:color w:val="000000"/>
                <w:kern w:val="0"/>
                <w:sz w:val="22"/>
                <w:szCs w:val="22"/>
                <w:lang w:eastAsia="en-NG"/>
                <w14:ligatures w14:val="none"/>
              </w:rPr>
            </w:pPr>
            <w:r w:rsidRPr="006F6C48">
              <w:rPr>
                <w:rFonts w:ascii="Aptos Narrow" w:eastAsia="Times New Roman" w:hAnsi="Aptos Narrow" w:cs="Times New Roman"/>
                <w:color w:val="000000"/>
                <w:kern w:val="0"/>
                <w:sz w:val="22"/>
                <w:szCs w:val="22"/>
                <w:lang w:eastAsia="en-NG"/>
                <w14:ligatures w14:val="none"/>
              </w:rPr>
              <w:t>-0.23%</w:t>
            </w:r>
          </w:p>
        </w:tc>
        <w:tc>
          <w:tcPr>
            <w:tcW w:w="976" w:type="dxa"/>
            <w:tcBorders>
              <w:top w:val="single" w:sz="4" w:space="0" w:color="44B3E1"/>
              <w:left w:val="nil"/>
              <w:bottom w:val="single" w:sz="4" w:space="0" w:color="44B3E1"/>
              <w:right w:val="nil"/>
            </w:tcBorders>
            <w:noWrap/>
            <w:vAlign w:val="bottom"/>
            <w:hideMark/>
          </w:tcPr>
          <w:p w14:paraId="094B4BF0" w14:textId="77777777" w:rsidR="006F6C48" w:rsidRPr="006F6C48" w:rsidRDefault="006F6C48" w:rsidP="006F6C48">
            <w:pPr>
              <w:spacing w:after="0" w:line="240" w:lineRule="auto"/>
              <w:jc w:val="right"/>
              <w:rPr>
                <w:rFonts w:ascii="Aptos Narrow" w:eastAsia="Times New Roman" w:hAnsi="Aptos Narrow" w:cs="Times New Roman"/>
                <w:color w:val="000000"/>
                <w:kern w:val="0"/>
                <w:sz w:val="22"/>
                <w:szCs w:val="22"/>
                <w:lang w:eastAsia="en-NG"/>
                <w14:ligatures w14:val="none"/>
              </w:rPr>
            </w:pPr>
            <w:r w:rsidRPr="006F6C48">
              <w:rPr>
                <w:rFonts w:ascii="Aptos Narrow" w:eastAsia="Times New Roman" w:hAnsi="Aptos Narrow" w:cs="Times New Roman"/>
                <w:color w:val="000000"/>
                <w:kern w:val="0"/>
                <w:sz w:val="22"/>
                <w:szCs w:val="22"/>
                <w:lang w:eastAsia="en-NG"/>
                <w14:ligatures w14:val="none"/>
              </w:rPr>
              <w:t>19.95%</w:t>
            </w:r>
          </w:p>
        </w:tc>
        <w:tc>
          <w:tcPr>
            <w:tcW w:w="976" w:type="dxa"/>
            <w:tcBorders>
              <w:top w:val="single" w:sz="4" w:space="0" w:color="44B3E1"/>
              <w:left w:val="nil"/>
              <w:bottom w:val="single" w:sz="4" w:space="0" w:color="44B3E1"/>
              <w:right w:val="nil"/>
            </w:tcBorders>
            <w:noWrap/>
            <w:vAlign w:val="bottom"/>
            <w:hideMark/>
          </w:tcPr>
          <w:p w14:paraId="28ACF667" w14:textId="77777777" w:rsidR="006F6C48" w:rsidRPr="006F6C48" w:rsidRDefault="006F6C48" w:rsidP="006F6C48">
            <w:pPr>
              <w:spacing w:after="0" w:line="240" w:lineRule="auto"/>
              <w:jc w:val="right"/>
              <w:rPr>
                <w:rFonts w:ascii="Aptos Narrow" w:eastAsia="Times New Roman" w:hAnsi="Aptos Narrow" w:cs="Times New Roman"/>
                <w:color w:val="000000"/>
                <w:kern w:val="0"/>
                <w:sz w:val="22"/>
                <w:szCs w:val="22"/>
                <w:lang w:eastAsia="en-NG"/>
                <w14:ligatures w14:val="none"/>
              </w:rPr>
            </w:pPr>
            <w:r w:rsidRPr="006F6C48">
              <w:rPr>
                <w:rFonts w:ascii="Aptos Narrow" w:eastAsia="Times New Roman" w:hAnsi="Aptos Narrow" w:cs="Times New Roman"/>
                <w:color w:val="000000"/>
                <w:kern w:val="0"/>
                <w:sz w:val="22"/>
                <w:szCs w:val="22"/>
                <w:lang w:eastAsia="en-NG"/>
                <w14:ligatures w14:val="none"/>
              </w:rPr>
              <w:t>17.85%</w:t>
            </w:r>
          </w:p>
        </w:tc>
        <w:tc>
          <w:tcPr>
            <w:tcW w:w="968" w:type="dxa"/>
            <w:tcBorders>
              <w:top w:val="single" w:sz="4" w:space="0" w:color="44B3E1"/>
              <w:left w:val="nil"/>
              <w:bottom w:val="single" w:sz="4" w:space="0" w:color="44B3E1"/>
              <w:right w:val="single" w:sz="4" w:space="0" w:color="44B3E1"/>
            </w:tcBorders>
            <w:noWrap/>
            <w:vAlign w:val="bottom"/>
            <w:hideMark/>
          </w:tcPr>
          <w:p w14:paraId="0E759A73" w14:textId="77777777" w:rsidR="006F6C48" w:rsidRPr="006F6C48" w:rsidRDefault="006F6C48" w:rsidP="006F6C48">
            <w:pPr>
              <w:spacing w:after="0" w:line="240" w:lineRule="auto"/>
              <w:jc w:val="right"/>
              <w:rPr>
                <w:rFonts w:ascii="Aptos Narrow" w:eastAsia="Times New Roman" w:hAnsi="Aptos Narrow" w:cs="Times New Roman"/>
                <w:color w:val="000000"/>
                <w:kern w:val="0"/>
                <w:sz w:val="22"/>
                <w:szCs w:val="22"/>
                <w:lang w:eastAsia="en-NG"/>
                <w14:ligatures w14:val="none"/>
              </w:rPr>
            </w:pPr>
            <w:r w:rsidRPr="006F6C48">
              <w:rPr>
                <w:rFonts w:ascii="Aptos Narrow" w:eastAsia="Times New Roman" w:hAnsi="Aptos Narrow" w:cs="Times New Roman"/>
                <w:color w:val="000000"/>
                <w:kern w:val="0"/>
                <w:sz w:val="22"/>
                <w:szCs w:val="22"/>
                <w:lang w:eastAsia="en-NG"/>
                <w14:ligatures w14:val="none"/>
              </w:rPr>
              <w:t>29.40%</w:t>
            </w:r>
          </w:p>
        </w:tc>
      </w:tr>
      <w:tr w:rsidR="006F6C48" w:rsidRPr="006F6C48" w14:paraId="40CADD97" w14:textId="77777777" w:rsidTr="006F6C48">
        <w:trPr>
          <w:trHeight w:val="288"/>
        </w:trPr>
        <w:tc>
          <w:tcPr>
            <w:tcW w:w="968" w:type="dxa"/>
            <w:tcBorders>
              <w:top w:val="single" w:sz="4" w:space="0" w:color="44B3E1"/>
              <w:left w:val="single" w:sz="4" w:space="0" w:color="44B3E1"/>
              <w:bottom w:val="single" w:sz="4" w:space="0" w:color="44B3E1"/>
              <w:right w:val="nil"/>
            </w:tcBorders>
            <w:shd w:val="clear" w:color="C0E6F5" w:fill="C0E6F5"/>
            <w:noWrap/>
            <w:vAlign w:val="bottom"/>
            <w:hideMark/>
          </w:tcPr>
          <w:p w14:paraId="77E5DE63" w14:textId="77777777" w:rsidR="006F6C48" w:rsidRPr="006F6C48" w:rsidRDefault="006F6C48" w:rsidP="006F6C48">
            <w:pPr>
              <w:spacing w:after="0" w:line="240" w:lineRule="auto"/>
              <w:rPr>
                <w:rFonts w:ascii="Aptos Narrow" w:eastAsia="Times New Roman" w:hAnsi="Aptos Narrow" w:cs="Times New Roman"/>
                <w:b/>
                <w:bCs/>
                <w:color w:val="000000"/>
                <w:kern w:val="0"/>
                <w:sz w:val="22"/>
                <w:szCs w:val="22"/>
                <w:lang w:eastAsia="en-NG"/>
                <w14:ligatures w14:val="none"/>
              </w:rPr>
            </w:pPr>
            <w:r w:rsidRPr="006F6C48">
              <w:rPr>
                <w:rFonts w:ascii="Aptos Narrow" w:eastAsia="Times New Roman" w:hAnsi="Aptos Narrow" w:cs="Times New Roman"/>
                <w:b/>
                <w:bCs/>
                <w:color w:val="000000"/>
                <w:kern w:val="0"/>
                <w:sz w:val="22"/>
                <w:szCs w:val="22"/>
                <w:lang w:eastAsia="en-NG"/>
                <w14:ligatures w14:val="none"/>
              </w:rPr>
              <w:t>Q3</w:t>
            </w:r>
          </w:p>
        </w:tc>
        <w:tc>
          <w:tcPr>
            <w:tcW w:w="976" w:type="dxa"/>
            <w:tcBorders>
              <w:top w:val="single" w:sz="4" w:space="0" w:color="44B3E1"/>
              <w:left w:val="nil"/>
              <w:bottom w:val="single" w:sz="4" w:space="0" w:color="44B3E1"/>
              <w:right w:val="nil"/>
            </w:tcBorders>
            <w:shd w:val="clear" w:color="C0E6F5" w:fill="C0E6F5"/>
            <w:noWrap/>
            <w:vAlign w:val="bottom"/>
            <w:hideMark/>
          </w:tcPr>
          <w:p w14:paraId="48917D37" w14:textId="77777777" w:rsidR="006F6C48" w:rsidRPr="006F6C48" w:rsidRDefault="006F6C48" w:rsidP="006F6C48">
            <w:pPr>
              <w:spacing w:after="0" w:line="240" w:lineRule="auto"/>
              <w:jc w:val="right"/>
              <w:rPr>
                <w:rFonts w:ascii="Aptos Narrow" w:eastAsia="Times New Roman" w:hAnsi="Aptos Narrow" w:cs="Times New Roman"/>
                <w:color w:val="000000"/>
                <w:kern w:val="0"/>
                <w:sz w:val="22"/>
                <w:szCs w:val="22"/>
                <w:lang w:eastAsia="en-NG"/>
                <w14:ligatures w14:val="none"/>
              </w:rPr>
            </w:pPr>
            <w:r w:rsidRPr="006F6C48">
              <w:rPr>
                <w:rFonts w:ascii="Aptos Narrow" w:eastAsia="Times New Roman" w:hAnsi="Aptos Narrow" w:cs="Times New Roman"/>
                <w:color w:val="000000"/>
                <w:kern w:val="0"/>
                <w:sz w:val="22"/>
                <w:szCs w:val="22"/>
                <w:lang w:eastAsia="en-NG"/>
                <w14:ligatures w14:val="none"/>
              </w:rPr>
              <w:t>27.21%</w:t>
            </w:r>
          </w:p>
        </w:tc>
        <w:tc>
          <w:tcPr>
            <w:tcW w:w="976" w:type="dxa"/>
            <w:tcBorders>
              <w:top w:val="single" w:sz="4" w:space="0" w:color="44B3E1"/>
              <w:left w:val="nil"/>
              <w:bottom w:val="single" w:sz="4" w:space="0" w:color="44B3E1"/>
              <w:right w:val="nil"/>
            </w:tcBorders>
            <w:shd w:val="clear" w:color="C0E6F5" w:fill="C0E6F5"/>
            <w:noWrap/>
            <w:vAlign w:val="bottom"/>
            <w:hideMark/>
          </w:tcPr>
          <w:p w14:paraId="107D8D8F" w14:textId="77777777" w:rsidR="006F6C48" w:rsidRPr="006F6C48" w:rsidRDefault="006F6C48" w:rsidP="006F6C48">
            <w:pPr>
              <w:spacing w:after="0" w:line="240" w:lineRule="auto"/>
              <w:jc w:val="right"/>
              <w:rPr>
                <w:rFonts w:ascii="Aptos Narrow" w:eastAsia="Times New Roman" w:hAnsi="Aptos Narrow" w:cs="Times New Roman"/>
                <w:color w:val="000000"/>
                <w:kern w:val="0"/>
                <w:sz w:val="22"/>
                <w:szCs w:val="22"/>
                <w:lang w:eastAsia="en-NG"/>
                <w14:ligatures w14:val="none"/>
              </w:rPr>
            </w:pPr>
            <w:r w:rsidRPr="006F6C48">
              <w:rPr>
                <w:rFonts w:ascii="Aptos Narrow" w:eastAsia="Times New Roman" w:hAnsi="Aptos Narrow" w:cs="Times New Roman"/>
                <w:color w:val="000000"/>
                <w:kern w:val="0"/>
                <w:sz w:val="22"/>
                <w:szCs w:val="22"/>
                <w:lang w:eastAsia="en-NG"/>
                <w14:ligatures w14:val="none"/>
              </w:rPr>
              <w:t>5.83%</w:t>
            </w:r>
          </w:p>
        </w:tc>
        <w:tc>
          <w:tcPr>
            <w:tcW w:w="976" w:type="dxa"/>
            <w:tcBorders>
              <w:top w:val="single" w:sz="4" w:space="0" w:color="44B3E1"/>
              <w:left w:val="nil"/>
              <w:bottom w:val="single" w:sz="4" w:space="0" w:color="44B3E1"/>
              <w:right w:val="nil"/>
            </w:tcBorders>
            <w:shd w:val="clear" w:color="C0E6F5" w:fill="C0E6F5"/>
            <w:noWrap/>
            <w:vAlign w:val="bottom"/>
            <w:hideMark/>
          </w:tcPr>
          <w:p w14:paraId="3BAC73FA" w14:textId="77777777" w:rsidR="006F6C48" w:rsidRPr="006F6C48" w:rsidRDefault="006F6C48" w:rsidP="006F6C48">
            <w:pPr>
              <w:spacing w:after="0" w:line="240" w:lineRule="auto"/>
              <w:jc w:val="right"/>
              <w:rPr>
                <w:rFonts w:ascii="Aptos Narrow" w:eastAsia="Times New Roman" w:hAnsi="Aptos Narrow" w:cs="Times New Roman"/>
                <w:color w:val="000000"/>
                <w:kern w:val="0"/>
                <w:sz w:val="22"/>
                <w:szCs w:val="22"/>
                <w:lang w:eastAsia="en-NG"/>
                <w14:ligatures w14:val="none"/>
              </w:rPr>
            </w:pPr>
            <w:r w:rsidRPr="006F6C48">
              <w:rPr>
                <w:rFonts w:ascii="Aptos Narrow" w:eastAsia="Times New Roman" w:hAnsi="Aptos Narrow" w:cs="Times New Roman"/>
                <w:color w:val="000000"/>
                <w:kern w:val="0"/>
                <w:sz w:val="22"/>
                <w:szCs w:val="22"/>
                <w:lang w:eastAsia="en-NG"/>
                <w14:ligatures w14:val="none"/>
              </w:rPr>
              <w:t>-0.07%</w:t>
            </w:r>
          </w:p>
        </w:tc>
        <w:tc>
          <w:tcPr>
            <w:tcW w:w="976" w:type="dxa"/>
            <w:tcBorders>
              <w:top w:val="single" w:sz="4" w:space="0" w:color="44B3E1"/>
              <w:left w:val="nil"/>
              <w:bottom w:val="single" w:sz="4" w:space="0" w:color="44B3E1"/>
              <w:right w:val="nil"/>
            </w:tcBorders>
            <w:shd w:val="clear" w:color="C0E6F5" w:fill="C0E6F5"/>
            <w:noWrap/>
            <w:vAlign w:val="bottom"/>
            <w:hideMark/>
          </w:tcPr>
          <w:p w14:paraId="61EA0D2B" w14:textId="77777777" w:rsidR="006F6C48" w:rsidRPr="006F6C48" w:rsidRDefault="006F6C48" w:rsidP="006F6C48">
            <w:pPr>
              <w:spacing w:after="0" w:line="240" w:lineRule="auto"/>
              <w:jc w:val="right"/>
              <w:rPr>
                <w:rFonts w:ascii="Aptos Narrow" w:eastAsia="Times New Roman" w:hAnsi="Aptos Narrow" w:cs="Times New Roman"/>
                <w:color w:val="000000"/>
                <w:kern w:val="0"/>
                <w:sz w:val="22"/>
                <w:szCs w:val="22"/>
                <w:lang w:eastAsia="en-NG"/>
                <w14:ligatures w14:val="none"/>
              </w:rPr>
            </w:pPr>
            <w:r w:rsidRPr="006F6C48">
              <w:rPr>
                <w:rFonts w:ascii="Aptos Narrow" w:eastAsia="Times New Roman" w:hAnsi="Aptos Narrow" w:cs="Times New Roman"/>
                <w:color w:val="000000"/>
                <w:kern w:val="0"/>
                <w:sz w:val="22"/>
                <w:szCs w:val="22"/>
                <w:lang w:eastAsia="en-NG"/>
                <w14:ligatures w14:val="none"/>
              </w:rPr>
              <w:t>8.47%</w:t>
            </w:r>
          </w:p>
        </w:tc>
        <w:tc>
          <w:tcPr>
            <w:tcW w:w="976" w:type="dxa"/>
            <w:tcBorders>
              <w:top w:val="single" w:sz="4" w:space="0" w:color="44B3E1"/>
              <w:left w:val="nil"/>
              <w:bottom w:val="single" w:sz="4" w:space="0" w:color="44B3E1"/>
              <w:right w:val="nil"/>
            </w:tcBorders>
            <w:shd w:val="clear" w:color="C0E6F5" w:fill="C0E6F5"/>
            <w:noWrap/>
            <w:vAlign w:val="bottom"/>
            <w:hideMark/>
          </w:tcPr>
          <w:p w14:paraId="6B08122B" w14:textId="77777777" w:rsidR="006F6C48" w:rsidRPr="006F6C48" w:rsidRDefault="006F6C48" w:rsidP="006F6C48">
            <w:pPr>
              <w:spacing w:after="0" w:line="240" w:lineRule="auto"/>
              <w:jc w:val="right"/>
              <w:rPr>
                <w:rFonts w:ascii="Aptos Narrow" w:eastAsia="Times New Roman" w:hAnsi="Aptos Narrow" w:cs="Times New Roman"/>
                <w:color w:val="000000"/>
                <w:kern w:val="0"/>
                <w:sz w:val="22"/>
                <w:szCs w:val="22"/>
                <w:lang w:eastAsia="en-NG"/>
                <w14:ligatures w14:val="none"/>
              </w:rPr>
            </w:pPr>
            <w:r w:rsidRPr="006F6C48">
              <w:rPr>
                <w:rFonts w:ascii="Aptos Narrow" w:eastAsia="Times New Roman" w:hAnsi="Aptos Narrow" w:cs="Times New Roman"/>
                <w:color w:val="000000"/>
                <w:kern w:val="0"/>
                <w:sz w:val="22"/>
                <w:szCs w:val="22"/>
                <w:lang w:eastAsia="en-NG"/>
                <w14:ligatures w14:val="none"/>
              </w:rPr>
              <w:t>10.25%</w:t>
            </w:r>
          </w:p>
        </w:tc>
        <w:tc>
          <w:tcPr>
            <w:tcW w:w="968" w:type="dxa"/>
            <w:tcBorders>
              <w:top w:val="single" w:sz="4" w:space="0" w:color="44B3E1"/>
              <w:left w:val="nil"/>
              <w:bottom w:val="single" w:sz="4" w:space="0" w:color="44B3E1"/>
              <w:right w:val="single" w:sz="4" w:space="0" w:color="44B3E1"/>
            </w:tcBorders>
            <w:shd w:val="clear" w:color="C0E6F5" w:fill="C0E6F5"/>
            <w:noWrap/>
            <w:vAlign w:val="bottom"/>
            <w:hideMark/>
          </w:tcPr>
          <w:p w14:paraId="2FADFCE0" w14:textId="77777777" w:rsidR="006F6C48" w:rsidRPr="006F6C48" w:rsidRDefault="006F6C48" w:rsidP="006F6C48">
            <w:pPr>
              <w:spacing w:after="0" w:line="240" w:lineRule="auto"/>
              <w:jc w:val="right"/>
              <w:rPr>
                <w:rFonts w:ascii="Aptos Narrow" w:eastAsia="Times New Roman" w:hAnsi="Aptos Narrow" w:cs="Times New Roman"/>
                <w:color w:val="000000"/>
                <w:kern w:val="0"/>
                <w:sz w:val="22"/>
                <w:szCs w:val="22"/>
                <w:lang w:eastAsia="en-NG"/>
                <w14:ligatures w14:val="none"/>
              </w:rPr>
            </w:pPr>
            <w:r w:rsidRPr="006F6C48">
              <w:rPr>
                <w:rFonts w:ascii="Aptos Narrow" w:eastAsia="Times New Roman" w:hAnsi="Aptos Narrow" w:cs="Times New Roman"/>
                <w:color w:val="000000"/>
                <w:kern w:val="0"/>
                <w:sz w:val="22"/>
                <w:szCs w:val="22"/>
                <w:lang w:eastAsia="en-NG"/>
                <w14:ligatures w14:val="none"/>
              </w:rPr>
              <w:t>3.60%</w:t>
            </w:r>
          </w:p>
        </w:tc>
      </w:tr>
      <w:tr w:rsidR="006F6C48" w:rsidRPr="006F6C48" w14:paraId="7D4AA727" w14:textId="77777777" w:rsidTr="006F6C48">
        <w:trPr>
          <w:trHeight w:val="288"/>
        </w:trPr>
        <w:tc>
          <w:tcPr>
            <w:tcW w:w="968" w:type="dxa"/>
            <w:tcBorders>
              <w:top w:val="single" w:sz="4" w:space="0" w:color="44B3E1"/>
              <w:left w:val="single" w:sz="4" w:space="0" w:color="44B3E1"/>
              <w:bottom w:val="single" w:sz="4" w:space="0" w:color="44B3E1"/>
              <w:right w:val="nil"/>
            </w:tcBorders>
            <w:noWrap/>
            <w:vAlign w:val="bottom"/>
            <w:hideMark/>
          </w:tcPr>
          <w:p w14:paraId="41A3B6E2" w14:textId="77777777" w:rsidR="006F6C48" w:rsidRPr="006F6C48" w:rsidRDefault="006F6C48" w:rsidP="006F6C48">
            <w:pPr>
              <w:spacing w:after="0" w:line="240" w:lineRule="auto"/>
              <w:rPr>
                <w:rFonts w:ascii="Aptos Narrow" w:eastAsia="Times New Roman" w:hAnsi="Aptos Narrow" w:cs="Times New Roman"/>
                <w:b/>
                <w:bCs/>
                <w:color w:val="000000"/>
                <w:kern w:val="0"/>
                <w:sz w:val="22"/>
                <w:szCs w:val="22"/>
                <w:lang w:eastAsia="en-NG"/>
                <w14:ligatures w14:val="none"/>
              </w:rPr>
            </w:pPr>
            <w:r w:rsidRPr="006F6C48">
              <w:rPr>
                <w:rFonts w:ascii="Aptos Narrow" w:eastAsia="Times New Roman" w:hAnsi="Aptos Narrow" w:cs="Times New Roman"/>
                <w:b/>
                <w:bCs/>
                <w:color w:val="000000"/>
                <w:kern w:val="0"/>
                <w:sz w:val="22"/>
                <w:szCs w:val="22"/>
                <w:lang w:eastAsia="en-NG"/>
                <w14:ligatures w14:val="none"/>
              </w:rPr>
              <w:t>Q4</w:t>
            </w:r>
          </w:p>
        </w:tc>
        <w:tc>
          <w:tcPr>
            <w:tcW w:w="976" w:type="dxa"/>
            <w:tcBorders>
              <w:top w:val="single" w:sz="4" w:space="0" w:color="44B3E1"/>
              <w:left w:val="nil"/>
              <w:bottom w:val="single" w:sz="4" w:space="0" w:color="44B3E1"/>
              <w:right w:val="nil"/>
            </w:tcBorders>
            <w:noWrap/>
            <w:vAlign w:val="bottom"/>
            <w:hideMark/>
          </w:tcPr>
          <w:p w14:paraId="40ABCB73" w14:textId="77777777" w:rsidR="006F6C48" w:rsidRPr="006F6C48" w:rsidRDefault="006F6C48" w:rsidP="006F6C48">
            <w:pPr>
              <w:spacing w:after="0" w:line="240" w:lineRule="auto"/>
              <w:jc w:val="right"/>
              <w:rPr>
                <w:rFonts w:ascii="Aptos Narrow" w:eastAsia="Times New Roman" w:hAnsi="Aptos Narrow" w:cs="Times New Roman"/>
                <w:color w:val="000000"/>
                <w:kern w:val="0"/>
                <w:sz w:val="22"/>
                <w:szCs w:val="22"/>
                <w:lang w:eastAsia="en-NG"/>
                <w14:ligatures w14:val="none"/>
              </w:rPr>
            </w:pPr>
            <w:r w:rsidRPr="006F6C48">
              <w:rPr>
                <w:rFonts w:ascii="Aptos Narrow" w:eastAsia="Times New Roman" w:hAnsi="Aptos Narrow" w:cs="Times New Roman"/>
                <w:color w:val="000000"/>
                <w:kern w:val="0"/>
                <w:sz w:val="22"/>
                <w:szCs w:val="22"/>
                <w:lang w:eastAsia="en-NG"/>
                <w14:ligatures w14:val="none"/>
              </w:rPr>
              <w:t>14.77%</w:t>
            </w:r>
          </w:p>
        </w:tc>
        <w:tc>
          <w:tcPr>
            <w:tcW w:w="976" w:type="dxa"/>
            <w:tcBorders>
              <w:top w:val="single" w:sz="4" w:space="0" w:color="44B3E1"/>
              <w:left w:val="nil"/>
              <w:bottom w:val="single" w:sz="4" w:space="0" w:color="44B3E1"/>
              <w:right w:val="nil"/>
            </w:tcBorders>
            <w:noWrap/>
            <w:vAlign w:val="bottom"/>
            <w:hideMark/>
          </w:tcPr>
          <w:p w14:paraId="19A8E255" w14:textId="77777777" w:rsidR="006F6C48" w:rsidRPr="006F6C48" w:rsidRDefault="006F6C48" w:rsidP="006F6C48">
            <w:pPr>
              <w:spacing w:after="0" w:line="240" w:lineRule="auto"/>
              <w:jc w:val="right"/>
              <w:rPr>
                <w:rFonts w:ascii="Aptos Narrow" w:eastAsia="Times New Roman" w:hAnsi="Aptos Narrow" w:cs="Times New Roman"/>
                <w:color w:val="000000"/>
                <w:kern w:val="0"/>
                <w:sz w:val="22"/>
                <w:szCs w:val="22"/>
                <w:lang w:eastAsia="en-NG"/>
                <w14:ligatures w14:val="none"/>
              </w:rPr>
            </w:pPr>
            <w:r w:rsidRPr="006F6C48">
              <w:rPr>
                <w:rFonts w:ascii="Aptos Narrow" w:eastAsia="Times New Roman" w:hAnsi="Aptos Narrow" w:cs="Times New Roman"/>
                <w:color w:val="000000"/>
                <w:kern w:val="0"/>
                <w:sz w:val="22"/>
                <w:szCs w:val="22"/>
                <w:lang w:eastAsia="en-NG"/>
                <w14:ligatures w14:val="none"/>
              </w:rPr>
              <w:t>0.70%</w:t>
            </w:r>
          </w:p>
        </w:tc>
        <w:tc>
          <w:tcPr>
            <w:tcW w:w="976" w:type="dxa"/>
            <w:tcBorders>
              <w:top w:val="single" w:sz="4" w:space="0" w:color="44B3E1"/>
              <w:left w:val="nil"/>
              <w:bottom w:val="single" w:sz="4" w:space="0" w:color="44B3E1"/>
              <w:right w:val="nil"/>
            </w:tcBorders>
            <w:noWrap/>
            <w:vAlign w:val="bottom"/>
            <w:hideMark/>
          </w:tcPr>
          <w:p w14:paraId="7EFF8B66" w14:textId="77777777" w:rsidR="006F6C48" w:rsidRPr="006F6C48" w:rsidRDefault="006F6C48" w:rsidP="006F6C48">
            <w:pPr>
              <w:spacing w:after="0" w:line="240" w:lineRule="auto"/>
              <w:jc w:val="right"/>
              <w:rPr>
                <w:rFonts w:ascii="Aptos Narrow" w:eastAsia="Times New Roman" w:hAnsi="Aptos Narrow" w:cs="Times New Roman"/>
                <w:color w:val="000000"/>
                <w:kern w:val="0"/>
                <w:sz w:val="22"/>
                <w:szCs w:val="22"/>
                <w:lang w:eastAsia="en-NG"/>
                <w14:ligatures w14:val="none"/>
              </w:rPr>
            </w:pPr>
            <w:r w:rsidRPr="006F6C48">
              <w:rPr>
                <w:rFonts w:ascii="Aptos Narrow" w:eastAsia="Times New Roman" w:hAnsi="Aptos Narrow" w:cs="Times New Roman"/>
                <w:color w:val="000000"/>
                <w:kern w:val="0"/>
                <w:sz w:val="22"/>
                <w:szCs w:val="22"/>
                <w:lang w:eastAsia="en-NG"/>
                <w14:ligatures w14:val="none"/>
              </w:rPr>
              <w:t>-2.98%</w:t>
            </w:r>
          </w:p>
        </w:tc>
        <w:tc>
          <w:tcPr>
            <w:tcW w:w="976" w:type="dxa"/>
            <w:tcBorders>
              <w:top w:val="single" w:sz="4" w:space="0" w:color="44B3E1"/>
              <w:left w:val="nil"/>
              <w:bottom w:val="single" w:sz="4" w:space="0" w:color="44B3E1"/>
              <w:right w:val="nil"/>
            </w:tcBorders>
            <w:noWrap/>
            <w:vAlign w:val="bottom"/>
            <w:hideMark/>
          </w:tcPr>
          <w:p w14:paraId="2C93D4EC" w14:textId="77777777" w:rsidR="006F6C48" w:rsidRPr="006F6C48" w:rsidRDefault="006F6C48" w:rsidP="006F6C48">
            <w:pPr>
              <w:spacing w:after="0" w:line="240" w:lineRule="auto"/>
              <w:jc w:val="right"/>
              <w:rPr>
                <w:rFonts w:ascii="Aptos Narrow" w:eastAsia="Times New Roman" w:hAnsi="Aptos Narrow" w:cs="Times New Roman"/>
                <w:color w:val="000000"/>
                <w:kern w:val="0"/>
                <w:sz w:val="22"/>
                <w:szCs w:val="22"/>
                <w:lang w:eastAsia="en-NG"/>
                <w14:ligatures w14:val="none"/>
              </w:rPr>
            </w:pPr>
            <w:r w:rsidRPr="006F6C48">
              <w:rPr>
                <w:rFonts w:ascii="Aptos Narrow" w:eastAsia="Times New Roman" w:hAnsi="Aptos Narrow" w:cs="Times New Roman"/>
                <w:color w:val="000000"/>
                <w:kern w:val="0"/>
                <w:sz w:val="22"/>
                <w:szCs w:val="22"/>
                <w:lang w:eastAsia="en-NG"/>
                <w14:ligatures w14:val="none"/>
              </w:rPr>
              <w:t>11.69%</w:t>
            </w:r>
          </w:p>
        </w:tc>
        <w:tc>
          <w:tcPr>
            <w:tcW w:w="976" w:type="dxa"/>
            <w:tcBorders>
              <w:top w:val="single" w:sz="4" w:space="0" w:color="44B3E1"/>
              <w:left w:val="nil"/>
              <w:bottom w:val="single" w:sz="4" w:space="0" w:color="44B3E1"/>
              <w:right w:val="nil"/>
            </w:tcBorders>
            <w:noWrap/>
            <w:vAlign w:val="bottom"/>
            <w:hideMark/>
          </w:tcPr>
          <w:p w14:paraId="3E5C27CB" w14:textId="77777777" w:rsidR="006F6C48" w:rsidRPr="006F6C48" w:rsidRDefault="006F6C48" w:rsidP="006F6C48">
            <w:pPr>
              <w:spacing w:after="0" w:line="240" w:lineRule="auto"/>
              <w:jc w:val="right"/>
              <w:rPr>
                <w:rFonts w:ascii="Aptos Narrow" w:eastAsia="Times New Roman" w:hAnsi="Aptos Narrow" w:cs="Times New Roman"/>
                <w:color w:val="000000"/>
                <w:kern w:val="0"/>
                <w:sz w:val="22"/>
                <w:szCs w:val="22"/>
                <w:lang w:eastAsia="en-NG"/>
                <w14:ligatures w14:val="none"/>
              </w:rPr>
            </w:pPr>
            <w:r w:rsidRPr="006F6C48">
              <w:rPr>
                <w:rFonts w:ascii="Aptos Narrow" w:eastAsia="Times New Roman" w:hAnsi="Aptos Narrow" w:cs="Times New Roman"/>
                <w:color w:val="000000"/>
                <w:kern w:val="0"/>
                <w:sz w:val="22"/>
                <w:szCs w:val="22"/>
                <w:lang w:eastAsia="en-NG"/>
                <w14:ligatures w14:val="none"/>
              </w:rPr>
              <w:t>18.40%</w:t>
            </w:r>
          </w:p>
        </w:tc>
        <w:tc>
          <w:tcPr>
            <w:tcW w:w="968" w:type="dxa"/>
            <w:tcBorders>
              <w:top w:val="single" w:sz="4" w:space="0" w:color="44B3E1"/>
              <w:left w:val="nil"/>
              <w:bottom w:val="single" w:sz="4" w:space="0" w:color="44B3E1"/>
              <w:right w:val="single" w:sz="4" w:space="0" w:color="44B3E1"/>
            </w:tcBorders>
            <w:noWrap/>
            <w:vAlign w:val="bottom"/>
            <w:hideMark/>
          </w:tcPr>
          <w:p w14:paraId="706F6A37" w14:textId="77777777" w:rsidR="006F6C48" w:rsidRPr="006F6C48" w:rsidRDefault="006F6C48" w:rsidP="006F6C48">
            <w:pPr>
              <w:spacing w:after="0" w:line="240" w:lineRule="auto"/>
              <w:jc w:val="right"/>
              <w:rPr>
                <w:rFonts w:ascii="Aptos Narrow" w:eastAsia="Times New Roman" w:hAnsi="Aptos Narrow" w:cs="Times New Roman"/>
                <w:color w:val="000000"/>
                <w:kern w:val="0"/>
                <w:sz w:val="22"/>
                <w:szCs w:val="22"/>
                <w:lang w:eastAsia="en-NG"/>
                <w14:ligatures w14:val="none"/>
              </w:rPr>
            </w:pPr>
            <w:r w:rsidRPr="006F6C48">
              <w:rPr>
                <w:rFonts w:ascii="Aptos Narrow" w:eastAsia="Times New Roman" w:hAnsi="Aptos Narrow" w:cs="Times New Roman"/>
                <w:color w:val="000000"/>
                <w:kern w:val="0"/>
                <w:sz w:val="22"/>
                <w:szCs w:val="22"/>
                <w:lang w:eastAsia="en-NG"/>
                <w14:ligatures w14:val="none"/>
              </w:rPr>
              <w:t>6.02%</w:t>
            </w:r>
          </w:p>
        </w:tc>
      </w:tr>
    </w:tbl>
    <w:p w14:paraId="4D930D1E" w14:textId="77777777" w:rsidR="006F6C48" w:rsidRDefault="006F6C48" w:rsidP="0070728F"/>
    <w:p w14:paraId="4574EFB3" w14:textId="77777777" w:rsidR="00D04563" w:rsidRPr="00D04563" w:rsidRDefault="00D04563" w:rsidP="00D04563">
      <w:pPr>
        <w:rPr>
          <w:b/>
          <w:bCs/>
        </w:rPr>
      </w:pPr>
      <w:r w:rsidRPr="00D04563">
        <w:rPr>
          <w:b/>
          <w:bCs/>
        </w:rPr>
        <w:t>Anomalous Years: Divergent Patterns</w:t>
      </w:r>
    </w:p>
    <w:p w14:paraId="321C8CC1" w14:textId="77777777" w:rsidR="00D04563" w:rsidRPr="00D04563" w:rsidRDefault="00D04563" w:rsidP="00D04563">
      <w:r w:rsidRPr="00D04563">
        <w:t xml:space="preserve">Two periods demonstrated contra-seasonal </w:t>
      </w:r>
      <w:proofErr w:type="spellStart"/>
      <w:r w:rsidRPr="00D04563">
        <w:t>behavior</w:t>
      </w:r>
      <w:proofErr w:type="spellEnd"/>
      <w:r w:rsidRPr="00D04563">
        <w:t>, warranting special analysis:</w:t>
      </w:r>
    </w:p>
    <w:p w14:paraId="0C50A314" w14:textId="77777777" w:rsidR="00D04563" w:rsidRPr="00D04563" w:rsidRDefault="00D04563" w:rsidP="00D04563">
      <w:r w:rsidRPr="00D04563">
        <w:rPr>
          <w:b/>
          <w:bCs/>
        </w:rPr>
        <w:t>1. 2018 (Inception Year)</w:t>
      </w:r>
    </w:p>
    <w:p w14:paraId="0C8CFD60" w14:textId="77777777" w:rsidR="00D04563" w:rsidRPr="00D04563" w:rsidRDefault="00D04563" w:rsidP="00D04563">
      <w:pPr>
        <w:numPr>
          <w:ilvl w:val="0"/>
          <w:numId w:val="2"/>
        </w:numPr>
      </w:pPr>
      <w:r w:rsidRPr="00D04563">
        <w:rPr>
          <w:b/>
          <w:bCs/>
        </w:rPr>
        <w:t>Pattern:</w:t>
      </w:r>
      <w:r w:rsidRPr="00D04563">
        <w:t> Early-year strength, late-year decline</w:t>
      </w:r>
    </w:p>
    <w:p w14:paraId="17E10DD1" w14:textId="77777777" w:rsidR="00D04563" w:rsidRPr="00D04563" w:rsidRDefault="00D04563" w:rsidP="00D04563">
      <w:pPr>
        <w:numPr>
          <w:ilvl w:val="0"/>
          <w:numId w:val="2"/>
        </w:numPr>
      </w:pPr>
      <w:r w:rsidRPr="00D04563">
        <w:rPr>
          <w:b/>
          <w:bCs/>
        </w:rPr>
        <w:t>Context:</w:t>
      </w:r>
      <w:r w:rsidRPr="00D04563">
        <w:t> Portfolio establishment during late-cycle expansion</w:t>
      </w:r>
    </w:p>
    <w:p w14:paraId="2FDBB869" w14:textId="77777777" w:rsidR="00D04563" w:rsidRPr="00D04563" w:rsidRDefault="00D04563" w:rsidP="00D04563">
      <w:pPr>
        <w:numPr>
          <w:ilvl w:val="0"/>
          <w:numId w:val="2"/>
        </w:numPr>
      </w:pPr>
      <w:r w:rsidRPr="00D04563">
        <w:rPr>
          <w:b/>
          <w:bCs/>
        </w:rPr>
        <w:t>Key Driver:</w:t>
      </w:r>
      <w:r w:rsidRPr="00D04563">
        <w:t> MFST as sole positive contributor (+14.2%) offsetting broad declines</w:t>
      </w:r>
    </w:p>
    <w:p w14:paraId="1B3E5170" w14:textId="77777777" w:rsidR="00D04563" w:rsidRPr="00D04563" w:rsidRDefault="00D04563" w:rsidP="00D04563">
      <w:pPr>
        <w:numPr>
          <w:ilvl w:val="0"/>
          <w:numId w:val="2"/>
        </w:numPr>
      </w:pPr>
      <w:r w:rsidRPr="00D04563">
        <w:rPr>
          <w:b/>
          <w:bCs/>
        </w:rPr>
        <w:t>Implication:</w:t>
      </w:r>
      <w:r w:rsidRPr="00D04563">
        <w:t> Inception timing influenced initial performance trajectory</w:t>
      </w:r>
    </w:p>
    <w:p w14:paraId="40C6FF7E" w14:textId="77777777" w:rsidR="00D04563" w:rsidRPr="00D04563" w:rsidRDefault="00D04563" w:rsidP="00D04563">
      <w:r w:rsidRPr="00D04563">
        <w:rPr>
          <w:b/>
          <w:bCs/>
        </w:rPr>
        <w:lastRenderedPageBreak/>
        <w:t>2. 2022 (Market Stress Year)</w:t>
      </w:r>
    </w:p>
    <w:p w14:paraId="2D445B64" w14:textId="77777777" w:rsidR="00D04563" w:rsidRPr="00D04563" w:rsidRDefault="00D04563" w:rsidP="00D04563">
      <w:pPr>
        <w:numPr>
          <w:ilvl w:val="0"/>
          <w:numId w:val="3"/>
        </w:numPr>
      </w:pPr>
      <w:r w:rsidRPr="00D04563">
        <w:rPr>
          <w:b/>
          <w:bCs/>
        </w:rPr>
        <w:t>Pattern:</w:t>
      </w:r>
      <w:r w:rsidRPr="00D04563">
        <w:t> Sustained decline throughout calendar year</w:t>
      </w:r>
    </w:p>
    <w:p w14:paraId="3272E445" w14:textId="77777777" w:rsidR="00D04563" w:rsidRPr="00D04563" w:rsidRDefault="00D04563" w:rsidP="00D04563">
      <w:pPr>
        <w:numPr>
          <w:ilvl w:val="0"/>
          <w:numId w:val="3"/>
        </w:numPr>
      </w:pPr>
      <w:r w:rsidRPr="00D04563">
        <w:rPr>
          <w:b/>
          <w:bCs/>
        </w:rPr>
        <w:t>Context:</w:t>
      </w:r>
      <w:r w:rsidRPr="00D04563">
        <w:t> Synchronized global market downturn</w:t>
      </w:r>
    </w:p>
    <w:p w14:paraId="7CABF5D7" w14:textId="77777777" w:rsidR="00D04563" w:rsidRPr="00D04563" w:rsidRDefault="00D04563" w:rsidP="00D04563">
      <w:pPr>
        <w:numPr>
          <w:ilvl w:val="0"/>
          <w:numId w:val="3"/>
        </w:numPr>
      </w:pPr>
      <w:r w:rsidRPr="00D04563">
        <w:rPr>
          <w:b/>
          <w:bCs/>
        </w:rPr>
        <w:t>Key Driver:</w:t>
      </w:r>
      <w:r w:rsidRPr="00D04563">
        <w:t> Systemic risk factors overwhelming seasonal tendencies</w:t>
      </w:r>
    </w:p>
    <w:p w14:paraId="6C0343F2" w14:textId="77777777" w:rsidR="00D04563" w:rsidRPr="00D04563" w:rsidRDefault="00D04563" w:rsidP="00D04563">
      <w:pPr>
        <w:numPr>
          <w:ilvl w:val="0"/>
          <w:numId w:val="3"/>
        </w:numPr>
      </w:pPr>
      <w:r w:rsidRPr="00D04563">
        <w:rPr>
          <w:b/>
          <w:bCs/>
        </w:rPr>
        <w:t>Implication:</w:t>
      </w:r>
      <w:r w:rsidRPr="00D04563">
        <w:t> Macro forces can override typical seasonal patterns</w:t>
      </w:r>
    </w:p>
    <w:p w14:paraId="5A724FB8" w14:textId="77777777" w:rsidR="008C2EC9" w:rsidRDefault="008C2EC9" w:rsidP="00D04563">
      <w:pPr>
        <w:rPr>
          <w:b/>
          <w:bCs/>
        </w:rPr>
      </w:pPr>
    </w:p>
    <w:p w14:paraId="54528B15" w14:textId="09ECBF44" w:rsidR="00D04563" w:rsidRPr="00D04563" w:rsidRDefault="00D04563" w:rsidP="00D04563">
      <w:pPr>
        <w:rPr>
          <w:b/>
          <w:bCs/>
        </w:rPr>
      </w:pPr>
      <w:r w:rsidRPr="00D04563">
        <w:rPr>
          <w:b/>
          <w:bCs/>
        </w:rPr>
        <w:t>PORTFOLIO-LEVEL VS. SECURITY-LEVEL ANALYSIS</w:t>
      </w:r>
    </w:p>
    <w:p w14:paraId="7DAE7B51" w14:textId="77777777" w:rsidR="00D04563" w:rsidRPr="00D04563" w:rsidRDefault="00D04563" w:rsidP="00D04563">
      <w:pPr>
        <w:rPr>
          <w:b/>
          <w:bCs/>
        </w:rPr>
      </w:pPr>
      <w:r w:rsidRPr="00D04563">
        <w:rPr>
          <w:b/>
          <w:bCs/>
        </w:rPr>
        <w:t xml:space="preserve">Aggregate Portfolio </w:t>
      </w:r>
      <w:proofErr w:type="spellStart"/>
      <w:r w:rsidRPr="00D04563">
        <w:rPr>
          <w:b/>
          <w:bCs/>
        </w:rPr>
        <w:t>Behavior</w:t>
      </w:r>
      <w:proofErr w:type="spellEnd"/>
    </w:p>
    <w:p w14:paraId="29BDD8B3" w14:textId="77777777" w:rsidR="00D04563" w:rsidRPr="00D04563" w:rsidRDefault="00D04563" w:rsidP="00D04563">
      <w:r w:rsidRPr="00D04563">
        <w:t>The "early dip/late rally" pattern is most pronounced at the </w:t>
      </w:r>
      <w:r w:rsidRPr="00D04563">
        <w:rPr>
          <w:b/>
          <w:bCs/>
        </w:rPr>
        <w:t>portfolio aggregate level</w:t>
      </w:r>
      <w:r w:rsidRPr="00D04563">
        <w:t>, where diversification effects smooth individual security volatility while preserving the overarching seasonal trend. This suggests the pattern represents a </w:t>
      </w:r>
      <w:r w:rsidRPr="00D04563">
        <w:rPr>
          <w:b/>
          <w:bCs/>
        </w:rPr>
        <w:t>market-structure phenomenon</w:t>
      </w:r>
      <w:r w:rsidRPr="00D04563">
        <w:t xml:space="preserve"> rather than security-specific </w:t>
      </w:r>
      <w:proofErr w:type="spellStart"/>
      <w:r w:rsidRPr="00D04563">
        <w:t>behavior</w:t>
      </w:r>
      <w:proofErr w:type="spellEnd"/>
      <w:r w:rsidRPr="00D04563">
        <w:t>.</w:t>
      </w:r>
    </w:p>
    <w:p w14:paraId="176EA81F" w14:textId="77777777" w:rsidR="00D04563" w:rsidRPr="00D04563" w:rsidRDefault="00D04563" w:rsidP="00D04563">
      <w:pPr>
        <w:rPr>
          <w:b/>
          <w:bCs/>
        </w:rPr>
      </w:pPr>
      <w:r w:rsidRPr="00D04563">
        <w:rPr>
          <w:b/>
          <w:bCs/>
        </w:rPr>
        <w:t>STRATEGIC IMPLICATIONS</w:t>
      </w:r>
    </w:p>
    <w:p w14:paraId="0B346E74" w14:textId="77777777" w:rsidR="00D04563" w:rsidRPr="00D04563" w:rsidRDefault="00D04563" w:rsidP="00D04563">
      <w:pPr>
        <w:rPr>
          <w:b/>
          <w:bCs/>
        </w:rPr>
      </w:pPr>
      <w:r w:rsidRPr="00D04563">
        <w:rPr>
          <w:b/>
          <w:bCs/>
        </w:rPr>
        <w:t>Capital Deployment Opportunities</w:t>
      </w:r>
    </w:p>
    <w:p w14:paraId="757E0CAA" w14:textId="77777777" w:rsidR="00D04563" w:rsidRPr="00D04563" w:rsidRDefault="00D04563" w:rsidP="00D04563">
      <w:r w:rsidRPr="00D04563">
        <w:t>The consistent late-year strength presents systematic opportunities for:</w:t>
      </w:r>
    </w:p>
    <w:p w14:paraId="7FB8BC42" w14:textId="77777777" w:rsidR="00D04563" w:rsidRPr="00D04563" w:rsidRDefault="00D04563" w:rsidP="00D04563">
      <w:pPr>
        <w:numPr>
          <w:ilvl w:val="0"/>
          <w:numId w:val="4"/>
        </w:numPr>
      </w:pPr>
      <w:r w:rsidRPr="00D04563">
        <w:rPr>
          <w:b/>
          <w:bCs/>
        </w:rPr>
        <w:t>Strategic Accumulation:</w:t>
      </w:r>
      <w:r w:rsidRPr="00D04563">
        <w:t> Increasing equity exposure during Q1-Q2 weakness</w:t>
      </w:r>
    </w:p>
    <w:p w14:paraId="6D1B1C65" w14:textId="77777777" w:rsidR="00D04563" w:rsidRPr="00D04563" w:rsidRDefault="00D04563" w:rsidP="00D04563">
      <w:pPr>
        <w:numPr>
          <w:ilvl w:val="0"/>
          <w:numId w:val="4"/>
        </w:numPr>
      </w:pPr>
      <w:r w:rsidRPr="00D04563">
        <w:rPr>
          <w:b/>
          <w:bCs/>
        </w:rPr>
        <w:t>Tactical Rebalancing:</w:t>
      </w:r>
      <w:r w:rsidRPr="00D04563">
        <w:t> Harvesting gains during Q4 strength</w:t>
      </w:r>
    </w:p>
    <w:p w14:paraId="441D489A" w14:textId="77777777" w:rsidR="00D04563" w:rsidRPr="00D04563" w:rsidRDefault="00D04563" w:rsidP="00D04563">
      <w:pPr>
        <w:numPr>
          <w:ilvl w:val="0"/>
          <w:numId w:val="4"/>
        </w:numPr>
      </w:pPr>
      <w:r w:rsidRPr="00D04563">
        <w:rPr>
          <w:b/>
          <w:bCs/>
        </w:rPr>
        <w:t>Cash Management:</w:t>
      </w:r>
      <w:r w:rsidRPr="00D04563">
        <w:t> Building liquidity buffers ahead of Q1</w:t>
      </w:r>
    </w:p>
    <w:p w14:paraId="327703CD" w14:textId="77777777" w:rsidR="00D04563" w:rsidRPr="00D04563" w:rsidRDefault="00D04563" w:rsidP="00D04563">
      <w:pPr>
        <w:numPr>
          <w:ilvl w:val="0"/>
          <w:numId w:val="4"/>
        </w:numPr>
      </w:pPr>
      <w:r w:rsidRPr="00D04563">
        <w:rPr>
          <w:b/>
          <w:bCs/>
        </w:rPr>
        <w:t>Option Strategies:</w:t>
      </w:r>
      <w:r w:rsidRPr="00D04563">
        <w:t> Implementing collar strategies ahead of seasonal dips</w:t>
      </w:r>
    </w:p>
    <w:p w14:paraId="1CCCE98B" w14:textId="77777777" w:rsidR="00D04563" w:rsidRPr="0070728F" w:rsidRDefault="00D04563" w:rsidP="0070728F"/>
    <w:p w14:paraId="6555CC70" w14:textId="77777777" w:rsidR="00DB12DA" w:rsidRPr="00DB12DA" w:rsidRDefault="00DB12DA" w:rsidP="00DB12DA">
      <w:pPr>
        <w:rPr>
          <w:b/>
          <w:bCs/>
        </w:rPr>
      </w:pPr>
      <w:r w:rsidRPr="00DB12DA">
        <w:rPr>
          <w:b/>
          <w:bCs/>
        </w:rPr>
        <w:t>4. DIVERSIFICATION ANALYSIS</w:t>
      </w:r>
    </w:p>
    <w:p w14:paraId="2790CE6A" w14:textId="77777777" w:rsidR="00DB12DA" w:rsidRPr="00DB12DA" w:rsidRDefault="00DB12DA" w:rsidP="00DB12DA">
      <w:pPr>
        <w:rPr>
          <w:b/>
          <w:bCs/>
        </w:rPr>
      </w:pPr>
      <w:r w:rsidRPr="00DB12DA">
        <w:rPr>
          <w:b/>
          <w:bCs/>
        </w:rPr>
        <w:t>DEFENSIVE ASSETS: RISK MITIGATION PERFORMANCE</w:t>
      </w:r>
    </w:p>
    <w:p w14:paraId="794B774B" w14:textId="77777777" w:rsidR="00DB12DA" w:rsidRPr="00DB12DA" w:rsidRDefault="00DB12DA" w:rsidP="00DB12DA">
      <w:pPr>
        <w:rPr>
          <w:b/>
          <w:bCs/>
        </w:rPr>
      </w:pPr>
      <w:r w:rsidRPr="00DB12DA">
        <w:rPr>
          <w:b/>
          <w:bCs/>
        </w:rPr>
        <w:t>TLT &amp; GLD: Strategic Diversification Role</w:t>
      </w:r>
    </w:p>
    <w:p w14:paraId="5F2C80B0" w14:textId="77777777" w:rsidR="00DB12DA" w:rsidRPr="00DB12DA" w:rsidRDefault="00DB12DA" w:rsidP="00DB12DA">
      <w:r w:rsidRPr="00DB12DA">
        <w:t>While TLT (iShares 20+ Year Treasury ETF) and GLD (SPDR Gold Shares) have delivered below-average returns relative to equity positions, their </w:t>
      </w:r>
      <w:r w:rsidRPr="00DB12DA">
        <w:rPr>
          <w:b/>
          <w:bCs/>
        </w:rPr>
        <w:t>low correlation profile</w:t>
      </w:r>
      <w:r w:rsidRPr="00DB12DA">
        <w:t> provides essential portfolio diversification benefits. These defensive assets demonstrated superior </w:t>
      </w:r>
      <w:r w:rsidRPr="00DB12DA">
        <w:rPr>
          <w:b/>
          <w:bCs/>
        </w:rPr>
        <w:t>downside protection</w:t>
      </w:r>
      <w:r w:rsidRPr="00DB12DA">
        <w:t> during stress periods, particularly evident in the 2022 market downturn.</w:t>
      </w:r>
    </w:p>
    <w:p w14:paraId="0714645D" w14:textId="216C3269" w:rsidR="00BB7054" w:rsidRDefault="00BB7054" w:rsidP="00BB7054"/>
    <w:p w14:paraId="2A30C22F" w14:textId="77777777" w:rsidR="00B71DC5" w:rsidRDefault="00B71DC5" w:rsidP="00B71DC5">
      <w:pPr>
        <w:rPr>
          <w:b/>
          <w:bCs/>
        </w:rPr>
      </w:pPr>
    </w:p>
    <w:p w14:paraId="3F547041" w14:textId="77777777" w:rsidR="00B71DC5" w:rsidRDefault="00B71DC5" w:rsidP="00B71DC5">
      <w:pPr>
        <w:rPr>
          <w:b/>
          <w:bCs/>
        </w:rPr>
      </w:pPr>
    </w:p>
    <w:p w14:paraId="44515F7B" w14:textId="2B9647FD" w:rsidR="00B71DC5" w:rsidRPr="00B71DC5" w:rsidRDefault="00B71DC5" w:rsidP="00B71DC5">
      <w:pPr>
        <w:rPr>
          <w:b/>
          <w:bCs/>
        </w:rPr>
      </w:pPr>
      <w:r w:rsidRPr="00B71DC5">
        <w:rPr>
          <w:b/>
          <w:bCs/>
        </w:rPr>
        <w:lastRenderedPageBreak/>
        <w:t>OPTIMAL WEIGHTING ANALYSIS</w:t>
      </w:r>
    </w:p>
    <w:p w14:paraId="00C8CCA7" w14:textId="77777777" w:rsidR="00B71DC5" w:rsidRPr="00B71DC5" w:rsidRDefault="00B71DC5" w:rsidP="00B71DC5">
      <w:pPr>
        <w:rPr>
          <w:b/>
          <w:bCs/>
        </w:rPr>
      </w:pPr>
      <w:r w:rsidRPr="00B71DC5">
        <w:rPr>
          <w:b/>
          <w:bCs/>
        </w:rPr>
        <w:t>Current vs. Recommended Allocation</w:t>
      </w:r>
    </w:p>
    <w:tbl>
      <w:tblPr>
        <w:tblW w:w="0" w:type="auto"/>
        <w:tblCellMar>
          <w:top w:w="15" w:type="dxa"/>
          <w:left w:w="15" w:type="dxa"/>
          <w:bottom w:w="15" w:type="dxa"/>
          <w:right w:w="15" w:type="dxa"/>
        </w:tblCellMar>
        <w:tblLook w:val="04A0" w:firstRow="1" w:lastRow="0" w:firstColumn="1" w:lastColumn="0" w:noHBand="0" w:noVBand="1"/>
      </w:tblPr>
      <w:tblGrid>
        <w:gridCol w:w="2231"/>
        <w:gridCol w:w="1844"/>
        <w:gridCol w:w="1925"/>
        <w:gridCol w:w="3016"/>
      </w:tblGrid>
      <w:tr w:rsidR="00B71DC5" w:rsidRPr="00B71DC5" w14:paraId="450131E9" w14:textId="77777777" w:rsidTr="00B71DC5">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25FC36A" w14:textId="77777777" w:rsidR="00B71DC5" w:rsidRPr="00B71DC5" w:rsidRDefault="00B71DC5" w:rsidP="00B71DC5">
            <w:r w:rsidRPr="00B71DC5">
              <w:t>Metric</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ED87B73" w14:textId="77777777" w:rsidR="00B71DC5" w:rsidRPr="00B71DC5" w:rsidRDefault="00B71DC5" w:rsidP="00B71DC5">
            <w:r w:rsidRPr="00B71DC5">
              <w:t>Current (2025)</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204A3C2" w14:textId="77777777" w:rsidR="00B71DC5" w:rsidRPr="00B71DC5" w:rsidRDefault="00B71DC5" w:rsidP="00B71DC5">
            <w:r w:rsidRPr="00B71DC5">
              <w:t>Strategic Target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70B3BC8" w14:textId="77777777" w:rsidR="00B71DC5" w:rsidRPr="00B71DC5" w:rsidRDefault="00B71DC5" w:rsidP="00B71DC5">
            <w:r w:rsidRPr="00B71DC5">
              <w:t>Rationale</w:t>
            </w:r>
          </w:p>
        </w:tc>
      </w:tr>
      <w:tr w:rsidR="00B71DC5" w:rsidRPr="00B71DC5" w14:paraId="1BDA7F1E" w14:textId="77777777" w:rsidTr="00B71DC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9E491B5" w14:textId="77777777" w:rsidR="00B71DC5" w:rsidRPr="00B71DC5" w:rsidRDefault="00B71DC5" w:rsidP="00B71DC5">
            <w:r w:rsidRPr="00B71DC5">
              <w:rPr>
                <w:b/>
                <w:bCs/>
              </w:rPr>
              <w:t>TLT Weight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0B6B355" w14:textId="77777777" w:rsidR="00B71DC5" w:rsidRPr="00B71DC5" w:rsidRDefault="00B71DC5" w:rsidP="00B71DC5">
            <w:r w:rsidRPr="00B71DC5">
              <w:t>7.8%</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C0A90E7" w14:textId="77777777" w:rsidR="00B71DC5" w:rsidRPr="00B71DC5" w:rsidRDefault="00B71DC5" w:rsidP="00B71DC5">
            <w:r w:rsidRPr="00B71DC5">
              <w:t>12-15%</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C65E3A1" w14:textId="77777777" w:rsidR="00B71DC5" w:rsidRPr="00B71DC5" w:rsidRDefault="00B71DC5" w:rsidP="00B71DC5">
            <w:r w:rsidRPr="00B71DC5">
              <w:t>Enhanced fixed income hedge</w:t>
            </w:r>
          </w:p>
        </w:tc>
      </w:tr>
      <w:tr w:rsidR="00B71DC5" w:rsidRPr="00B71DC5" w14:paraId="7D0C5DCB" w14:textId="77777777" w:rsidTr="00B71DC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84B5D78" w14:textId="77777777" w:rsidR="00B71DC5" w:rsidRPr="00B71DC5" w:rsidRDefault="00B71DC5" w:rsidP="00B71DC5">
            <w:r w:rsidRPr="00B71DC5">
              <w:rPr>
                <w:b/>
                <w:bCs/>
              </w:rPr>
              <w:t>GLD Weight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E4D8794" w14:textId="77777777" w:rsidR="00B71DC5" w:rsidRPr="00B71DC5" w:rsidRDefault="00B71DC5" w:rsidP="00B71DC5">
            <w:r w:rsidRPr="00B71DC5">
              <w:t>8.0%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F572171" w14:textId="77777777" w:rsidR="00B71DC5" w:rsidRPr="00B71DC5" w:rsidRDefault="00B71DC5" w:rsidP="00B71DC5">
            <w:r w:rsidRPr="00B71DC5">
              <w:t>10-12%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CAABC73" w14:textId="77777777" w:rsidR="00B71DC5" w:rsidRPr="00B71DC5" w:rsidRDefault="00B71DC5" w:rsidP="00B71DC5">
            <w:r w:rsidRPr="00B71DC5">
              <w:t>Inflation/store-of-value hedge</w:t>
            </w:r>
          </w:p>
        </w:tc>
      </w:tr>
      <w:tr w:rsidR="00B71DC5" w:rsidRPr="00B71DC5" w14:paraId="47D35841" w14:textId="77777777" w:rsidTr="00B71DC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E7722AA" w14:textId="77777777" w:rsidR="00B71DC5" w:rsidRPr="00B71DC5" w:rsidRDefault="00B71DC5" w:rsidP="00B71DC5">
            <w:r w:rsidRPr="00B71DC5">
              <w:rPr>
                <w:b/>
                <w:bCs/>
              </w:rPr>
              <w:t>Combined Defensive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B79BF95" w14:textId="77777777" w:rsidR="00B71DC5" w:rsidRPr="00B71DC5" w:rsidRDefault="00B71DC5" w:rsidP="00B71DC5">
            <w:r w:rsidRPr="00B71DC5">
              <w:t>15.8%</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8B77938" w14:textId="77777777" w:rsidR="00B71DC5" w:rsidRPr="00B71DC5" w:rsidRDefault="00B71DC5" w:rsidP="00B71DC5">
            <w:r w:rsidRPr="00B71DC5">
              <w:t>22-27%</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1B214C4" w14:textId="77777777" w:rsidR="00B71DC5" w:rsidRPr="00B71DC5" w:rsidRDefault="00B71DC5" w:rsidP="00B71DC5">
            <w:r w:rsidRPr="00B71DC5">
              <w:t>Adequate crisis beta</w:t>
            </w:r>
          </w:p>
        </w:tc>
      </w:tr>
      <w:tr w:rsidR="00B71DC5" w:rsidRPr="00B71DC5" w14:paraId="18527921" w14:textId="77777777" w:rsidTr="00B71DC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1ED802C" w14:textId="77777777" w:rsidR="00B71DC5" w:rsidRPr="00B71DC5" w:rsidRDefault="00B71DC5" w:rsidP="00B71DC5">
            <w:r w:rsidRPr="00B71DC5">
              <w:rPr>
                <w:b/>
                <w:bCs/>
              </w:rPr>
              <w:t>Tech Concentration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F5AC131" w14:textId="77777777" w:rsidR="00B71DC5" w:rsidRPr="00B71DC5" w:rsidRDefault="00B71DC5" w:rsidP="00B71DC5">
            <w:r w:rsidRPr="00B71DC5">
              <w:t>51.2%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7B27142" w14:textId="77777777" w:rsidR="00B71DC5" w:rsidRPr="00B71DC5" w:rsidRDefault="00B71DC5" w:rsidP="00B71DC5">
            <w:r w:rsidRPr="00B71DC5">
              <w:t>40-45%</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3AFBF80" w14:textId="77777777" w:rsidR="00B71DC5" w:rsidRPr="00B71DC5" w:rsidRDefault="00B71DC5" w:rsidP="00B71DC5">
            <w:r w:rsidRPr="00B71DC5">
              <w:t>Reduce single-sector risk</w:t>
            </w:r>
          </w:p>
        </w:tc>
      </w:tr>
    </w:tbl>
    <w:p w14:paraId="345AFD42" w14:textId="77777777" w:rsidR="00BB7054" w:rsidRDefault="00BB7054" w:rsidP="00BB7054"/>
    <w:p w14:paraId="4C339D64" w14:textId="0B6C8E21" w:rsidR="00BB7054" w:rsidRDefault="00B04816" w:rsidP="00BB7054">
      <w:r w:rsidRPr="00B04816">
        <w:rPr>
          <w:b/>
          <w:bCs/>
        </w:rPr>
        <w:t>Key Insight:</w:t>
      </w:r>
      <w:r w:rsidRPr="00B04816">
        <w:t> Despite negative absolute returns in 2022, TLT and GLD demonstrated </w:t>
      </w:r>
      <w:r w:rsidRPr="00B04816">
        <w:rPr>
          <w:b/>
          <w:bCs/>
        </w:rPr>
        <w:t>relative outperformance</w:t>
      </w:r>
      <w:r w:rsidRPr="00B04816">
        <w:t> versus equity positions, with TLT declining 5 percentage points less than the portfolio average.</w:t>
      </w:r>
    </w:p>
    <w:p w14:paraId="01949091" w14:textId="77777777" w:rsidR="00D73EC9" w:rsidRDefault="00D73EC9" w:rsidP="00BB7054"/>
    <w:p w14:paraId="4AC204AB" w14:textId="77777777" w:rsidR="00783275" w:rsidRPr="00783275" w:rsidRDefault="00783275" w:rsidP="00783275">
      <w:pPr>
        <w:rPr>
          <w:b/>
          <w:bCs/>
        </w:rPr>
      </w:pPr>
      <w:r w:rsidRPr="00783275">
        <w:rPr>
          <w:b/>
          <w:bCs/>
        </w:rPr>
        <w:t>RECOMMENDED OPTIMIZATION STRATEGY</w:t>
      </w:r>
    </w:p>
    <w:p w14:paraId="1039EA4B" w14:textId="77777777" w:rsidR="00783275" w:rsidRPr="00783275" w:rsidRDefault="00783275" w:rsidP="00783275">
      <w:pPr>
        <w:rPr>
          <w:b/>
          <w:bCs/>
        </w:rPr>
      </w:pPr>
      <w:r w:rsidRPr="00783275">
        <w:rPr>
          <w:b/>
          <w:bCs/>
        </w:rPr>
        <w:t>Tactical Implementation Plan</w:t>
      </w:r>
    </w:p>
    <w:p w14:paraId="18DDEE61" w14:textId="77777777" w:rsidR="00783275" w:rsidRPr="00783275" w:rsidRDefault="00783275" w:rsidP="00783275">
      <w:pPr>
        <w:numPr>
          <w:ilvl w:val="0"/>
          <w:numId w:val="5"/>
        </w:numPr>
      </w:pPr>
      <w:r w:rsidRPr="00783275">
        <w:rPr>
          <w:b/>
          <w:bCs/>
        </w:rPr>
        <w:t>Immediate Action:</w:t>
      </w:r>
      <w:r w:rsidRPr="00783275">
        <w:t> Rebalance from current 15.8% to 22% defensive allocation</w:t>
      </w:r>
    </w:p>
    <w:p w14:paraId="150EBC62" w14:textId="77777777" w:rsidR="00783275" w:rsidRPr="00783275" w:rsidRDefault="00783275" w:rsidP="00783275">
      <w:pPr>
        <w:numPr>
          <w:ilvl w:val="0"/>
          <w:numId w:val="5"/>
        </w:numPr>
      </w:pPr>
      <w:r w:rsidRPr="00783275">
        <w:rPr>
          <w:b/>
          <w:bCs/>
        </w:rPr>
        <w:t>Funding Source:</w:t>
      </w:r>
      <w:r w:rsidRPr="00783275">
        <w:t> Reduce AAPL/MFST overweight by 3-4 percentage points each</w:t>
      </w:r>
    </w:p>
    <w:p w14:paraId="715DB777" w14:textId="77777777" w:rsidR="00783275" w:rsidRPr="00783275" w:rsidRDefault="00783275" w:rsidP="00783275">
      <w:pPr>
        <w:numPr>
          <w:ilvl w:val="0"/>
          <w:numId w:val="5"/>
        </w:numPr>
      </w:pPr>
      <w:r w:rsidRPr="00783275">
        <w:rPr>
          <w:b/>
          <w:bCs/>
        </w:rPr>
        <w:t>Execution Method:</w:t>
      </w:r>
      <w:r w:rsidRPr="00783275">
        <w:t> Dollar-cost average over next quarter</w:t>
      </w:r>
    </w:p>
    <w:p w14:paraId="33545574" w14:textId="77777777" w:rsidR="00783275" w:rsidRPr="00783275" w:rsidRDefault="00783275" w:rsidP="00783275">
      <w:pPr>
        <w:numPr>
          <w:ilvl w:val="0"/>
          <w:numId w:val="5"/>
        </w:numPr>
      </w:pPr>
      <w:r w:rsidRPr="00783275">
        <w:rPr>
          <w:b/>
          <w:bCs/>
        </w:rPr>
        <w:t>Monitoring Framework:</w:t>
      </w:r>
      <w:r w:rsidRPr="00783275">
        <w:t> Quarterly correlation and effectiveness review</w:t>
      </w:r>
    </w:p>
    <w:p w14:paraId="455F1B7B" w14:textId="77777777" w:rsidR="00783275" w:rsidRPr="00783275" w:rsidRDefault="00783275" w:rsidP="00783275">
      <w:pPr>
        <w:rPr>
          <w:b/>
          <w:bCs/>
        </w:rPr>
      </w:pPr>
      <w:r w:rsidRPr="00783275">
        <w:rPr>
          <w:b/>
          <w:bCs/>
        </w:rPr>
        <w:t>Performance Expectations</w:t>
      </w:r>
    </w:p>
    <w:p w14:paraId="6CAE1D71" w14:textId="77777777" w:rsidR="00783275" w:rsidRPr="00783275" w:rsidRDefault="00783275" w:rsidP="00783275">
      <w:pPr>
        <w:numPr>
          <w:ilvl w:val="0"/>
          <w:numId w:val="6"/>
        </w:numPr>
      </w:pPr>
      <w:r w:rsidRPr="00783275">
        <w:rPr>
          <w:b/>
          <w:bCs/>
        </w:rPr>
        <w:t>Return Impact:</w:t>
      </w:r>
      <w:r w:rsidRPr="00783275">
        <w:t> -25 to -40 bps annualized</w:t>
      </w:r>
    </w:p>
    <w:p w14:paraId="6EAC5722" w14:textId="77777777" w:rsidR="00783275" w:rsidRPr="00783275" w:rsidRDefault="00783275" w:rsidP="00783275">
      <w:pPr>
        <w:numPr>
          <w:ilvl w:val="0"/>
          <w:numId w:val="6"/>
        </w:numPr>
      </w:pPr>
      <w:r w:rsidRPr="00783275">
        <w:rPr>
          <w:b/>
          <w:bCs/>
        </w:rPr>
        <w:t>Risk Impact:</w:t>
      </w:r>
      <w:r w:rsidRPr="00783275">
        <w:t> -150 to -200 bps volatility reduction</w:t>
      </w:r>
    </w:p>
    <w:p w14:paraId="6497A085" w14:textId="77777777" w:rsidR="00783275" w:rsidRPr="00783275" w:rsidRDefault="00783275" w:rsidP="00783275">
      <w:pPr>
        <w:numPr>
          <w:ilvl w:val="0"/>
          <w:numId w:val="6"/>
        </w:numPr>
      </w:pPr>
      <w:r w:rsidRPr="00783275">
        <w:rPr>
          <w:b/>
          <w:bCs/>
        </w:rPr>
        <w:t>Maximum Drawdown:</w:t>
      </w:r>
      <w:r w:rsidRPr="00783275">
        <w:t> Estimated 3-4 percentage point improvement</w:t>
      </w:r>
    </w:p>
    <w:p w14:paraId="27F6012F" w14:textId="77777777" w:rsidR="00783275" w:rsidRPr="00783275" w:rsidRDefault="00783275" w:rsidP="00783275">
      <w:pPr>
        <w:numPr>
          <w:ilvl w:val="0"/>
          <w:numId w:val="6"/>
        </w:numPr>
      </w:pPr>
      <w:r w:rsidRPr="00783275">
        <w:rPr>
          <w:b/>
          <w:bCs/>
        </w:rPr>
        <w:t>Sleep-at-Night Factor:</w:t>
      </w:r>
      <w:r w:rsidRPr="00783275">
        <w:t> Materially improved</w:t>
      </w:r>
    </w:p>
    <w:p w14:paraId="23982D03" w14:textId="77777777" w:rsidR="00783275" w:rsidRPr="00783275" w:rsidRDefault="00783275" w:rsidP="00783275">
      <w:pPr>
        <w:rPr>
          <w:b/>
          <w:bCs/>
        </w:rPr>
      </w:pPr>
      <w:r w:rsidRPr="00783275">
        <w:rPr>
          <w:b/>
          <w:bCs/>
        </w:rPr>
        <w:lastRenderedPageBreak/>
        <w:t>RISK SCENARIO ANALYSIS</w:t>
      </w:r>
    </w:p>
    <w:p w14:paraId="200383C4" w14:textId="77777777" w:rsidR="00783275" w:rsidRPr="00783275" w:rsidRDefault="00783275" w:rsidP="00783275">
      <w:pPr>
        <w:rPr>
          <w:b/>
          <w:bCs/>
        </w:rPr>
      </w:pPr>
      <w:r w:rsidRPr="00783275">
        <w:rPr>
          <w:b/>
          <w:bCs/>
        </w:rPr>
        <w:t>Defensive Asset Failure Modes</w:t>
      </w:r>
    </w:p>
    <w:p w14:paraId="41E2A81B" w14:textId="77777777" w:rsidR="00783275" w:rsidRPr="00783275" w:rsidRDefault="00783275" w:rsidP="00783275">
      <w:pPr>
        <w:numPr>
          <w:ilvl w:val="0"/>
          <w:numId w:val="7"/>
        </w:numPr>
      </w:pPr>
      <w:r w:rsidRPr="00783275">
        <w:rPr>
          <w:b/>
          <w:bCs/>
        </w:rPr>
        <w:t>Rising Rate Regime:</w:t>
      </w:r>
      <w:r w:rsidRPr="00783275">
        <w:t> TLT sensitivity to interest rates</w:t>
      </w:r>
    </w:p>
    <w:p w14:paraId="2F57EC9A" w14:textId="77777777" w:rsidR="00783275" w:rsidRPr="00783275" w:rsidRDefault="00783275" w:rsidP="00783275">
      <w:pPr>
        <w:numPr>
          <w:ilvl w:val="0"/>
          <w:numId w:val="7"/>
        </w:numPr>
      </w:pPr>
      <w:r w:rsidRPr="00783275">
        <w:rPr>
          <w:b/>
          <w:bCs/>
        </w:rPr>
        <w:t>Strong Dollar Environment:</w:t>
      </w:r>
      <w:r w:rsidRPr="00783275">
        <w:t> GLD headwinds from USD strength</w:t>
      </w:r>
    </w:p>
    <w:p w14:paraId="5B1C8CC9" w14:textId="77777777" w:rsidR="00783275" w:rsidRPr="00783275" w:rsidRDefault="00783275" w:rsidP="00783275">
      <w:pPr>
        <w:numPr>
          <w:ilvl w:val="0"/>
          <w:numId w:val="7"/>
        </w:numPr>
      </w:pPr>
      <w:r w:rsidRPr="00783275">
        <w:rPr>
          <w:b/>
          <w:bCs/>
        </w:rPr>
        <w:t>Disinflation/Deflation:</w:t>
      </w:r>
      <w:r w:rsidRPr="00783275">
        <w:t> Reduced gold appeal</w:t>
      </w:r>
    </w:p>
    <w:p w14:paraId="7151E7BD" w14:textId="77777777" w:rsidR="00783275" w:rsidRPr="00783275" w:rsidRDefault="00783275" w:rsidP="00783275">
      <w:pPr>
        <w:numPr>
          <w:ilvl w:val="0"/>
          <w:numId w:val="7"/>
        </w:numPr>
      </w:pPr>
      <w:r w:rsidRPr="00783275">
        <w:rPr>
          <w:b/>
          <w:bCs/>
        </w:rPr>
        <w:t>Flight-to-Quality Overcrowding:</w:t>
      </w:r>
      <w:r w:rsidRPr="00783275">
        <w:t> Compressed risk premia</w:t>
      </w:r>
    </w:p>
    <w:p w14:paraId="6E342D00" w14:textId="77777777" w:rsidR="00783275" w:rsidRPr="00783275" w:rsidRDefault="00783275" w:rsidP="00783275">
      <w:pPr>
        <w:rPr>
          <w:b/>
          <w:bCs/>
        </w:rPr>
      </w:pPr>
      <w:r w:rsidRPr="00783275">
        <w:rPr>
          <w:b/>
          <w:bCs/>
        </w:rPr>
        <w:t>Mitigation Protocols</w:t>
      </w:r>
    </w:p>
    <w:p w14:paraId="62AF5634" w14:textId="77777777" w:rsidR="00783275" w:rsidRPr="00783275" w:rsidRDefault="00783275" w:rsidP="00783275">
      <w:pPr>
        <w:numPr>
          <w:ilvl w:val="0"/>
          <w:numId w:val="8"/>
        </w:numPr>
      </w:pPr>
      <w:r w:rsidRPr="00783275">
        <w:rPr>
          <w:b/>
          <w:bCs/>
        </w:rPr>
        <w:t>Duration Management:</w:t>
      </w:r>
      <w:r w:rsidRPr="00783275">
        <w:t> Consider intermediate treasuries as TLT complement</w:t>
      </w:r>
    </w:p>
    <w:p w14:paraId="7B8AF6CF" w14:textId="77777777" w:rsidR="00783275" w:rsidRPr="00783275" w:rsidRDefault="00783275" w:rsidP="00783275">
      <w:pPr>
        <w:numPr>
          <w:ilvl w:val="0"/>
          <w:numId w:val="8"/>
        </w:numPr>
      </w:pPr>
      <w:r w:rsidRPr="00783275">
        <w:rPr>
          <w:b/>
          <w:bCs/>
        </w:rPr>
        <w:t>Currency Hedging:</w:t>
      </w:r>
      <w:r w:rsidRPr="00783275">
        <w:t> Evaluate currency-hedged gold products</w:t>
      </w:r>
    </w:p>
    <w:p w14:paraId="1D2B4EF3" w14:textId="77777777" w:rsidR="00783275" w:rsidRPr="00783275" w:rsidRDefault="00783275" w:rsidP="00783275">
      <w:pPr>
        <w:numPr>
          <w:ilvl w:val="0"/>
          <w:numId w:val="8"/>
        </w:numPr>
      </w:pPr>
      <w:r w:rsidRPr="00783275">
        <w:rPr>
          <w:b/>
          <w:bCs/>
        </w:rPr>
        <w:t>Alternative Diversifiers:</w:t>
      </w:r>
      <w:r w:rsidRPr="00783275">
        <w:t> Research managed futures, market-neutral strategies</w:t>
      </w:r>
    </w:p>
    <w:p w14:paraId="21807B8C" w14:textId="77777777" w:rsidR="00783275" w:rsidRPr="00783275" w:rsidRDefault="00783275" w:rsidP="00783275">
      <w:pPr>
        <w:numPr>
          <w:ilvl w:val="0"/>
          <w:numId w:val="8"/>
        </w:numPr>
      </w:pPr>
      <w:r w:rsidRPr="00783275">
        <w:rPr>
          <w:b/>
          <w:bCs/>
        </w:rPr>
        <w:t>Dynamic Allocation:</w:t>
      </w:r>
      <w:r w:rsidRPr="00783275">
        <w:t> Conditional weighting based on macro indicators</w:t>
      </w:r>
    </w:p>
    <w:p w14:paraId="59107756" w14:textId="77777777" w:rsidR="00783275" w:rsidRPr="00783275" w:rsidRDefault="00783275" w:rsidP="00783275">
      <w:r w:rsidRPr="00783275">
        <w:pict w14:anchorId="2C8378E7">
          <v:rect id="_x0000_i1031" style="width:0;height:.75pt" o:hralign="center" o:hrstd="t" o:hr="t" fillcolor="#a0a0a0" stroked="f"/>
        </w:pict>
      </w:r>
    </w:p>
    <w:p w14:paraId="67BEF109" w14:textId="77777777" w:rsidR="00783275" w:rsidRPr="00783275" w:rsidRDefault="00783275" w:rsidP="00783275">
      <w:r w:rsidRPr="00783275">
        <w:rPr>
          <w:b/>
          <w:bCs/>
        </w:rPr>
        <w:t>STRATEGIC CONCLUSION:</w:t>
      </w:r>
      <w:r w:rsidRPr="00783275">
        <w:t> TLT and GLD represent essential </w:t>
      </w:r>
      <w:r w:rsidRPr="00783275">
        <w:rPr>
          <w:b/>
          <w:bCs/>
        </w:rPr>
        <w:t>portfolio insurance policies</w:t>
      </w:r>
      <w:r w:rsidRPr="00783275">
        <w:t> rather than return engines. Their demonstrated effectiveness during stress periods, particularly 2022, validates their strategic role despite performance drag during expansionary phases. Optimization analysis supports increasing defensive allocation to 22-27% range to enhance the portfolio's </w:t>
      </w:r>
      <w:r w:rsidRPr="00783275">
        <w:rPr>
          <w:b/>
          <w:bCs/>
        </w:rPr>
        <w:t>resilience profile</w:t>
      </w:r>
      <w:r w:rsidRPr="00783275">
        <w:t xml:space="preserve"> while accepting modest return reduction—a </w:t>
      </w:r>
      <w:proofErr w:type="spellStart"/>
      <w:r w:rsidRPr="00783275">
        <w:t>favorable</w:t>
      </w:r>
      <w:proofErr w:type="spellEnd"/>
      <w:r w:rsidRPr="00783275">
        <w:t xml:space="preserve"> trade-off for most institutional and individual investors.</w:t>
      </w:r>
    </w:p>
    <w:p w14:paraId="2331DB76" w14:textId="77777777" w:rsidR="00783275" w:rsidRPr="00783275" w:rsidRDefault="00783275" w:rsidP="00783275">
      <w:r w:rsidRPr="00783275">
        <w:rPr>
          <w:b/>
          <w:bCs/>
        </w:rPr>
        <w:t>"The cost of diversification is visible daily; its benefit appears only in crisis—but then, it appears all at once."</w:t>
      </w:r>
    </w:p>
    <w:p w14:paraId="35101F49" w14:textId="61C81B26" w:rsidR="00BB7054" w:rsidRDefault="00BB7054" w:rsidP="00BB7054"/>
    <w:p w14:paraId="468D10A8" w14:textId="77777777" w:rsidR="00BB7054" w:rsidRDefault="00BB7054" w:rsidP="00BB7054"/>
    <w:p w14:paraId="5AA26E20" w14:textId="77777777" w:rsidR="0029265B" w:rsidRDefault="0029265B" w:rsidP="00BB7054"/>
    <w:p w14:paraId="39788B3A" w14:textId="77777777" w:rsidR="0029265B" w:rsidRDefault="0029265B" w:rsidP="00BB7054"/>
    <w:p w14:paraId="751C9FD6" w14:textId="77777777" w:rsidR="0029265B" w:rsidRDefault="0029265B" w:rsidP="00BB7054"/>
    <w:p w14:paraId="5D26855F" w14:textId="77777777" w:rsidR="0029265B" w:rsidRDefault="0029265B" w:rsidP="00BB7054"/>
    <w:p w14:paraId="4A64F9AF" w14:textId="77777777" w:rsidR="0029265B" w:rsidRDefault="0029265B" w:rsidP="00BB7054"/>
    <w:p w14:paraId="7F575208" w14:textId="77777777" w:rsidR="0029265B" w:rsidRDefault="0029265B" w:rsidP="00BB7054"/>
    <w:p w14:paraId="2CB6C368" w14:textId="77777777" w:rsidR="0029265B" w:rsidRDefault="0029265B" w:rsidP="00BB7054"/>
    <w:p w14:paraId="2E80EBF3" w14:textId="77777777" w:rsidR="0029265B" w:rsidRDefault="0029265B" w:rsidP="00BB7054"/>
    <w:p w14:paraId="2CC4CE68" w14:textId="22E8A092" w:rsidR="00BB7054" w:rsidRDefault="00BB7054" w:rsidP="00BB7054">
      <w:r>
        <w:lastRenderedPageBreak/>
        <w:t>8. APPENDIX: METHODOLOGY</w:t>
      </w:r>
    </w:p>
    <w:p w14:paraId="4D502751" w14:textId="3EA60C0E" w:rsidR="00BB7054" w:rsidRDefault="00BB7054" w:rsidP="00BB7054">
      <w:r>
        <w:t>Data Source</w:t>
      </w:r>
    </w:p>
    <w:p w14:paraId="17013F0C" w14:textId="1EF4C4B2" w:rsidR="00BB7054" w:rsidRDefault="00BB7054" w:rsidP="00BB7054">
      <w:r>
        <w:t xml:space="preserve">Daily returns: </w:t>
      </w:r>
      <w:r w:rsidR="00385CAA">
        <w:t>Yahoo Finance</w:t>
      </w:r>
    </w:p>
    <w:p w14:paraId="25DC6310" w14:textId="12A3F6AC" w:rsidR="00BB7054" w:rsidRDefault="00BB7054" w:rsidP="00BB7054">
      <w:r>
        <w:t>Correlation calculations: 252-trading day window</w:t>
      </w:r>
    </w:p>
    <w:p w14:paraId="12D11D07" w14:textId="373AD8A3" w:rsidR="00BB7054" w:rsidRDefault="00BB7054" w:rsidP="00BB7054">
      <w:r>
        <w:t xml:space="preserve"> Volatility: Annualized standard deviation</w:t>
      </w:r>
    </w:p>
    <w:p w14:paraId="7B536291" w14:textId="6795A8DF" w:rsidR="00BB7054" w:rsidRDefault="00BB7054" w:rsidP="00BB7054">
      <w:r>
        <w:t>-Performance: Time-weighted returns</w:t>
      </w:r>
    </w:p>
    <w:p w14:paraId="48F94A63" w14:textId="77777777" w:rsidR="00BB7054" w:rsidRDefault="00BB7054" w:rsidP="00BB7054"/>
    <w:p w14:paraId="37A540FD" w14:textId="77777777" w:rsidR="0089393E" w:rsidRDefault="0089393E" w:rsidP="00BB7054"/>
    <w:p w14:paraId="1EA79F98" w14:textId="0E7D9D84" w:rsidR="00BB7054" w:rsidRDefault="00BB7054" w:rsidP="00BB7054">
      <w:r>
        <w:t>Key Metrics Formula</w:t>
      </w:r>
    </w:p>
    <w:p w14:paraId="1FA245B7" w14:textId="28DDDDD0" w:rsidR="00BB7054" w:rsidRDefault="00BB7054" w:rsidP="00BB7054">
      <w:r>
        <w:t>Total Return:</w:t>
      </w:r>
      <w:r w:rsidR="0089393E">
        <w:t xml:space="preserve"> </w:t>
      </w:r>
      <w:r>
        <w:t>(End Value / Begin Value) - 1</w:t>
      </w:r>
    </w:p>
    <w:p w14:paraId="2F593980" w14:textId="143034F6" w:rsidR="00BB7054" w:rsidRDefault="00BB7054" w:rsidP="00BB7054">
      <w:r>
        <w:t xml:space="preserve">Annualized Volatility: </w:t>
      </w:r>
      <w:proofErr w:type="gramStart"/>
      <w:r>
        <w:t>STDEV(</w:t>
      </w:r>
      <w:proofErr w:type="gramEnd"/>
      <w:r>
        <w:t>Daily Returns) × √252</w:t>
      </w:r>
    </w:p>
    <w:p w14:paraId="0CFFA9F0" w14:textId="60E67E9B" w:rsidR="00BB7054" w:rsidRDefault="00BB7054" w:rsidP="00BB7054">
      <w:r>
        <w:t>Correlation: Pearson correlation coefficient</w:t>
      </w:r>
    </w:p>
    <w:p w14:paraId="472705C6" w14:textId="3EAEE03B" w:rsidR="00BB7054" w:rsidRDefault="00BB7054" w:rsidP="00BB7054">
      <w:r>
        <w:t>-Diversification Score: [Your formula]</w:t>
      </w:r>
    </w:p>
    <w:p w14:paraId="3F154F80" w14:textId="77777777" w:rsidR="00BB7054" w:rsidRDefault="00BB7054" w:rsidP="00BB7054"/>
    <w:p w14:paraId="2F97C1C9" w14:textId="18AF93BF" w:rsidR="00BB7054" w:rsidRDefault="00BB7054" w:rsidP="00BB7054">
      <w:r>
        <w:t>Assumptions</w:t>
      </w:r>
    </w:p>
    <w:p w14:paraId="6BF1FF27" w14:textId="77777777" w:rsidR="00BB7054" w:rsidRDefault="00BB7054" w:rsidP="00BB7054">
      <w:r>
        <w:t>1. Equal initial allocation</w:t>
      </w:r>
    </w:p>
    <w:p w14:paraId="3DD671C8" w14:textId="77777777" w:rsidR="00BB7054" w:rsidRDefault="00BB7054" w:rsidP="00BB7054">
      <w:r>
        <w:t>2. No transaction costs</w:t>
      </w:r>
    </w:p>
    <w:p w14:paraId="66D7CDCF" w14:textId="77777777" w:rsidR="00BB7054" w:rsidRDefault="00BB7054" w:rsidP="00BB7054">
      <w:r>
        <w:t>3. Dividends reinvested</w:t>
      </w:r>
    </w:p>
    <w:p w14:paraId="7FFF7B53" w14:textId="77777777" w:rsidR="00BB7054" w:rsidRDefault="00BB7054" w:rsidP="00BB7054">
      <w:r>
        <w:t>4. USD-denominated returns</w:t>
      </w:r>
    </w:p>
    <w:p w14:paraId="072B2C65" w14:textId="77777777" w:rsidR="00BB7054" w:rsidRDefault="00BB7054" w:rsidP="00BB7054"/>
    <w:p w14:paraId="467201CF" w14:textId="3860A891" w:rsidR="00BB7054" w:rsidRPr="0019333D" w:rsidRDefault="00BB7054" w:rsidP="00BB7054">
      <w:pPr>
        <w:rPr>
          <w:b/>
          <w:bCs/>
        </w:rPr>
      </w:pPr>
      <w:r w:rsidRPr="0019333D">
        <w:rPr>
          <w:b/>
          <w:bCs/>
        </w:rPr>
        <w:t>DISCLAIMER: This report is for informational purposes only. Past performance does not guarantee future results. Consult with a financial advisor before making investment decisions.</w:t>
      </w:r>
    </w:p>
    <w:p w14:paraId="1EBC2A95" w14:textId="77777777" w:rsidR="00BB7054" w:rsidRPr="0019333D" w:rsidRDefault="00BB7054" w:rsidP="00BB7054">
      <w:pPr>
        <w:rPr>
          <w:b/>
          <w:bCs/>
        </w:rPr>
      </w:pPr>
    </w:p>
    <w:p w14:paraId="51C5C517" w14:textId="568465F4" w:rsidR="00BB7054" w:rsidRDefault="00BB7054" w:rsidP="00BB7054"/>
    <w:sectPr w:rsidR="00BB70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76F1D"/>
    <w:multiLevelType w:val="multilevel"/>
    <w:tmpl w:val="DDA0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566E3"/>
    <w:multiLevelType w:val="multilevel"/>
    <w:tmpl w:val="9EAE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0765D4"/>
    <w:multiLevelType w:val="multilevel"/>
    <w:tmpl w:val="A1FA5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744410"/>
    <w:multiLevelType w:val="multilevel"/>
    <w:tmpl w:val="A5125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E779E9"/>
    <w:multiLevelType w:val="multilevel"/>
    <w:tmpl w:val="81FE6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631B5C"/>
    <w:multiLevelType w:val="multilevel"/>
    <w:tmpl w:val="9248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DF1F0D"/>
    <w:multiLevelType w:val="multilevel"/>
    <w:tmpl w:val="FD72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8D204D"/>
    <w:multiLevelType w:val="multilevel"/>
    <w:tmpl w:val="B4DC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28535">
    <w:abstractNumId w:val="6"/>
  </w:num>
  <w:num w:numId="2" w16cid:durableId="1878346680">
    <w:abstractNumId w:val="7"/>
  </w:num>
  <w:num w:numId="3" w16cid:durableId="1815441458">
    <w:abstractNumId w:val="0"/>
  </w:num>
  <w:num w:numId="4" w16cid:durableId="1655179588">
    <w:abstractNumId w:val="2"/>
  </w:num>
  <w:num w:numId="5" w16cid:durableId="1139225109">
    <w:abstractNumId w:val="3"/>
  </w:num>
  <w:num w:numId="6" w16cid:durableId="530338656">
    <w:abstractNumId w:val="1"/>
  </w:num>
  <w:num w:numId="7" w16cid:durableId="1081215752">
    <w:abstractNumId w:val="4"/>
  </w:num>
  <w:num w:numId="8" w16cid:durableId="6839374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054"/>
    <w:rsid w:val="00047313"/>
    <w:rsid w:val="000E1DD1"/>
    <w:rsid w:val="0019333D"/>
    <w:rsid w:val="001B64F8"/>
    <w:rsid w:val="001E489B"/>
    <w:rsid w:val="00243B50"/>
    <w:rsid w:val="002556DC"/>
    <w:rsid w:val="00270D7A"/>
    <w:rsid w:val="0029265B"/>
    <w:rsid w:val="002C32EE"/>
    <w:rsid w:val="002F6F13"/>
    <w:rsid w:val="00323105"/>
    <w:rsid w:val="00385CAA"/>
    <w:rsid w:val="003B5A05"/>
    <w:rsid w:val="003C0E01"/>
    <w:rsid w:val="004121EA"/>
    <w:rsid w:val="004A19D0"/>
    <w:rsid w:val="004B5B6A"/>
    <w:rsid w:val="00530C8E"/>
    <w:rsid w:val="00552E54"/>
    <w:rsid w:val="0060157B"/>
    <w:rsid w:val="006C4413"/>
    <w:rsid w:val="006D3325"/>
    <w:rsid w:val="006F6C48"/>
    <w:rsid w:val="0070728F"/>
    <w:rsid w:val="007240D9"/>
    <w:rsid w:val="0072431A"/>
    <w:rsid w:val="00783275"/>
    <w:rsid w:val="007A206D"/>
    <w:rsid w:val="007B29EB"/>
    <w:rsid w:val="007F0A47"/>
    <w:rsid w:val="007F7F7F"/>
    <w:rsid w:val="0089393E"/>
    <w:rsid w:val="008C2EC9"/>
    <w:rsid w:val="00964F9A"/>
    <w:rsid w:val="009F794B"/>
    <w:rsid w:val="00A21AA1"/>
    <w:rsid w:val="00AE3F79"/>
    <w:rsid w:val="00B04816"/>
    <w:rsid w:val="00B22814"/>
    <w:rsid w:val="00B60862"/>
    <w:rsid w:val="00B71DC5"/>
    <w:rsid w:val="00B97E71"/>
    <w:rsid w:val="00BB7054"/>
    <w:rsid w:val="00BF6633"/>
    <w:rsid w:val="00C24B75"/>
    <w:rsid w:val="00C27155"/>
    <w:rsid w:val="00CA1D01"/>
    <w:rsid w:val="00CF7644"/>
    <w:rsid w:val="00D04563"/>
    <w:rsid w:val="00D31617"/>
    <w:rsid w:val="00D73EC9"/>
    <w:rsid w:val="00DB12DA"/>
    <w:rsid w:val="00DB52E7"/>
    <w:rsid w:val="00DC2DF9"/>
    <w:rsid w:val="00ED52EE"/>
    <w:rsid w:val="00F33635"/>
    <w:rsid w:val="00F602C8"/>
    <w:rsid w:val="00F935C5"/>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8B930"/>
  <w15:chartTrackingRefBased/>
  <w15:docId w15:val="{914A7037-C781-41AD-AF7B-8D908B839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0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70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70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70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70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70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0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0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0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0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70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70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70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70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70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0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0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054"/>
    <w:rPr>
      <w:rFonts w:eastAsiaTheme="majorEastAsia" w:cstheme="majorBidi"/>
      <w:color w:val="272727" w:themeColor="text1" w:themeTint="D8"/>
    </w:rPr>
  </w:style>
  <w:style w:type="paragraph" w:styleId="Title">
    <w:name w:val="Title"/>
    <w:basedOn w:val="Normal"/>
    <w:next w:val="Normal"/>
    <w:link w:val="TitleChar"/>
    <w:uiPriority w:val="10"/>
    <w:qFormat/>
    <w:rsid w:val="00BB70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0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0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0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054"/>
    <w:pPr>
      <w:spacing w:before="160"/>
      <w:jc w:val="center"/>
    </w:pPr>
    <w:rPr>
      <w:i/>
      <w:iCs/>
      <w:color w:val="404040" w:themeColor="text1" w:themeTint="BF"/>
    </w:rPr>
  </w:style>
  <w:style w:type="character" w:customStyle="1" w:styleId="QuoteChar">
    <w:name w:val="Quote Char"/>
    <w:basedOn w:val="DefaultParagraphFont"/>
    <w:link w:val="Quote"/>
    <w:uiPriority w:val="29"/>
    <w:rsid w:val="00BB7054"/>
    <w:rPr>
      <w:i/>
      <w:iCs/>
      <w:color w:val="404040" w:themeColor="text1" w:themeTint="BF"/>
    </w:rPr>
  </w:style>
  <w:style w:type="paragraph" w:styleId="ListParagraph">
    <w:name w:val="List Paragraph"/>
    <w:basedOn w:val="Normal"/>
    <w:uiPriority w:val="34"/>
    <w:qFormat/>
    <w:rsid w:val="00BB7054"/>
    <w:pPr>
      <w:ind w:left="720"/>
      <w:contextualSpacing/>
    </w:pPr>
  </w:style>
  <w:style w:type="character" w:styleId="IntenseEmphasis">
    <w:name w:val="Intense Emphasis"/>
    <w:basedOn w:val="DefaultParagraphFont"/>
    <w:uiPriority w:val="21"/>
    <w:qFormat/>
    <w:rsid w:val="00BB7054"/>
    <w:rPr>
      <w:i/>
      <w:iCs/>
      <w:color w:val="2F5496" w:themeColor="accent1" w:themeShade="BF"/>
    </w:rPr>
  </w:style>
  <w:style w:type="paragraph" w:styleId="IntenseQuote">
    <w:name w:val="Intense Quote"/>
    <w:basedOn w:val="Normal"/>
    <w:next w:val="Normal"/>
    <w:link w:val="IntenseQuoteChar"/>
    <w:uiPriority w:val="30"/>
    <w:qFormat/>
    <w:rsid w:val="00BB70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7054"/>
    <w:rPr>
      <w:i/>
      <w:iCs/>
      <w:color w:val="2F5496" w:themeColor="accent1" w:themeShade="BF"/>
    </w:rPr>
  </w:style>
  <w:style w:type="character" w:styleId="IntenseReference">
    <w:name w:val="Intense Reference"/>
    <w:basedOn w:val="DefaultParagraphFont"/>
    <w:uiPriority w:val="32"/>
    <w:qFormat/>
    <w:rsid w:val="00BB70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1384</Words>
  <Characters>7894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Asikpo</dc:creator>
  <cp:keywords/>
  <dc:description/>
  <cp:lastModifiedBy>David Asikpo</cp:lastModifiedBy>
  <cp:revision>2</cp:revision>
  <dcterms:created xsi:type="dcterms:W3CDTF">2026-01-17T14:31:00Z</dcterms:created>
  <dcterms:modified xsi:type="dcterms:W3CDTF">2026-01-17T14:31:00Z</dcterms:modified>
</cp:coreProperties>
</file>