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100" w:before="800"/>
        <w:jc w:val="center"/>
      </w:pPr>
      <w:r>
        <w:rPr>
          <w:b/>
          <w:bCs/>
          <w:color w:val="1F3864"/>
          <w:sz w:val="56"/>
          <w:szCs w:val="56"/>
        </w:rPr>
        <w:t xml:space="preserve">CAHIER DES CHARGES</w:t>
      </w:r>
    </w:p>
    <w:p>
      <w:pPr>
        <w:spacing w:after="600"/>
        <w:jc w:val="center"/>
      </w:pPr>
      <w:r>
        <w:rPr>
          <w:b/>
          <w:bCs/>
          <w:color w:val="2E74B5"/>
          <w:sz w:val="30"/>
          <w:szCs w:val="30"/>
        </w:rPr>
        <w:t xml:space="preserve">Conception et développement d'une application de gestion de bibliothèque</w:t>
      </w:r>
    </w:p>
    <w:p>
      <w:pPr>
        <w:spacing w:after="1200"/>
        <w:jc w:val="center"/>
      </w:pPr>
      <w:r>
        <w:rPr>
          <w:i/>
          <w:iCs/>
          <w:color w:val="595959"/>
          <w:sz w:val="24"/>
          <w:szCs w:val="24"/>
        </w:rPr>
        <w:t xml:space="preserve">Projet de fin d'études — Soutenance</w:t>
      </w:r>
    </w:p>
    <w:p>
      <w:pPr>
        <w:spacing w:after="100" w:before="3000"/>
        <w:jc w:val="center"/>
      </w:pPr>
      <w:r>
        <w:rPr>
          <w:sz w:val="22"/>
          <w:szCs w:val="22"/>
        </w:rPr>
        <w:t xml:space="preserve">Nom du candidat : ……………………………………</w:t>
      </w:r>
    </w:p>
    <w:p>
      <w:pPr>
        <w:spacing w:after="100"/>
        <w:jc w:val="center"/>
      </w:pPr>
      <w:r>
        <w:rPr>
          <w:sz w:val="22"/>
          <w:szCs w:val="22"/>
        </w:rPr>
        <w:t xml:space="preserve">Établissement / Formation : ……………………………………</w:t>
      </w:r>
    </w:p>
    <w:p>
      <w:pPr>
        <w:spacing w:after="100"/>
        <w:jc w:val="center"/>
      </w:pPr>
      <w:r>
        <w:rPr>
          <w:sz w:val="22"/>
          <w:szCs w:val="22"/>
        </w:rPr>
        <w:t xml:space="preserve">Encadrant(e) : ……………………………………</w:t>
      </w:r>
    </w:p>
    <w:p>
      <w:pPr>
        <w:spacing w:after="100"/>
        <w:jc w:val="center"/>
      </w:pPr>
      <w:r>
        <w:rPr>
          <w:sz w:val="22"/>
          <w:szCs w:val="22"/>
        </w:rPr>
        <w:t xml:space="preserve">Année académique : 2025 – 2026</w:t>
      </w:r>
    </w:p>
    <w:p>
      <w:r>
        <w:br w:type="page"/>
      </w:r>
    </w:p>
    <w:p>
      <w:pPr>
        <w:sectPr>
          <w:pgSz w:w="11906" w:h="16838" w:orient="portrait"/>
          <w:pgMar w:top="1134" w:right="1134" w:bottom="1134" w:left="1134" w:header="708" w:footer="708" w:gutter="0"/>
          <w:pgNumType/>
          <w:docGrid w:linePitch="360"/>
        </w:sectPr>
      </w:pPr>
    </w:p>
    <w:p>
      <w:pPr>
        <w:pStyle w:val="Heading1"/>
      </w:pPr>
      <w:r>
        <w:rPr>
          <w:b/>
          <w:bCs/>
          <w:color w:val="1F3864"/>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134" w:right="1134" w:bottom="1134" w:left="1134" w:header="708" w:footer="708" w:gutter="0"/>
          <w:pgNumType/>
          <w:docGrid w:linePitch="360"/>
        </w:sectPr>
      </w:pPr>
    </w:p>
    <w:p>
      <w:pPr>
        <w:pStyle w:val="Heading1"/>
        <w:pBdr>
          <w:bottom w:val="single" w:color="2E74B5" w:sz="6" w:space="4"/>
        </w:pBdr>
        <w:spacing w:after="200" w:before="400"/>
      </w:pPr>
      <w:r>
        <w:rPr>
          <w:b/>
          <w:bCs/>
          <w:color w:val="1F3864"/>
        </w:rPr>
        <w:t xml:space="preserve">1. Présentation du projet</w:t>
      </w:r>
    </w:p>
    <w:p>
      <w:pPr>
        <w:pStyle w:val="Heading2"/>
        <w:spacing w:after="120" w:before="280"/>
      </w:pPr>
      <w:r>
        <w:rPr>
          <w:b/>
          <w:bCs/>
          <w:color w:val="2E74B5"/>
        </w:rPr>
        <w:t xml:space="preserve">1.1 Contexte</w:t>
      </w:r>
    </w:p>
    <w:p>
      <w:pPr>
        <w:spacing w:after="160" w:line="276"/>
      </w:pPr>
      <w:r>
        <w:t xml:space="preserve">La bibliothèque universitaire (BU) constitue un service central de l'établissement, au service des étudiants, des enseignants-chercheurs et du personnel administratif. Or, de nombreuses bibliothèques universitaires de taille moyenne gèrent encore une partie de leurs opérations (prêts, retours, inventaire) à l'aide de registres papier ou de tableurs, ou disposent de logiciels anciens peu ergonomiques. Cette approche engendre une perte de temps, des erreurs de saisie, une absence de traçabilité des emprunts et une difficulté à obtenir des statistiques fiables sur l'utilisation du fonds documentaire.</w:t>
      </w:r>
    </w:p>
    <w:p>
      <w:pPr>
        <w:spacing w:after="160" w:line="276"/>
      </w:pPr>
      <w:r>
        <w:t xml:space="preserve">Dans ce contexte universitaire — marqué par un volume important d'usagers, une rotation forte des emprunts (période d'examens, réserves de cours) et une diversité de profils (étudiants en licence, master, doctorat, enseignants-chercheurs, personnel) — la mise en place d'une application dédiée à la gestion de la bibliothèque permet d'automatiser les tâches répétitives, de fiabiliser les données et d'améliorer l'expérience des usagers comme celle du personnel.</w:t>
      </w:r>
    </w:p>
    <w:p>
      <w:pPr>
        <w:pStyle w:val="Heading2"/>
        <w:spacing w:after="120" w:before="280"/>
      </w:pPr>
      <w:r>
        <w:rPr>
          <w:b/>
          <w:bCs/>
          <w:color w:val="2E74B5"/>
        </w:rPr>
        <w:t xml:space="preserve">1.2 Problématique</w:t>
      </w:r>
    </w:p>
    <w:p>
      <w:pPr>
        <w:spacing w:after="160" w:line="276"/>
      </w:pPr>
      <w:r>
        <w:t xml:space="preserve">Comment concevoir et développer une application permettant de centraliser la gestion des ouvrages, des adhérents (étudiants, enseignants, personnel) et des emprunts d'une bibliothèque universitaire, tout en garantissant la fiabilité des données, la simplicité d'utilisation et la sécurité des accès, ainsi qu'une gestion différenciée des droits selon le statut de l'usager ?</w:t>
      </w:r>
    </w:p>
    <w:p>
      <w:pPr>
        <w:pStyle w:val="Heading2"/>
        <w:spacing w:after="120" w:before="280"/>
      </w:pPr>
      <w:r>
        <w:rPr>
          <w:b/>
          <w:bCs/>
          <w:color w:val="2E74B5"/>
        </w:rPr>
        <w:t xml:space="preserve">1.3 Objectifs du projet</w:t>
      </w:r>
    </w:p>
    <w:p>
      <w:pPr>
        <w:spacing w:after="160" w:line="276"/>
      </w:pPr>
      <w:r>
        <w:t xml:space="preserve">L'application « GestBib » (nom provisoire) doit permettre de :</w:t>
      </w:r>
    </w:p>
    <w:p>
      <w:pPr>
        <w:pStyle w:val="ListParagraph"/>
        <w:numPr>
          <w:ilvl w:val="0"/>
          <w:numId w:val="2"/>
        </w:numPr>
        <w:spacing w:after="100"/>
      </w:pPr>
      <w:r>
        <w:t xml:space="preserve">Gérer le catalogue des ouvrages (ajout, modification, suppression, recherche) ;</w:t>
      </w:r>
    </w:p>
    <w:p>
      <w:pPr>
        <w:pStyle w:val="ListParagraph"/>
        <w:numPr>
          <w:ilvl w:val="0"/>
          <w:numId w:val="2"/>
        </w:numPr>
        <w:spacing w:after="100"/>
      </w:pPr>
      <w:r>
        <w:t xml:space="preserve">Gérer les adhérents / usagers de la bibliothèque ;</w:t>
      </w:r>
    </w:p>
    <w:p>
      <w:pPr>
        <w:pStyle w:val="ListParagraph"/>
        <w:numPr>
          <w:ilvl w:val="0"/>
          <w:numId w:val="2"/>
        </w:numPr>
        <w:spacing w:after="100"/>
      </w:pPr>
      <w:r>
        <w:t xml:space="preserve">Gérer les emprunts, les retours et les prolongations ;</w:t>
      </w:r>
    </w:p>
    <w:p>
      <w:pPr>
        <w:pStyle w:val="ListParagraph"/>
        <w:numPr>
          <w:ilvl w:val="0"/>
          <w:numId w:val="2"/>
        </w:numPr>
        <w:spacing w:after="100"/>
      </w:pPr>
      <w:r>
        <w:t xml:space="preserve">Gérer les réservations d'ouvrages déjà empruntés ;</w:t>
      </w:r>
    </w:p>
    <w:p>
      <w:pPr>
        <w:pStyle w:val="ListParagraph"/>
        <w:numPr>
          <w:ilvl w:val="0"/>
          <w:numId w:val="2"/>
        </w:numPr>
        <w:spacing w:after="100"/>
      </w:pPr>
      <w:r>
        <w:t xml:space="preserve">Calculer et suivre les pénalités de retard ;</w:t>
      </w:r>
    </w:p>
    <w:p>
      <w:pPr>
        <w:pStyle w:val="ListParagraph"/>
        <w:numPr>
          <w:ilvl w:val="0"/>
          <w:numId w:val="2"/>
        </w:numPr>
        <w:spacing w:after="100"/>
      </w:pPr>
      <w:r>
        <w:t xml:space="preserve">Générer des statistiques et des rapports d'activité ;</w:t>
      </w:r>
    </w:p>
    <w:p>
      <w:pPr>
        <w:pStyle w:val="ListParagraph"/>
        <w:numPr>
          <w:ilvl w:val="0"/>
          <w:numId w:val="2"/>
        </w:numPr>
        <w:spacing w:after="100"/>
      </w:pPr>
      <w:r>
        <w:t xml:space="preserve">Sécuriser l'accès à l'application selon le profil de l'utilisateur (administrateur, bibliothécaire, adhérent).</w:t>
      </w:r>
    </w:p>
    <w:p>
      <w:pPr>
        <w:pStyle w:val="Heading2"/>
        <w:spacing w:after="120" w:before="280"/>
      </w:pPr>
      <w:r>
        <w:rPr>
          <w:b/>
          <w:bCs/>
          <w:color w:val="2E74B5"/>
        </w:rPr>
        <w:t xml:space="preserve">1.4 Objectifs pédagogiques</w:t>
      </w:r>
    </w:p>
    <w:p>
      <w:pPr>
        <w:spacing w:after="160" w:line="276"/>
      </w:pPr>
      <w:r>
        <w:t xml:space="preserve">Ce projet vise également à démontrer la maîtrise des compétences suivantes : analyse et modélisation des besoins (UML/Merise), conception d'une base de données relationnelle, développement d'une application (front-end / back-end), gestion de projet et respect d'une méthodologie de développement, tests et déploiement.</w:t>
      </w:r>
    </w:p>
    <w:p>
      <w:pPr>
        <w:pStyle w:val="Heading1"/>
        <w:pBdr>
          <w:bottom w:val="single" w:color="2E74B5" w:sz="6" w:space="4"/>
        </w:pBdr>
        <w:spacing w:after="200" w:before="400"/>
      </w:pPr>
      <w:r>
        <w:rPr>
          <w:b/>
          <w:bCs/>
          <w:color w:val="1F3864"/>
        </w:rPr>
        <w:t xml:space="preserve">2. Étude de l'existant</w:t>
      </w:r>
    </w:p>
    <w:p>
      <w:pPr>
        <w:spacing w:after="160" w:line="276"/>
      </w:pPr>
      <w:r>
        <w:t xml:space="preserve">Une phase d'analyse de solutions existantes (registres papier, tableurs Excel, logiciels comme PMB, Koha, BiblioMaker) a permis d'identifier les limites suivantes :</w:t>
      </w:r>
    </w:p>
    <w:p>
      <w:pPr>
        <w:pStyle w:val="ListParagraph"/>
        <w:numPr>
          <w:ilvl w:val="0"/>
          <w:numId w:val="2"/>
        </w:numPr>
        <w:spacing w:after="100"/>
      </w:pPr>
      <w:r>
        <w:t xml:space="preserve">Absence de recherche rapide multicritères ;</w:t>
      </w:r>
    </w:p>
    <w:p>
      <w:pPr>
        <w:pStyle w:val="ListParagraph"/>
        <w:numPr>
          <w:ilvl w:val="0"/>
          <w:numId w:val="2"/>
        </w:numPr>
        <w:spacing w:after="100"/>
      </w:pPr>
      <w:r>
        <w:t xml:space="preserve">Pas de suivi automatique des retards ;</w:t>
      </w:r>
    </w:p>
    <w:p>
      <w:pPr>
        <w:pStyle w:val="ListParagraph"/>
        <w:numPr>
          <w:ilvl w:val="0"/>
          <w:numId w:val="2"/>
        </w:numPr>
        <w:spacing w:after="100"/>
      </w:pPr>
      <w:r>
        <w:t xml:space="preserve">Risque de perte ou de duplication des données ;</w:t>
      </w:r>
    </w:p>
    <w:p>
      <w:pPr>
        <w:pStyle w:val="ListParagraph"/>
        <w:numPr>
          <w:ilvl w:val="0"/>
          <w:numId w:val="2"/>
        </w:numPr>
        <w:spacing w:after="100"/>
      </w:pPr>
      <w:r>
        <w:t xml:space="preserve">Absence de statistiques exploitables ;</w:t>
      </w:r>
    </w:p>
    <w:p>
      <w:pPr>
        <w:pStyle w:val="ListParagraph"/>
        <w:numPr>
          <w:ilvl w:val="0"/>
          <w:numId w:val="2"/>
        </w:numPr>
        <w:spacing w:after="100"/>
      </w:pPr>
      <w:r>
        <w:t xml:space="preserve">Coût ou complexité élevés des solutions du marché pour une structure de petite taille.</w:t>
      </w:r>
    </w:p>
    <w:p>
      <w:pPr>
        <w:spacing w:after="160" w:line="276"/>
      </w:pPr>
      <w:r>
        <w:t xml:space="preserve">L'application proposée se veut plus légère, adaptée à une structure de taille moyenne, et personnalisable selon les besoins spécifiques de l'établissement.</w:t>
      </w:r>
    </w:p>
    <w:p>
      <w:pPr>
        <w:pStyle w:val="Heading1"/>
        <w:pBdr>
          <w:bottom w:val="single" w:color="2E74B5" w:sz="6" w:space="4"/>
        </w:pBdr>
        <w:spacing w:after="200" w:before="400"/>
      </w:pPr>
      <w:r>
        <w:rPr>
          <w:b/>
          <w:bCs/>
          <w:color w:val="1F3864"/>
        </w:rPr>
        <w:t xml:space="preserve">3. Identification des acteurs (utilisateurs)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200"/>
      </w:tblGrid>
      <w:tr>
        <w:trPr>
          <w:tblHeader/>
        </w:trPr>
        <w:tc>
          <w:tcPr>
            <w:tcW w:type="dxa" w:w="2200"/>
            <w:shd w:fill="1F3864" w:color="auto" w:val="clear"/>
            <w:tcMar>
              <w:top w:type="dxa" w:w="80"/>
              <w:left w:type="dxa" w:w="120"/>
              <w:bottom w:type="dxa" w:w="80"/>
              <w:right w:type="dxa" w:w="120"/>
            </w:tcMar>
            <w:vAlign w:val="center"/>
          </w:tcPr>
          <w:p>
            <w:pPr>
              <w:jc w:val="left"/>
            </w:pPr>
            <w:r>
              <w:rPr>
                <w:b/>
                <w:bCs/>
                <w:color w:val="FFFFFF"/>
              </w:rPr>
              <w:t xml:space="preserve">Acteur</w:t>
            </w:r>
          </w:p>
        </w:tc>
        <w:tc>
          <w:tcPr>
            <w:tcW w:type="dxa" w:w="4200"/>
            <w:shd w:fill="1F3864" w:color="auto" w:val="clear"/>
            <w:tcMar>
              <w:top w:type="dxa" w:w="80"/>
              <w:left w:type="dxa" w:w="120"/>
              <w:bottom w:type="dxa" w:w="80"/>
              <w:right w:type="dxa" w:w="120"/>
            </w:tcMar>
            <w:vAlign w:val="center"/>
          </w:tcPr>
          <w:p>
            <w:pPr>
              <w:jc w:val="left"/>
            </w:pPr>
            <w:r>
              <w:rPr>
                <w:b/>
                <w:bCs/>
                <w:color w:val="FFFFFF"/>
              </w:rPr>
              <w:t xml:space="preserve">Description</w:t>
            </w:r>
          </w:p>
        </w:tc>
        <w:tc>
          <w:tcPr>
            <w:tcW w:type="dxa" w:w="4200"/>
            <w:shd w:fill="1F3864" w:color="auto" w:val="clear"/>
            <w:tcMar>
              <w:top w:type="dxa" w:w="80"/>
              <w:left w:type="dxa" w:w="120"/>
              <w:bottom w:type="dxa" w:w="80"/>
              <w:right w:type="dxa" w:w="120"/>
            </w:tcMar>
            <w:vAlign w:val="center"/>
          </w:tcPr>
          <w:p>
            <w:pPr>
              <w:jc w:val="left"/>
            </w:pPr>
            <w:r>
              <w:rPr>
                <w:b/>
                <w:bCs/>
                <w:color w:val="FFFFFF"/>
              </w:rPr>
              <w:t xml:space="preserve">Principales actions</w:t>
            </w:r>
          </w:p>
        </w:tc>
      </w:tr>
      <w:tr>
        <w:tc>
          <w:tcPr>
            <w:tcW w:type="dxa" w:w="2200"/>
            <w:tcMar>
              <w:top w:type="dxa" w:w="80"/>
              <w:left w:type="dxa" w:w="120"/>
              <w:bottom w:type="dxa" w:w="80"/>
              <w:right w:type="dxa" w:w="120"/>
            </w:tcMar>
            <w:vAlign w:val="center"/>
          </w:tcPr>
          <w:p>
            <w:pPr>
              <w:jc w:val="left"/>
            </w:pPr>
            <w:r>
              <w:rPr>
                <w:b w:val="false"/>
                <w:bCs w:val="false"/>
                <w:color w:val="000000"/>
              </w:rPr>
              <w:t xml:space="preserve">Administrateur</w:t>
            </w:r>
          </w:p>
        </w:tc>
        <w:tc>
          <w:tcPr>
            <w:tcW w:type="dxa" w:w="4200"/>
            <w:tcMar>
              <w:top w:type="dxa" w:w="80"/>
              <w:left w:type="dxa" w:w="120"/>
              <w:bottom w:type="dxa" w:w="80"/>
              <w:right w:type="dxa" w:w="120"/>
            </w:tcMar>
            <w:vAlign w:val="center"/>
          </w:tcPr>
          <w:p>
            <w:pPr>
              <w:jc w:val="left"/>
            </w:pPr>
            <w:r>
              <w:rPr>
                <w:b w:val="false"/>
                <w:bCs w:val="false"/>
                <w:color w:val="000000"/>
              </w:rPr>
              <w:t xml:space="preserve">Responsable de la configuration et de la supervision globale du système (direction de la BU)</w:t>
            </w:r>
          </w:p>
        </w:tc>
        <w:tc>
          <w:tcPr>
            <w:tcW w:type="dxa" w:w="4200"/>
            <w:tcMar>
              <w:top w:type="dxa" w:w="80"/>
              <w:left w:type="dxa" w:w="120"/>
              <w:bottom w:type="dxa" w:w="80"/>
              <w:right w:type="dxa" w:w="120"/>
            </w:tcMar>
            <w:vAlign w:val="center"/>
          </w:tcPr>
          <w:p>
            <w:pPr>
              <w:jc w:val="left"/>
            </w:pPr>
            <w:r>
              <w:rPr>
                <w:b w:val="false"/>
                <w:bCs w:val="false"/>
                <w:color w:val="000000"/>
              </w:rPr>
              <w:t xml:space="preserve">Gérer les comptes utilisateurs, paramétrer l'application, consulter les statistiques globales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Bibliothécaire</w:t>
            </w:r>
          </w:p>
        </w:tc>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Personnel chargé de la gestion quotidienne de la bibliothèque universitaire</w:t>
            </w:r>
          </w:p>
        </w:tc>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Gérer le catalogue, enregistrer les prêts/retours, gérer les adhérents, gérer les pénalités</w:t>
            </w:r>
          </w:p>
        </w:tc>
      </w:tr>
      <w:tr>
        <w:tc>
          <w:tcPr>
            <w:tcW w:type="dxa" w:w="2200"/>
            <w:tcMar>
              <w:top w:type="dxa" w:w="80"/>
              <w:left w:type="dxa" w:w="120"/>
              <w:bottom w:type="dxa" w:w="80"/>
              <w:right w:type="dxa" w:w="120"/>
            </w:tcMar>
            <w:vAlign w:val="center"/>
          </w:tcPr>
          <w:p>
            <w:pPr>
              <w:jc w:val="left"/>
            </w:pPr>
            <w:r>
              <w:rPr>
                <w:b w:val="false"/>
                <w:bCs w:val="false"/>
                <w:color w:val="000000"/>
              </w:rPr>
              <w:t xml:space="preserve">Étudiant</w:t>
            </w:r>
          </w:p>
        </w:tc>
        <w:tc>
          <w:tcPr>
            <w:tcW w:type="dxa" w:w="4200"/>
            <w:tcMar>
              <w:top w:type="dxa" w:w="80"/>
              <w:left w:type="dxa" w:w="120"/>
              <w:bottom w:type="dxa" w:w="80"/>
              <w:right w:type="dxa" w:w="120"/>
            </w:tcMar>
            <w:vAlign w:val="center"/>
          </w:tcPr>
          <w:p>
            <w:pPr>
              <w:jc w:val="left"/>
            </w:pPr>
            <w:r>
              <w:rPr>
                <w:b w:val="false"/>
                <w:bCs w:val="false"/>
                <w:color w:val="000000"/>
              </w:rPr>
              <w:t xml:space="preserve">Usager inscrit (licence, master, doctorat) disposant d'un quota d'emprunt standard</w:t>
            </w:r>
          </w:p>
        </w:tc>
        <w:tc>
          <w:tcPr>
            <w:tcW w:type="dxa" w:w="4200"/>
            <w:tcMar>
              <w:top w:type="dxa" w:w="80"/>
              <w:left w:type="dxa" w:w="120"/>
              <w:bottom w:type="dxa" w:w="80"/>
              <w:right w:type="dxa" w:w="120"/>
            </w:tcMar>
            <w:vAlign w:val="center"/>
          </w:tcPr>
          <w:p>
            <w:pPr>
              <w:jc w:val="left"/>
            </w:pPr>
            <w:r>
              <w:rPr>
                <w:b w:val="false"/>
                <w:bCs w:val="false"/>
                <w:color w:val="000000"/>
              </w:rPr>
              <w:t xml:space="preserve">Consulter le catalogue, emprunter, réserver un ouvrage, consulter son historique et ses prêts en cours</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Enseignant-chercheur</w:t>
            </w:r>
          </w:p>
        </w:tc>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Usager bénéficiant généralement d'un quota et d'une durée de prêt étendus</w:t>
            </w:r>
          </w:p>
        </w:tc>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Consulter le catalogue, emprunter, réserver, proposer des ouvrages pour les réserves de cours</w:t>
            </w:r>
          </w:p>
        </w:tc>
      </w:tr>
      <w:tr>
        <w:tc>
          <w:tcPr>
            <w:tcW w:type="dxa" w:w="2200"/>
            <w:tcMar>
              <w:top w:type="dxa" w:w="80"/>
              <w:left w:type="dxa" w:w="120"/>
              <w:bottom w:type="dxa" w:w="80"/>
              <w:right w:type="dxa" w:w="120"/>
            </w:tcMar>
            <w:vAlign w:val="center"/>
          </w:tcPr>
          <w:p>
            <w:pPr>
              <w:jc w:val="left"/>
            </w:pPr>
            <w:r>
              <w:rPr>
                <w:b w:val="false"/>
                <w:bCs w:val="false"/>
                <w:color w:val="000000"/>
              </w:rPr>
              <w:t xml:space="preserve">Personnel administratif</w:t>
            </w:r>
          </w:p>
        </w:tc>
        <w:tc>
          <w:tcPr>
            <w:tcW w:type="dxa" w:w="4200"/>
            <w:tcMar>
              <w:top w:type="dxa" w:w="80"/>
              <w:left w:type="dxa" w:w="120"/>
              <w:bottom w:type="dxa" w:w="80"/>
              <w:right w:type="dxa" w:w="120"/>
            </w:tcMar>
            <w:vAlign w:val="center"/>
          </w:tcPr>
          <w:p>
            <w:pPr>
              <w:jc w:val="left"/>
            </w:pPr>
            <w:r>
              <w:rPr>
                <w:b w:val="false"/>
                <w:bCs w:val="false"/>
                <w:color w:val="000000"/>
              </w:rPr>
              <w:t xml:space="preserve">Membre du personnel de l'université inscrit à la BU</w:t>
            </w:r>
          </w:p>
        </w:tc>
        <w:tc>
          <w:tcPr>
            <w:tcW w:type="dxa" w:w="4200"/>
            <w:tcMar>
              <w:top w:type="dxa" w:w="80"/>
              <w:left w:type="dxa" w:w="120"/>
              <w:bottom w:type="dxa" w:w="80"/>
              <w:right w:type="dxa" w:w="120"/>
            </w:tcMar>
            <w:vAlign w:val="center"/>
          </w:tcPr>
          <w:p>
            <w:pPr>
              <w:jc w:val="left"/>
            </w:pPr>
            <w:r>
              <w:rPr>
                <w:b w:val="false"/>
                <w:bCs w:val="false"/>
                <w:color w:val="000000"/>
              </w:rPr>
              <w:t xml:space="preserve">Consulter le catalogue, emprunter, réserver un ouvrage</w:t>
            </w:r>
          </w:p>
        </w:tc>
      </w:tr>
      <w:tr>
        <w:tc>
          <w:tcPr>
            <w:tcW w:type="dxa" w:w="2200"/>
            <w:shd w:fill="F2F2F2" w:color="auto" w:val="clear"/>
            <w:tcMar>
              <w:top w:type="dxa" w:w="80"/>
              <w:left w:type="dxa" w:w="120"/>
              <w:bottom w:type="dxa" w:w="80"/>
              <w:right w:type="dxa" w:w="120"/>
            </w:tcMar>
            <w:vAlign w:val="center"/>
          </w:tcPr>
          <w:p>
            <w:pPr>
              <w:jc w:val="left"/>
            </w:pPr>
            <w:r>
              <w:rPr>
                <w:b w:val="false"/>
                <w:bCs w:val="false"/>
                <w:color w:val="000000"/>
              </w:rPr>
              <w:t xml:space="preserve">Visiteur (non connecté)</w:t>
            </w:r>
          </w:p>
        </w:tc>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Toute personne consultant le catalogue public</w:t>
            </w:r>
          </w:p>
        </w:tc>
        <w:tc>
          <w:tcPr>
            <w:tcW w:type="dxa" w:w="4200"/>
            <w:shd w:fill="F2F2F2" w:color="auto" w:val="clear"/>
            <w:tcMar>
              <w:top w:type="dxa" w:w="80"/>
              <w:left w:type="dxa" w:w="120"/>
              <w:bottom w:type="dxa" w:w="80"/>
              <w:right w:type="dxa" w:w="120"/>
            </w:tcMar>
            <w:vAlign w:val="center"/>
          </w:tcPr>
          <w:p>
            <w:pPr>
              <w:jc w:val="left"/>
            </w:pPr>
            <w:r>
              <w:rPr>
                <w:b w:val="false"/>
                <w:bCs w:val="false"/>
                <w:color w:val="000000"/>
              </w:rPr>
              <w:t xml:space="preserve">Rechercher et consulter les fiches des ouvrages disponibles</w:t>
            </w:r>
          </w:p>
        </w:tc>
      </w:tr>
    </w:tbl>
    <w:p>
      <w:pPr>
        <w:pStyle w:val="Heading1"/>
        <w:pBdr>
          <w:bottom w:val="single" w:color="2E74B5" w:sz="6" w:space="4"/>
        </w:pBdr>
        <w:spacing w:after="200" w:before="400"/>
      </w:pPr>
      <w:r>
        <w:rPr>
          <w:b/>
          <w:bCs/>
          <w:color w:val="1F3864"/>
        </w:rPr>
        <w:t xml:space="preserve">4. Spécifications fonctionnelles</w:t>
      </w:r>
    </w:p>
    <w:p>
      <w:pPr>
        <w:pStyle w:val="Heading2"/>
        <w:spacing w:after="120" w:before="280"/>
      </w:pPr>
      <w:r>
        <w:rPr>
          <w:b/>
          <w:bCs/>
          <w:color w:val="2E74B5"/>
        </w:rPr>
        <w:t xml:space="preserve">4.1 Module Authentification et gestion des comptes</w:t>
      </w:r>
    </w:p>
    <w:p>
      <w:pPr>
        <w:pStyle w:val="ListParagraph"/>
        <w:numPr>
          <w:ilvl w:val="0"/>
          <w:numId w:val="2"/>
        </w:numPr>
        <w:spacing w:after="100"/>
      </w:pPr>
      <w:r>
        <w:t xml:space="preserve">Connexion sécurisée par identifiant / mot de passe ;</w:t>
      </w:r>
    </w:p>
    <w:p>
      <w:pPr>
        <w:pStyle w:val="ListParagraph"/>
        <w:numPr>
          <w:ilvl w:val="0"/>
          <w:numId w:val="2"/>
        </w:numPr>
        <w:spacing w:after="100"/>
      </w:pPr>
      <w:r>
        <w:t xml:space="preserve">Gestion des rôles et des droits d'accès (administrateur, bibliothécaire, adhérent) ;</w:t>
      </w:r>
    </w:p>
    <w:p>
      <w:pPr>
        <w:pStyle w:val="ListParagraph"/>
        <w:numPr>
          <w:ilvl w:val="0"/>
          <w:numId w:val="2"/>
        </w:numPr>
        <w:spacing w:after="100"/>
      </w:pPr>
      <w:r>
        <w:t xml:space="preserve">Réinitialisation de mot de passe ;</w:t>
      </w:r>
    </w:p>
    <w:p>
      <w:pPr>
        <w:pStyle w:val="ListParagraph"/>
        <w:numPr>
          <w:ilvl w:val="0"/>
          <w:numId w:val="2"/>
        </w:numPr>
        <w:spacing w:after="100"/>
      </w:pPr>
      <w:r>
        <w:t xml:space="preserve">Journalisation des connexions (traçabilité).</w:t>
      </w:r>
    </w:p>
    <w:p>
      <w:pPr>
        <w:pStyle w:val="Heading2"/>
        <w:spacing w:after="120" w:before="280"/>
      </w:pPr>
      <w:r>
        <w:rPr>
          <w:b/>
          <w:bCs/>
          <w:color w:val="2E74B5"/>
        </w:rPr>
        <w:t xml:space="preserve">4.2 Module Gestion du catalogue (ouvrages)</w:t>
      </w:r>
    </w:p>
    <w:p>
      <w:pPr>
        <w:pStyle w:val="ListParagraph"/>
        <w:numPr>
          <w:ilvl w:val="0"/>
          <w:numId w:val="2"/>
        </w:numPr>
        <w:spacing w:after="100"/>
      </w:pPr>
      <w:r>
        <w:t xml:space="preserve">Ajout, modification et suppression d'un ouvrage (titre, auteur, ISBN, éditeur, catégorie, nombre d'exemplaires, image de couverture, résumé) ;</w:t>
      </w:r>
    </w:p>
    <w:p>
      <w:pPr>
        <w:pStyle w:val="ListParagraph"/>
        <w:numPr>
          <w:ilvl w:val="0"/>
          <w:numId w:val="2"/>
        </w:numPr>
        <w:spacing w:after="100"/>
      </w:pPr>
      <w:r>
        <w:t xml:space="preserve">Gestion des exemplaires et de leur statut (disponible, emprunté, réservé, perdu, en réparation) ;</w:t>
      </w:r>
    </w:p>
    <w:p>
      <w:pPr>
        <w:pStyle w:val="ListParagraph"/>
        <w:numPr>
          <w:ilvl w:val="0"/>
          <w:numId w:val="2"/>
        </w:numPr>
        <w:spacing w:after="100"/>
      </w:pPr>
      <w:r>
        <w:t xml:space="preserve">Classification par catégorie / genre ;</w:t>
      </w:r>
    </w:p>
    <w:p>
      <w:pPr>
        <w:pStyle w:val="ListParagraph"/>
        <w:numPr>
          <w:ilvl w:val="0"/>
          <w:numId w:val="2"/>
        </w:numPr>
        <w:spacing w:after="100"/>
      </w:pPr>
      <w:r>
        <w:t xml:space="preserve">Recherche et filtrage multicritères (titre, auteur, catégorie, disponibilité, ISBN) ;</w:t>
      </w:r>
    </w:p>
    <w:p>
      <w:pPr>
        <w:pStyle w:val="ListParagraph"/>
        <w:numPr>
          <w:ilvl w:val="0"/>
          <w:numId w:val="2"/>
        </w:numPr>
        <w:spacing w:after="100"/>
      </w:pPr>
      <w:r>
        <w:t xml:space="preserve">Import/export du catalogue (CSV/Excel).</w:t>
      </w:r>
    </w:p>
    <w:p>
      <w:pPr>
        <w:pStyle w:val="Heading2"/>
        <w:spacing w:after="120" w:before="280"/>
      </w:pPr>
      <w:r>
        <w:rPr>
          <w:b/>
          <w:bCs/>
          <w:color w:val="2E74B5"/>
        </w:rPr>
        <w:t xml:space="preserve">4.3 Module Gestion des adhérents</w:t>
      </w:r>
    </w:p>
    <w:p>
      <w:pPr>
        <w:pStyle w:val="ListParagraph"/>
        <w:numPr>
          <w:ilvl w:val="0"/>
          <w:numId w:val="2"/>
        </w:numPr>
        <w:spacing w:after="100"/>
      </w:pPr>
      <w:r>
        <w:t xml:space="preserve">Inscription d'un nouvel adhérent (informations personnelles, type d'abonnement) ;</w:t>
      </w:r>
    </w:p>
    <w:p>
      <w:pPr>
        <w:pStyle w:val="ListParagraph"/>
        <w:numPr>
          <w:ilvl w:val="0"/>
          <w:numId w:val="2"/>
        </w:numPr>
        <w:spacing w:after="100"/>
      </w:pPr>
      <w:r>
        <w:t xml:space="preserve">Modification et désactivation d'un compte adhérent ;</w:t>
      </w:r>
    </w:p>
    <w:p>
      <w:pPr>
        <w:pStyle w:val="ListParagraph"/>
        <w:numPr>
          <w:ilvl w:val="0"/>
          <w:numId w:val="2"/>
        </w:numPr>
        <w:spacing w:after="100"/>
      </w:pPr>
      <w:r>
        <w:t xml:space="preserve">Consultation de l'historique des emprunts d'un adhérent ;</w:t>
      </w:r>
    </w:p>
    <w:p>
      <w:pPr>
        <w:pStyle w:val="ListParagraph"/>
        <w:numPr>
          <w:ilvl w:val="0"/>
          <w:numId w:val="2"/>
        </w:numPr>
        <w:spacing w:after="100"/>
      </w:pPr>
      <w:r>
        <w:t xml:space="preserve">Définition de quotas d'emprunt selon le profil (élève, enseignant, étudiant, etc.).</w:t>
      </w:r>
    </w:p>
    <w:p>
      <w:pPr>
        <w:pStyle w:val="Heading2"/>
        <w:spacing w:after="120" w:before="280"/>
      </w:pPr>
      <w:r>
        <w:rPr>
          <w:b/>
          <w:bCs/>
          <w:color w:val="2E74B5"/>
        </w:rPr>
        <w:t xml:space="preserve">4.4 Module Gestion des emprunts et des retours</w:t>
      </w:r>
    </w:p>
    <w:p>
      <w:pPr>
        <w:pStyle w:val="ListParagraph"/>
        <w:numPr>
          <w:ilvl w:val="0"/>
          <w:numId w:val="2"/>
        </w:numPr>
        <w:spacing w:after="100"/>
      </w:pPr>
      <w:r>
        <w:t xml:space="preserve">Enregistrement d'un prêt (association adhérent / exemplaire, date d'emprunt, date de retour prévue) ;</w:t>
      </w:r>
    </w:p>
    <w:p>
      <w:pPr>
        <w:pStyle w:val="ListParagraph"/>
        <w:numPr>
          <w:ilvl w:val="0"/>
          <w:numId w:val="2"/>
        </w:numPr>
        <w:spacing w:after="100"/>
      </w:pPr>
      <w:r>
        <w:t xml:space="preserve">Enregistrement d'un retour et mise à jour du statut de l'exemplaire ;</w:t>
      </w:r>
    </w:p>
    <w:p>
      <w:pPr>
        <w:pStyle w:val="ListParagraph"/>
        <w:numPr>
          <w:ilvl w:val="0"/>
          <w:numId w:val="2"/>
        </w:numPr>
        <w:spacing w:after="100"/>
      </w:pPr>
      <w:r>
        <w:t xml:space="preserve">Prolongation d'un prêt (sous conditions) ;</w:t>
      </w:r>
    </w:p>
    <w:p>
      <w:pPr>
        <w:pStyle w:val="ListParagraph"/>
        <w:numPr>
          <w:ilvl w:val="0"/>
          <w:numId w:val="2"/>
        </w:numPr>
        <w:spacing w:after="100"/>
      </w:pPr>
      <w:r>
        <w:t xml:space="preserve">Blocage automatique des nouveaux emprunts en cas de retard ou de pénalité impayée ;</w:t>
      </w:r>
    </w:p>
    <w:p>
      <w:pPr>
        <w:pStyle w:val="ListParagraph"/>
        <w:numPr>
          <w:ilvl w:val="0"/>
          <w:numId w:val="2"/>
        </w:numPr>
        <w:spacing w:after="100"/>
      </w:pPr>
      <w:r>
        <w:t xml:space="preserve">Notifications de rappel avant l'échéance et en cas de retard (email ou notification interne).</w:t>
      </w:r>
    </w:p>
    <w:p>
      <w:pPr>
        <w:pStyle w:val="Heading2"/>
        <w:spacing w:after="120" w:before="280"/>
      </w:pPr>
      <w:r>
        <w:rPr>
          <w:b/>
          <w:bCs/>
          <w:color w:val="2E74B5"/>
        </w:rPr>
        <w:t xml:space="preserve">4.5 Module Réservations</w:t>
      </w:r>
    </w:p>
    <w:p>
      <w:pPr>
        <w:pStyle w:val="ListParagraph"/>
        <w:numPr>
          <w:ilvl w:val="0"/>
          <w:numId w:val="2"/>
        </w:numPr>
        <w:spacing w:after="100"/>
      </w:pPr>
      <w:r>
        <w:t xml:space="preserve">Réservation d'un ouvrage indisponible ;</w:t>
      </w:r>
    </w:p>
    <w:p>
      <w:pPr>
        <w:pStyle w:val="ListParagraph"/>
        <w:numPr>
          <w:ilvl w:val="0"/>
          <w:numId w:val="2"/>
        </w:numPr>
        <w:spacing w:after="100"/>
      </w:pPr>
      <w:r>
        <w:t xml:space="preserve">File d'attente automatique et notification dès que l'ouvrage redevient disponible ;</w:t>
      </w:r>
    </w:p>
    <w:p>
      <w:pPr>
        <w:pStyle w:val="ListParagraph"/>
        <w:numPr>
          <w:ilvl w:val="0"/>
          <w:numId w:val="2"/>
        </w:numPr>
        <w:spacing w:after="100"/>
      </w:pPr>
      <w:r>
        <w:t xml:space="preserve">Annulation d'une réservation.</w:t>
      </w:r>
    </w:p>
    <w:p>
      <w:pPr>
        <w:pStyle w:val="Heading2"/>
        <w:spacing w:after="120" w:before="280"/>
      </w:pPr>
      <w:r>
        <w:rPr>
          <w:b/>
          <w:bCs/>
          <w:color w:val="2E74B5"/>
        </w:rPr>
        <w:t xml:space="preserve">4.6 Module Gestion des pénalités</w:t>
      </w:r>
    </w:p>
    <w:p>
      <w:pPr>
        <w:pStyle w:val="ListParagraph"/>
        <w:numPr>
          <w:ilvl w:val="0"/>
          <w:numId w:val="2"/>
        </w:numPr>
        <w:spacing w:after="100"/>
      </w:pPr>
      <w:r>
        <w:t xml:space="preserve">Calcul automatique des pénalités de retard selon un barème paramétrable ;</w:t>
      </w:r>
    </w:p>
    <w:p>
      <w:pPr>
        <w:pStyle w:val="ListParagraph"/>
        <w:numPr>
          <w:ilvl w:val="0"/>
          <w:numId w:val="2"/>
        </w:numPr>
        <w:spacing w:after="100"/>
      </w:pPr>
      <w:r>
        <w:t xml:space="preserve">Suivi des paiements ou régularisations ;</w:t>
      </w:r>
    </w:p>
    <w:p>
      <w:pPr>
        <w:pStyle w:val="ListParagraph"/>
        <w:numPr>
          <w:ilvl w:val="0"/>
          <w:numId w:val="2"/>
        </w:numPr>
        <w:spacing w:after="100"/>
      </w:pPr>
      <w:r>
        <w:t xml:space="preserve">Historique des pénalités par adhérent.</w:t>
      </w:r>
    </w:p>
    <w:p>
      <w:pPr>
        <w:pStyle w:val="Heading2"/>
        <w:spacing w:after="120" w:before="280"/>
      </w:pPr>
      <w:r>
        <w:rPr>
          <w:b/>
          <w:bCs/>
          <w:color w:val="2E74B5"/>
        </w:rPr>
        <w:t xml:space="preserve">4.7 Module Statistiques et rapports</w:t>
      </w:r>
    </w:p>
    <w:p>
      <w:pPr>
        <w:pStyle w:val="ListParagraph"/>
        <w:numPr>
          <w:ilvl w:val="0"/>
          <w:numId w:val="2"/>
        </w:numPr>
        <w:spacing w:after="100"/>
      </w:pPr>
      <w:r>
        <w:t xml:space="preserve">Tableau de bord (nombre de prêts en cours, retards, ouvrages les plus empruntés) ;</w:t>
      </w:r>
    </w:p>
    <w:p>
      <w:pPr>
        <w:pStyle w:val="ListParagraph"/>
        <w:numPr>
          <w:ilvl w:val="0"/>
          <w:numId w:val="2"/>
        </w:numPr>
        <w:spacing w:after="100"/>
      </w:pPr>
      <w:r>
        <w:t xml:space="preserve">Export de rapports (PDF/Excel) : activité mensuelle, palmarès des ouvrages, taux de rotation du fonds ;</w:t>
      </w:r>
    </w:p>
    <w:p>
      <w:pPr>
        <w:pStyle w:val="ListParagraph"/>
        <w:numPr>
          <w:ilvl w:val="0"/>
          <w:numId w:val="2"/>
        </w:numPr>
        <w:spacing w:after="100"/>
      </w:pPr>
      <w:r>
        <w:t xml:space="preserve">Statistiques par catégorie d'adhérents.</w:t>
      </w:r>
    </w:p>
    <w:p>
      <w:pPr>
        <w:pStyle w:val="Heading2"/>
        <w:spacing w:after="120" w:before="280"/>
      </w:pPr>
      <w:r>
        <w:rPr>
          <w:b/>
          <w:bCs/>
          <w:color w:val="2E74B5"/>
        </w:rPr>
        <w:t xml:space="preserve">4.8 Module Administration</w:t>
      </w:r>
    </w:p>
    <w:p>
      <w:pPr>
        <w:pStyle w:val="ListParagraph"/>
        <w:numPr>
          <w:ilvl w:val="0"/>
          <w:numId w:val="2"/>
        </w:numPr>
        <w:spacing w:after="100"/>
      </w:pPr>
      <w:r>
        <w:t xml:space="preserve">Paramétrage général (durée de prêt, quotas, barème des pénalités, catégories) ;</w:t>
      </w:r>
    </w:p>
    <w:p>
      <w:pPr>
        <w:pStyle w:val="ListParagraph"/>
        <w:numPr>
          <w:ilvl w:val="0"/>
          <w:numId w:val="2"/>
        </w:numPr>
        <w:spacing w:after="100"/>
      </w:pPr>
      <w:r>
        <w:t xml:space="preserve">Gestion des comptes et des droits ;</w:t>
      </w:r>
    </w:p>
    <w:p>
      <w:pPr>
        <w:pStyle w:val="ListParagraph"/>
        <w:numPr>
          <w:ilvl w:val="0"/>
          <w:numId w:val="2"/>
        </w:numPr>
        <w:spacing w:after="100"/>
      </w:pPr>
      <w:r>
        <w:t xml:space="preserve">Sauvegarde et restauration des données.</w:t>
      </w:r>
    </w:p>
    <w:p>
      <w:pPr>
        <w:pStyle w:val="Heading1"/>
        <w:pBdr>
          <w:bottom w:val="single" w:color="2E74B5" w:sz="6" w:space="4"/>
        </w:pBdr>
        <w:spacing w:after="200" w:before="400"/>
      </w:pPr>
      <w:r>
        <w:rPr>
          <w:b/>
          <w:bCs/>
          <w:color w:val="1F3864"/>
        </w:rPr>
        <w:t xml:space="preserve">5. Spécifications non fonctionnelles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20"/>
              <w:bottom w:type="dxa" w:w="80"/>
              <w:right w:type="dxa" w:w="120"/>
            </w:tcMar>
            <w:vAlign w:val="center"/>
          </w:tcPr>
          <w:p>
            <w:pPr>
              <w:jc w:val="left"/>
            </w:pPr>
            <w:r>
              <w:rPr>
                <w:b/>
                <w:bCs/>
                <w:color w:val="FFFFFF"/>
              </w:rPr>
              <w:t xml:space="preserve">Critère</w:t>
            </w:r>
          </w:p>
        </w:tc>
        <w:tc>
          <w:tcPr>
            <w:tcW w:type="dxa" w:w="6900"/>
            <w:shd w:fill="1F3864" w:color="auto" w:val="clear"/>
            <w:tcMar>
              <w:top w:type="dxa" w:w="80"/>
              <w:left w:type="dxa" w:w="120"/>
              <w:bottom w:type="dxa" w:w="80"/>
              <w:right w:type="dxa" w:w="120"/>
            </w:tcMar>
            <w:vAlign w:val="center"/>
          </w:tcPr>
          <w:p>
            <w:pPr>
              <w:jc w:val="left"/>
            </w:pPr>
            <w:r>
              <w:rPr>
                <w:b/>
                <w:bCs/>
                <w:color w:val="FFFFFF"/>
              </w:rPr>
              <w:t xml:space="preserve">Exigence</w:t>
            </w:r>
          </w:p>
        </w:tc>
      </w:tr>
      <w:tr>
        <w:tc>
          <w:tcPr>
            <w:tcW w:type="dxa" w:w="2600"/>
            <w:tcMar>
              <w:top w:type="dxa" w:w="80"/>
              <w:left w:type="dxa" w:w="120"/>
              <w:bottom w:type="dxa" w:w="80"/>
              <w:right w:type="dxa" w:w="120"/>
            </w:tcMar>
            <w:vAlign w:val="center"/>
          </w:tcPr>
          <w:p>
            <w:pPr>
              <w:jc w:val="left"/>
            </w:pPr>
            <w:r>
              <w:rPr>
                <w:b w:val="false"/>
                <w:bCs w:val="false"/>
                <w:color w:val="000000"/>
              </w:rPr>
              <w:t xml:space="preserve">Ergonomie</w:t>
            </w:r>
          </w:p>
        </w:tc>
        <w:tc>
          <w:tcPr>
            <w:tcW w:type="dxa" w:w="6900"/>
            <w:tcMar>
              <w:top w:type="dxa" w:w="80"/>
              <w:left w:type="dxa" w:w="120"/>
              <w:bottom w:type="dxa" w:w="80"/>
              <w:right w:type="dxa" w:w="120"/>
            </w:tcMar>
            <w:vAlign w:val="center"/>
          </w:tcPr>
          <w:p>
            <w:pPr>
              <w:jc w:val="left"/>
            </w:pPr>
            <w:r>
              <w:rPr>
                <w:b w:val="false"/>
                <w:bCs w:val="false"/>
                <w:color w:val="000000"/>
              </w:rPr>
              <w:t xml:space="preserve">Interface simple, intuitive, accessible sans formation préalable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Performance</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Temps de réponse inférieur à 2 secondes pour les recherches courantes</w:t>
            </w:r>
          </w:p>
        </w:tc>
      </w:tr>
      <w:tr>
        <w:tc>
          <w:tcPr>
            <w:tcW w:type="dxa" w:w="2600"/>
            <w:tcMar>
              <w:top w:type="dxa" w:w="80"/>
              <w:left w:type="dxa" w:w="120"/>
              <w:bottom w:type="dxa" w:w="80"/>
              <w:right w:type="dxa" w:w="120"/>
            </w:tcMar>
            <w:vAlign w:val="center"/>
          </w:tcPr>
          <w:p>
            <w:pPr>
              <w:jc w:val="left"/>
            </w:pPr>
            <w:r>
              <w:rPr>
                <w:b w:val="false"/>
                <w:bCs w:val="false"/>
                <w:color w:val="000000"/>
              </w:rPr>
              <w:t xml:space="preserve">Sécurité</w:t>
            </w:r>
          </w:p>
        </w:tc>
        <w:tc>
          <w:tcPr>
            <w:tcW w:type="dxa" w:w="6900"/>
            <w:tcMar>
              <w:top w:type="dxa" w:w="80"/>
              <w:left w:type="dxa" w:w="120"/>
              <w:bottom w:type="dxa" w:w="80"/>
              <w:right w:type="dxa" w:w="120"/>
            </w:tcMar>
            <w:vAlign w:val="center"/>
          </w:tcPr>
          <w:p>
            <w:pPr>
              <w:jc w:val="left"/>
            </w:pPr>
            <w:r>
              <w:rPr>
                <w:b w:val="false"/>
                <w:bCs w:val="false"/>
                <w:color w:val="000000"/>
              </w:rPr>
              <w:t xml:space="preserve">Authentification obligatoire, mots de passe chiffrés (hash + sel), gestion des rôles</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Disponibilité</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Application accessible pendant les heures d'ouverture de la bibliothèque (objectif 99 %)</w:t>
            </w:r>
          </w:p>
        </w:tc>
      </w:tr>
      <w:tr>
        <w:tc>
          <w:tcPr>
            <w:tcW w:type="dxa" w:w="2600"/>
            <w:tcMar>
              <w:top w:type="dxa" w:w="80"/>
              <w:left w:type="dxa" w:w="120"/>
              <w:bottom w:type="dxa" w:w="80"/>
              <w:right w:type="dxa" w:w="120"/>
            </w:tcMar>
            <w:vAlign w:val="center"/>
          </w:tcPr>
          <w:p>
            <w:pPr>
              <w:jc w:val="left"/>
            </w:pPr>
            <w:r>
              <w:rPr>
                <w:b w:val="false"/>
                <w:bCs w:val="false"/>
                <w:color w:val="000000"/>
              </w:rPr>
              <w:t xml:space="preserve">Compatibilité</w:t>
            </w:r>
          </w:p>
        </w:tc>
        <w:tc>
          <w:tcPr>
            <w:tcW w:type="dxa" w:w="6900"/>
            <w:tcMar>
              <w:top w:type="dxa" w:w="80"/>
              <w:left w:type="dxa" w:w="120"/>
              <w:bottom w:type="dxa" w:w="80"/>
              <w:right w:type="dxa" w:w="120"/>
            </w:tcMar>
            <w:vAlign w:val="center"/>
          </w:tcPr>
          <w:p>
            <w:pPr>
              <w:jc w:val="left"/>
            </w:pPr>
            <w:r>
              <w:rPr>
                <w:b w:val="false"/>
                <w:bCs w:val="false"/>
                <w:color w:val="000000"/>
              </w:rPr>
              <w:t xml:space="preserve">Application accessible depuis un navigateur web (responsive, desktop et mobile)</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Maintenabilité</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Code structuré, documenté et versionné (Git)</w:t>
            </w:r>
          </w:p>
        </w:tc>
      </w:tr>
      <w:tr>
        <w:tc>
          <w:tcPr>
            <w:tcW w:type="dxa" w:w="2600"/>
            <w:tcMar>
              <w:top w:type="dxa" w:w="80"/>
              <w:left w:type="dxa" w:w="120"/>
              <w:bottom w:type="dxa" w:w="80"/>
              <w:right w:type="dxa" w:w="120"/>
            </w:tcMar>
            <w:vAlign w:val="center"/>
          </w:tcPr>
          <w:p>
            <w:pPr>
              <w:jc w:val="left"/>
            </w:pPr>
            <w:r>
              <w:rPr>
                <w:b w:val="false"/>
                <w:bCs w:val="false"/>
                <w:color w:val="000000"/>
              </w:rPr>
              <w:t xml:space="preserve">Portabilité</w:t>
            </w:r>
          </w:p>
        </w:tc>
        <w:tc>
          <w:tcPr>
            <w:tcW w:type="dxa" w:w="6900"/>
            <w:tcMar>
              <w:top w:type="dxa" w:w="80"/>
              <w:left w:type="dxa" w:w="120"/>
              <w:bottom w:type="dxa" w:w="80"/>
              <w:right w:type="dxa" w:w="120"/>
            </w:tcMar>
            <w:vAlign w:val="center"/>
          </w:tcPr>
          <w:p>
            <w:pPr>
              <w:jc w:val="left"/>
            </w:pPr>
            <w:r>
              <w:rPr>
                <w:b w:val="false"/>
                <w:bCs w:val="false"/>
                <w:color w:val="000000"/>
              </w:rPr>
              <w:t xml:space="preserve">Déploiement possible en local ou sur un serveur/cloud</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000000"/>
              </w:rPr>
              <w:t xml:space="preserve">Confidentialité (RGPD)</w:t>
            </w:r>
          </w:p>
        </w:tc>
        <w:tc>
          <w:tcPr>
            <w:tcW w:type="dxa" w:w="6900"/>
            <w:shd w:fill="F2F2F2" w:color="auto" w:val="clear"/>
            <w:tcMar>
              <w:top w:type="dxa" w:w="80"/>
              <w:left w:type="dxa" w:w="120"/>
              <w:bottom w:type="dxa" w:w="80"/>
              <w:right w:type="dxa" w:w="120"/>
            </w:tcMar>
            <w:vAlign w:val="center"/>
          </w:tcPr>
          <w:p>
            <w:pPr>
              <w:jc w:val="left"/>
            </w:pPr>
            <w:r>
              <w:rPr>
                <w:b w:val="false"/>
                <w:bCs w:val="false"/>
                <w:color w:val="000000"/>
              </w:rPr>
              <w:t xml:space="preserve">Protection des données personnelles des adhérents, droit d'accès et de suppression</w:t>
            </w:r>
          </w:p>
        </w:tc>
      </w:tr>
    </w:tbl>
    <w:p>
      <w:pPr>
        <w:pStyle w:val="Heading1"/>
        <w:pBdr>
          <w:bottom w:val="single" w:color="2E74B5" w:sz="6" w:space="4"/>
        </w:pBdr>
        <w:spacing w:after="200" w:before="400"/>
      </w:pPr>
      <w:r>
        <w:rPr>
          <w:b/>
          <w:bCs/>
          <w:color w:val="1F3864"/>
        </w:rPr>
        <w:t xml:space="preserve">6. Contraintes du projet</w:t>
      </w:r>
    </w:p>
    <w:p>
      <w:pPr>
        <w:pStyle w:val="Heading2"/>
        <w:spacing w:after="120" w:before="280"/>
      </w:pPr>
      <w:r>
        <w:rPr>
          <w:b/>
          <w:bCs/>
          <w:color w:val="2E74B5"/>
        </w:rPr>
        <w:t xml:space="preserve">6.1 Contraintes techniques</w:t>
      </w:r>
    </w:p>
    <w:p>
      <w:pPr>
        <w:pStyle w:val="ListParagraph"/>
        <w:numPr>
          <w:ilvl w:val="0"/>
          <w:numId w:val="2"/>
        </w:numPr>
        <w:spacing w:after="100"/>
      </w:pPr>
      <w:r>
        <w:t xml:space="preserve">Application web accessible via navigateur (pas d'installation cliente lourde) ;</w:t>
      </w:r>
    </w:p>
    <w:p>
      <w:pPr>
        <w:pStyle w:val="ListParagraph"/>
        <w:numPr>
          <w:ilvl w:val="0"/>
          <w:numId w:val="2"/>
        </w:numPr>
        <w:spacing w:after="100"/>
      </w:pPr>
      <w:r>
        <w:t xml:space="preserve">Base de données relationnelle pour garantir l'intégrité des données ;</w:t>
      </w:r>
    </w:p>
    <w:p>
      <w:pPr>
        <w:pStyle w:val="ListParagraph"/>
        <w:numPr>
          <w:ilvl w:val="0"/>
          <w:numId w:val="2"/>
        </w:numPr>
        <w:spacing w:after="100"/>
      </w:pPr>
      <w:r>
        <w:t xml:space="preserve">Architecture respectant le modèle MVC (séparation des responsabilités) ;</w:t>
      </w:r>
    </w:p>
    <w:p>
      <w:pPr>
        <w:pStyle w:val="ListParagraph"/>
        <w:numPr>
          <w:ilvl w:val="0"/>
          <w:numId w:val="2"/>
        </w:numPr>
        <w:spacing w:after="100"/>
      </w:pPr>
      <w:r>
        <w:t xml:space="preserve">Code source versionné sur un dépôt Git.</w:t>
      </w:r>
    </w:p>
    <w:p>
      <w:pPr>
        <w:pStyle w:val="Heading2"/>
        <w:spacing w:after="120" w:before="280"/>
      </w:pPr>
      <w:r>
        <w:rPr>
          <w:b/>
          <w:bCs/>
          <w:color w:val="2E74B5"/>
        </w:rPr>
        <w:t xml:space="preserve">6.2 Contraintes de délai</w:t>
      </w:r>
    </w:p>
    <w:p>
      <w:pPr>
        <w:spacing w:after="160" w:line="276"/>
      </w:pPr>
      <w:r>
        <w:t xml:space="preserve">Le projet doit être livré et fonctionnel avant la date de soutenance, selon le planning détaillé en section 9.</w:t>
      </w:r>
    </w:p>
    <w:p>
      <w:pPr>
        <w:pStyle w:val="Heading2"/>
        <w:spacing w:after="120" w:before="280"/>
      </w:pPr>
      <w:r>
        <w:rPr>
          <w:b/>
          <w:bCs/>
          <w:color w:val="2E74B5"/>
        </w:rPr>
        <w:t xml:space="preserve">6.3 Contraintes budgétaires</w:t>
      </w:r>
    </w:p>
    <w:p>
      <w:pPr>
        <w:spacing w:after="160" w:line="276"/>
      </w:pPr>
      <w:r>
        <w:t xml:space="preserve">Le projet privilégie l'utilisation de technologies open source et gratuites, adaptées à un contexte de projet étudiant (hébergement gratuit ou local, absence de licences payantes).</w:t>
      </w:r>
    </w:p>
    <w:p>
      <w:pPr>
        <w:pStyle w:val="Heading1"/>
        <w:pBdr>
          <w:bottom w:val="single" w:color="2E74B5" w:sz="6" w:space="4"/>
        </w:pBdr>
        <w:spacing w:after="200" w:before="400"/>
      </w:pPr>
      <w:r>
        <w:rPr>
          <w:b/>
          <w:bCs/>
          <w:color w:val="1F3864"/>
        </w:rPr>
        <w:t xml:space="preserve">7. Choix technologiques</w:t>
      </w:r>
    </w:p>
    <w:p>
      <w:pPr>
        <w:spacing w:after="160" w:line="276"/>
      </w:pPr>
      <w:r>
        <w:t xml:space="preserve">Le projet est développé intégralement en JavaScript (stack full-stack unifiée), ce qui permet d'utiliser un seul langage sur l'ensemble de la chaîne applicative, de mutualiser les compétences et de simplifier le partage de code (validation, types) entre le client et le serveur.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400"/>
      </w:tblGrid>
      <w:tr>
        <w:trPr>
          <w:tblHeader/>
        </w:trPr>
        <w:tc>
          <w:tcPr>
            <w:tcW w:type="dxa" w:w="2400"/>
            <w:shd w:fill="1F3864" w:color="auto" w:val="clear"/>
            <w:tcMar>
              <w:top w:type="dxa" w:w="80"/>
              <w:left w:type="dxa" w:w="120"/>
              <w:bottom w:type="dxa" w:w="80"/>
              <w:right w:type="dxa" w:w="120"/>
            </w:tcMar>
            <w:vAlign w:val="center"/>
          </w:tcPr>
          <w:p>
            <w:pPr>
              <w:jc w:val="left"/>
            </w:pPr>
            <w:r>
              <w:rPr>
                <w:b/>
                <w:bCs/>
                <w:color w:val="FFFFFF"/>
              </w:rPr>
              <w:t xml:space="preserve">Composant</w:t>
            </w:r>
          </w:p>
        </w:tc>
        <w:tc>
          <w:tcPr>
            <w:tcW w:type="dxa" w:w="3700"/>
            <w:shd w:fill="1F3864" w:color="auto" w:val="clear"/>
            <w:tcMar>
              <w:top w:type="dxa" w:w="80"/>
              <w:left w:type="dxa" w:w="120"/>
              <w:bottom w:type="dxa" w:w="80"/>
              <w:right w:type="dxa" w:w="120"/>
            </w:tcMar>
            <w:vAlign w:val="center"/>
          </w:tcPr>
          <w:p>
            <w:pPr>
              <w:jc w:val="left"/>
            </w:pPr>
            <w:r>
              <w:rPr>
                <w:b/>
                <w:bCs/>
                <w:color w:val="FFFFFF"/>
              </w:rPr>
              <w:t xml:space="preserve">Technologie retenue</w:t>
            </w:r>
          </w:p>
        </w:tc>
        <w:tc>
          <w:tcPr>
            <w:tcW w:type="dxa" w:w="3400"/>
            <w:shd w:fill="1F3864" w:color="auto" w:val="clear"/>
            <w:tcMar>
              <w:top w:type="dxa" w:w="80"/>
              <w:left w:type="dxa" w:w="120"/>
              <w:bottom w:type="dxa" w:w="80"/>
              <w:right w:type="dxa" w:w="120"/>
            </w:tcMar>
            <w:vAlign w:val="center"/>
          </w:tcPr>
          <w:p>
            <w:pPr>
              <w:jc w:val="left"/>
            </w:pPr>
            <w:r>
              <w:rPr>
                <w:b/>
                <w:bCs/>
                <w:color w:val="FFFFFF"/>
              </w:rPr>
              <w:t xml:space="preserve">Justification</w:t>
            </w:r>
          </w:p>
        </w:tc>
      </w:tr>
      <w:tr>
        <w:tc>
          <w:tcPr>
            <w:tcW w:type="dxa" w:w="2400"/>
            <w:tcMar>
              <w:top w:type="dxa" w:w="80"/>
              <w:left w:type="dxa" w:w="120"/>
              <w:bottom w:type="dxa" w:w="80"/>
              <w:right w:type="dxa" w:w="120"/>
            </w:tcMar>
            <w:vAlign w:val="center"/>
          </w:tcPr>
          <w:p>
            <w:pPr>
              <w:jc w:val="left"/>
            </w:pPr>
            <w:r>
              <w:rPr>
                <w:b w:val="false"/>
                <w:bCs w:val="false"/>
                <w:color w:val="000000"/>
              </w:rPr>
              <w:t xml:space="preserve">Front-end</w:t>
            </w:r>
          </w:p>
        </w:tc>
        <w:tc>
          <w:tcPr>
            <w:tcW w:type="dxa" w:w="3700"/>
            <w:tcMar>
              <w:top w:type="dxa" w:w="80"/>
              <w:left w:type="dxa" w:w="120"/>
              <w:bottom w:type="dxa" w:w="80"/>
              <w:right w:type="dxa" w:w="120"/>
            </w:tcMar>
            <w:vAlign w:val="center"/>
          </w:tcPr>
          <w:p>
            <w:pPr>
              <w:jc w:val="left"/>
            </w:pPr>
            <w:r>
              <w:rPr>
                <w:b w:val="false"/>
                <w:bCs w:val="false"/>
                <w:color w:val="000000"/>
              </w:rPr>
              <w:t xml:space="preserve">React.js (+ React Router, Tailwind CSS ou CSS Modules)</w:t>
            </w:r>
          </w:p>
        </w:tc>
        <w:tc>
          <w:tcPr>
            <w:tcW w:type="dxa" w:w="3400"/>
            <w:tcMar>
              <w:top w:type="dxa" w:w="80"/>
              <w:left w:type="dxa" w:w="120"/>
              <w:bottom w:type="dxa" w:w="80"/>
              <w:right w:type="dxa" w:w="120"/>
            </w:tcMar>
            <w:vAlign w:val="center"/>
          </w:tcPr>
          <w:p>
            <w:pPr>
              <w:jc w:val="left"/>
            </w:pPr>
            <w:r>
              <w:rPr>
                <w:b w:val="false"/>
                <w:bCs w:val="false"/>
                <w:color w:val="000000"/>
              </w:rPr>
              <w:t xml:space="preserve">Composants réutilisables, écosystème riche, rendu dynamique adapté à la recherche/filtrage du catalogue</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Gestion d'état</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React Context API ou Redux Toolkit</w:t>
            </w:r>
          </w:p>
        </w:tc>
        <w:tc>
          <w:tcPr>
            <w:tcW w:type="dxa" w:w="3400"/>
            <w:shd w:fill="F2F2F2" w:color="auto" w:val="clear"/>
            <w:tcMar>
              <w:top w:type="dxa" w:w="80"/>
              <w:left w:type="dxa" w:w="120"/>
              <w:bottom w:type="dxa" w:w="80"/>
              <w:right w:type="dxa" w:w="120"/>
            </w:tcMar>
            <w:vAlign w:val="center"/>
          </w:tcPr>
          <w:p>
            <w:pPr>
              <w:jc w:val="left"/>
            </w:pPr>
            <w:r>
              <w:rPr>
                <w:b w:val="false"/>
                <w:bCs w:val="false"/>
                <w:color w:val="000000"/>
              </w:rPr>
              <w:t xml:space="preserve">Gestion centralisée de la session utilisateur et du panier d'emprunts/réservations</w:t>
            </w:r>
          </w:p>
        </w:tc>
      </w:tr>
      <w:tr>
        <w:tc>
          <w:tcPr>
            <w:tcW w:type="dxa" w:w="2400"/>
            <w:tcMar>
              <w:top w:type="dxa" w:w="80"/>
              <w:left w:type="dxa" w:w="120"/>
              <w:bottom w:type="dxa" w:w="80"/>
              <w:right w:type="dxa" w:w="120"/>
            </w:tcMar>
            <w:vAlign w:val="center"/>
          </w:tcPr>
          <w:p>
            <w:pPr>
              <w:jc w:val="left"/>
            </w:pPr>
            <w:r>
              <w:rPr>
                <w:b w:val="false"/>
                <w:bCs w:val="false"/>
                <w:color w:val="000000"/>
              </w:rPr>
              <w:t xml:space="preserve">Back-end / API</w:t>
            </w:r>
          </w:p>
        </w:tc>
        <w:tc>
          <w:tcPr>
            <w:tcW w:type="dxa" w:w="3700"/>
            <w:tcMar>
              <w:top w:type="dxa" w:w="80"/>
              <w:left w:type="dxa" w:w="120"/>
              <w:bottom w:type="dxa" w:w="80"/>
              <w:right w:type="dxa" w:w="120"/>
            </w:tcMar>
            <w:vAlign w:val="center"/>
          </w:tcPr>
          <w:p>
            <w:pPr>
              <w:jc w:val="left"/>
            </w:pPr>
            <w:r>
              <w:rPr>
                <w:b w:val="false"/>
                <w:bCs w:val="false"/>
                <w:color w:val="000000"/>
              </w:rPr>
              <w:t xml:space="preserve">Node.js + Express.js</w:t>
            </w:r>
          </w:p>
        </w:tc>
        <w:tc>
          <w:tcPr>
            <w:tcW w:type="dxa" w:w="3400"/>
            <w:tcMar>
              <w:top w:type="dxa" w:w="80"/>
              <w:left w:type="dxa" w:w="120"/>
              <w:bottom w:type="dxa" w:w="80"/>
              <w:right w:type="dxa" w:w="120"/>
            </w:tcMar>
            <w:vAlign w:val="center"/>
          </w:tcPr>
          <w:p>
            <w:pPr>
              <w:jc w:val="left"/>
            </w:pPr>
            <w:r>
              <w:rPr>
                <w:b w:val="false"/>
                <w:bCs w:val="false"/>
                <w:color w:val="000000"/>
              </w:rPr>
              <w:t xml:space="preserve">API REST légère et performante, large écosystème de middlewares (auth, validation, upload)</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Base de données</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PostgreSQL (relationnelle) ou MongoDB (NoSQL)</w:t>
            </w:r>
          </w:p>
        </w:tc>
        <w:tc>
          <w:tcPr>
            <w:tcW w:type="dxa" w:w="3400"/>
            <w:shd w:fill="F2F2F2" w:color="auto" w:val="clear"/>
            <w:tcMar>
              <w:top w:type="dxa" w:w="80"/>
              <w:left w:type="dxa" w:w="120"/>
              <w:bottom w:type="dxa" w:w="80"/>
              <w:right w:type="dxa" w:w="120"/>
            </w:tcMar>
            <w:vAlign w:val="center"/>
          </w:tcPr>
          <w:p>
            <w:pPr>
              <w:jc w:val="left"/>
            </w:pPr>
            <w:r>
              <w:rPr>
                <w:b w:val="false"/>
                <w:bCs w:val="false"/>
                <w:color w:val="000000"/>
              </w:rPr>
              <w:t xml:space="preserve">PostgreSQL recommandé pour la cohérence des relations (emprunts, exemplaires, adhérents) ; MongoDB envisageable si flexibilité du schéma prioritaire</w:t>
            </w:r>
          </w:p>
        </w:tc>
      </w:tr>
      <w:tr>
        <w:tc>
          <w:tcPr>
            <w:tcW w:type="dxa" w:w="2400"/>
            <w:tcMar>
              <w:top w:type="dxa" w:w="80"/>
              <w:left w:type="dxa" w:w="120"/>
              <w:bottom w:type="dxa" w:w="80"/>
              <w:right w:type="dxa" w:w="120"/>
            </w:tcMar>
            <w:vAlign w:val="center"/>
          </w:tcPr>
          <w:p>
            <w:pPr>
              <w:jc w:val="left"/>
            </w:pPr>
            <w:r>
              <w:rPr>
                <w:b w:val="false"/>
                <w:bCs w:val="false"/>
                <w:color w:val="000000"/>
              </w:rPr>
              <w:t xml:space="preserve">ORM / ODM</w:t>
            </w:r>
          </w:p>
        </w:tc>
        <w:tc>
          <w:tcPr>
            <w:tcW w:type="dxa" w:w="3700"/>
            <w:tcMar>
              <w:top w:type="dxa" w:w="80"/>
              <w:left w:type="dxa" w:w="120"/>
              <w:bottom w:type="dxa" w:w="80"/>
              <w:right w:type="dxa" w:w="120"/>
            </w:tcMar>
            <w:vAlign w:val="center"/>
          </w:tcPr>
          <w:p>
            <w:pPr>
              <w:jc w:val="left"/>
            </w:pPr>
            <w:r>
              <w:rPr>
                <w:b w:val="false"/>
                <w:bCs w:val="false"/>
                <w:color w:val="000000"/>
              </w:rPr>
              <w:t xml:space="preserve">Prisma ou Sequelize (PostgreSQL) / Mongoose (MongoDB)</w:t>
            </w:r>
          </w:p>
        </w:tc>
        <w:tc>
          <w:tcPr>
            <w:tcW w:type="dxa" w:w="3400"/>
            <w:tcMar>
              <w:top w:type="dxa" w:w="80"/>
              <w:left w:type="dxa" w:w="120"/>
              <w:bottom w:type="dxa" w:w="80"/>
              <w:right w:type="dxa" w:w="120"/>
            </w:tcMar>
            <w:vAlign w:val="center"/>
          </w:tcPr>
          <w:p>
            <w:pPr>
              <w:jc w:val="left"/>
            </w:pPr>
            <w:r>
              <w:rPr>
                <w:b w:val="false"/>
                <w:bCs w:val="false"/>
                <w:color w:val="000000"/>
              </w:rPr>
              <w:t xml:space="preserve">Requêtes typées, migrations et modélisation facilitées</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Authentification</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JWT (JSON Web Token) + bcrypt pour le hachage des mots de passe</w:t>
            </w:r>
          </w:p>
        </w:tc>
        <w:tc>
          <w:tcPr>
            <w:tcW w:type="dxa" w:w="3400"/>
            <w:shd w:fill="F2F2F2" w:color="auto" w:val="clear"/>
            <w:tcMar>
              <w:top w:type="dxa" w:w="80"/>
              <w:left w:type="dxa" w:w="120"/>
              <w:bottom w:type="dxa" w:w="80"/>
              <w:right w:type="dxa" w:w="120"/>
            </w:tcMar>
            <w:vAlign w:val="center"/>
          </w:tcPr>
          <w:p>
            <w:pPr>
              <w:jc w:val="left"/>
            </w:pPr>
            <w:r>
              <w:rPr>
                <w:b w:val="false"/>
                <w:bCs w:val="false"/>
                <w:color w:val="000000"/>
              </w:rPr>
              <w:t xml:space="preserve">Authentification stateless adaptée à une architecture API/SPA, sécurisation des mots de passe</w:t>
            </w:r>
          </w:p>
        </w:tc>
      </w:tr>
      <w:tr>
        <w:tc>
          <w:tcPr>
            <w:tcW w:type="dxa" w:w="2400"/>
            <w:tcMar>
              <w:top w:type="dxa" w:w="80"/>
              <w:left w:type="dxa" w:w="120"/>
              <w:bottom w:type="dxa" w:w="80"/>
              <w:right w:type="dxa" w:w="120"/>
            </w:tcMar>
            <w:vAlign w:val="center"/>
          </w:tcPr>
          <w:p>
            <w:pPr>
              <w:jc w:val="left"/>
            </w:pPr>
            <w:r>
              <w:rPr>
                <w:b w:val="false"/>
                <w:bCs w:val="false"/>
                <w:color w:val="000000"/>
              </w:rPr>
              <w:t xml:space="preserve">Tests</w:t>
            </w:r>
          </w:p>
        </w:tc>
        <w:tc>
          <w:tcPr>
            <w:tcW w:type="dxa" w:w="3700"/>
            <w:tcMar>
              <w:top w:type="dxa" w:w="80"/>
              <w:left w:type="dxa" w:w="120"/>
              <w:bottom w:type="dxa" w:w="80"/>
              <w:right w:type="dxa" w:w="120"/>
            </w:tcMar>
            <w:vAlign w:val="center"/>
          </w:tcPr>
          <w:p>
            <w:pPr>
              <w:jc w:val="left"/>
            </w:pPr>
            <w:r>
              <w:rPr>
                <w:b w:val="false"/>
                <w:bCs w:val="false"/>
                <w:color w:val="000000"/>
              </w:rPr>
              <w:t xml:space="preserve">Jest (unitaires) + Supertest (API) + React Testing Library (front)</w:t>
            </w:r>
          </w:p>
        </w:tc>
        <w:tc>
          <w:tcPr>
            <w:tcW w:type="dxa" w:w="3400"/>
            <w:tcMar>
              <w:top w:type="dxa" w:w="80"/>
              <w:left w:type="dxa" w:w="120"/>
              <w:bottom w:type="dxa" w:w="80"/>
              <w:right w:type="dxa" w:w="120"/>
            </w:tcMar>
            <w:vAlign w:val="center"/>
          </w:tcPr>
          <w:p>
            <w:pPr>
              <w:jc w:val="left"/>
            </w:pPr>
            <w:r>
              <w:rPr>
                <w:b w:val="false"/>
                <w:bCs w:val="false"/>
                <w:color w:val="000000"/>
              </w:rPr>
              <w:t xml:space="preserve">Couverture des règles métier critiques (calcul des pénalités, disponibilité des exemplaires)</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Hébergement / déploiement</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Front : Vercel / Netlify — Back + BDD : Render / Railway</w:t>
            </w:r>
          </w:p>
        </w:tc>
        <w:tc>
          <w:tcPr>
            <w:tcW w:type="dxa" w:w="3400"/>
            <w:shd w:fill="F2F2F2" w:color="auto" w:val="clear"/>
            <w:tcMar>
              <w:top w:type="dxa" w:w="80"/>
              <w:left w:type="dxa" w:w="120"/>
              <w:bottom w:type="dxa" w:w="80"/>
              <w:right w:type="dxa" w:w="120"/>
            </w:tcMar>
            <w:vAlign w:val="center"/>
          </w:tcPr>
          <w:p>
            <w:pPr>
              <w:jc w:val="left"/>
            </w:pPr>
            <w:r>
              <w:rPr>
                <w:b w:val="false"/>
                <w:bCs w:val="false"/>
                <w:color w:val="000000"/>
              </w:rPr>
              <w:t xml:space="preserve">Offres gratuites adaptées à un projet étudiant, déploiement continu simple</w:t>
            </w:r>
          </w:p>
        </w:tc>
      </w:tr>
      <w:tr>
        <w:tc>
          <w:tcPr>
            <w:tcW w:type="dxa" w:w="2400"/>
            <w:tcMar>
              <w:top w:type="dxa" w:w="80"/>
              <w:left w:type="dxa" w:w="120"/>
              <w:bottom w:type="dxa" w:w="80"/>
              <w:right w:type="dxa" w:w="120"/>
            </w:tcMar>
            <w:vAlign w:val="center"/>
          </w:tcPr>
          <w:p>
            <w:pPr>
              <w:jc w:val="left"/>
            </w:pPr>
            <w:r>
              <w:rPr>
                <w:b w:val="false"/>
                <w:bCs w:val="false"/>
                <w:color w:val="000000"/>
              </w:rPr>
              <w:t xml:space="preserve">Gestion de versions</w:t>
            </w:r>
          </w:p>
        </w:tc>
        <w:tc>
          <w:tcPr>
            <w:tcW w:type="dxa" w:w="3700"/>
            <w:tcMar>
              <w:top w:type="dxa" w:w="80"/>
              <w:left w:type="dxa" w:w="120"/>
              <w:bottom w:type="dxa" w:w="80"/>
              <w:right w:type="dxa" w:w="120"/>
            </w:tcMar>
            <w:vAlign w:val="center"/>
          </w:tcPr>
          <w:p>
            <w:pPr>
              <w:jc w:val="left"/>
            </w:pPr>
            <w:r>
              <w:rPr>
                <w:b w:val="false"/>
                <w:bCs w:val="false"/>
                <w:color w:val="000000"/>
              </w:rPr>
              <w:t xml:space="preserve">Git + GitHub (branches, pull requests, GitHub Actions pour l'intégration continue)</w:t>
            </w:r>
          </w:p>
        </w:tc>
        <w:tc>
          <w:tcPr>
            <w:tcW w:type="dxa" w:w="3400"/>
            <w:tcMar>
              <w:top w:type="dxa" w:w="80"/>
              <w:left w:type="dxa" w:w="120"/>
              <w:bottom w:type="dxa" w:w="80"/>
              <w:right w:type="dxa" w:w="120"/>
            </w:tcMar>
            <w:vAlign w:val="center"/>
          </w:tcPr>
          <w:p>
            <w:pPr>
              <w:jc w:val="left"/>
            </w:pPr>
            <w:r>
              <w:rPr>
                <w:b w:val="false"/>
                <w:bCs w:val="false"/>
                <w:color w:val="000000"/>
              </w:rPr>
              <w:t xml:space="preserve">Traçabilité du développement, base pour la soutenance (historique de commits)</w:t>
            </w:r>
          </w:p>
        </w:tc>
      </w:tr>
      <w:tr>
        <w:tc>
          <w:tcPr>
            <w:tcW w:type="dxa" w:w="2400"/>
            <w:shd w:fill="F2F2F2" w:color="auto" w:val="clear"/>
            <w:tcMar>
              <w:top w:type="dxa" w:w="80"/>
              <w:left w:type="dxa" w:w="120"/>
              <w:bottom w:type="dxa" w:w="80"/>
              <w:right w:type="dxa" w:w="120"/>
            </w:tcMar>
            <w:vAlign w:val="center"/>
          </w:tcPr>
          <w:p>
            <w:pPr>
              <w:jc w:val="left"/>
            </w:pPr>
            <w:r>
              <w:rPr>
                <w:b w:val="false"/>
                <w:bCs w:val="false"/>
                <w:color w:val="000000"/>
              </w:rPr>
              <w:t xml:space="preserve">Outils de conception</w:t>
            </w:r>
          </w:p>
        </w:tc>
        <w:tc>
          <w:tcPr>
            <w:tcW w:type="dxa" w:w="3700"/>
            <w:shd w:fill="F2F2F2" w:color="auto" w:val="clear"/>
            <w:tcMar>
              <w:top w:type="dxa" w:w="80"/>
              <w:left w:type="dxa" w:w="120"/>
              <w:bottom w:type="dxa" w:w="80"/>
              <w:right w:type="dxa" w:w="120"/>
            </w:tcMar>
            <w:vAlign w:val="center"/>
          </w:tcPr>
          <w:p>
            <w:pPr>
              <w:jc w:val="left"/>
            </w:pPr>
            <w:r>
              <w:rPr>
                <w:b w:val="false"/>
                <w:bCs w:val="false"/>
                <w:color w:val="000000"/>
              </w:rPr>
              <w:t xml:space="preserve">Draw.io / StarUML (UML), Figma (maquettes d'interface)</w:t>
            </w:r>
          </w:p>
        </w:tc>
        <w:tc>
          <w:tcPr>
            <w:tcW w:type="dxa" w:w="3400"/>
            <w:shd w:fill="F2F2F2" w:color="auto" w:val="clear"/>
            <w:tcMar>
              <w:top w:type="dxa" w:w="80"/>
              <w:left w:type="dxa" w:w="120"/>
              <w:bottom w:type="dxa" w:w="80"/>
              <w:right w:type="dxa" w:w="120"/>
            </w:tcMar>
            <w:vAlign w:val="center"/>
          </w:tcPr>
          <w:p>
            <w:pPr>
              <w:jc w:val="left"/>
            </w:pPr>
            <w:r>
              <w:rPr>
                <w:b w:val="false"/>
                <w:bCs w:val="false"/>
                <w:color w:val="000000"/>
              </w:rPr>
              <w:t xml:space="preserve">Modélisation des cas d'utilisation, du modèle de classes et du prototype d'interface</w:t>
            </w:r>
          </w:p>
        </w:tc>
      </w:tr>
    </w:tbl>
    <w:p>
      <w:pPr>
        <w:pStyle w:val="Heading2"/>
        <w:spacing w:after="120" w:before="280"/>
      </w:pPr>
      <w:r>
        <w:rPr>
          <w:b/>
          <w:bCs/>
          <w:color w:val="2E74B5"/>
        </w:rPr>
        <w:t xml:space="preserve">7.1 Architecture globale</w:t>
      </w:r>
    </w:p>
    <w:p>
      <w:pPr>
        <w:spacing w:after="160" w:line="276"/>
      </w:pPr>
      <w:r>
        <w:t xml:space="preserve">L'application suit une architecture client-serveur découplée :</w:t>
      </w:r>
    </w:p>
    <w:p>
      <w:pPr>
        <w:pStyle w:val="ListParagraph"/>
        <w:numPr>
          <w:ilvl w:val="0"/>
          <w:numId w:val="2"/>
        </w:numPr>
        <w:spacing w:after="100"/>
      </w:pPr>
      <w:r>
        <w:t xml:space="preserve">Un client React (Single Page Application) consommant une API REST ;</w:t>
      </w:r>
    </w:p>
    <w:p>
      <w:pPr>
        <w:pStyle w:val="ListParagraph"/>
        <w:numPr>
          <w:ilvl w:val="0"/>
          <w:numId w:val="2"/>
        </w:numPr>
        <w:spacing w:after="100"/>
      </w:pPr>
      <w:r>
        <w:t xml:space="preserve">Une API Node.js/Express exposant les ressources (ouvrages, adhérents, emprunts, réservations, pénalités) au format JSON ;</w:t>
      </w:r>
    </w:p>
    <w:p>
      <w:pPr>
        <w:pStyle w:val="ListParagraph"/>
        <w:numPr>
          <w:ilvl w:val="0"/>
          <w:numId w:val="2"/>
        </w:numPr>
        <w:spacing w:after="100"/>
      </w:pPr>
      <w:r>
        <w:t xml:space="preserve">Une base de données PostgreSQL assurant l'intégrité référentielle entre les entités ;</w:t>
      </w:r>
    </w:p>
    <w:p>
      <w:pPr>
        <w:pStyle w:val="ListParagraph"/>
        <w:numPr>
          <w:ilvl w:val="0"/>
          <w:numId w:val="2"/>
        </w:numPr>
        <w:spacing w:after="100"/>
      </w:pPr>
      <w:r>
        <w:t xml:space="preserve">Une couche d'authentification par jeton (JWT) transmise via un en-tête HTTP Authorization, avec middleware de contrôle des rôles sur chaque route sensible.</w:t>
      </w:r>
    </w:p>
    <w:p>
      <w:pPr>
        <w:pStyle w:val="Heading1"/>
        <w:pBdr>
          <w:bottom w:val="single" w:color="2E74B5" w:sz="6" w:space="4"/>
        </w:pBdr>
        <w:spacing w:after="200" w:before="400"/>
      </w:pPr>
      <w:r>
        <w:rPr>
          <w:b/>
          <w:bCs/>
          <w:color w:val="1F3864"/>
        </w:rPr>
        <w:t xml:space="preserve">8. Modélisation (aperçu)</w:t>
      </w:r>
    </w:p>
    <w:p>
      <w:pPr>
        <w:pStyle w:val="Heading2"/>
        <w:spacing w:after="120" w:before="280"/>
      </w:pPr>
      <w:r>
        <w:rPr>
          <w:b/>
          <w:bCs/>
          <w:color w:val="2E74B5"/>
        </w:rPr>
        <w:t xml:space="preserve">8.1 Principaux cas d'utilisation</w:t>
      </w:r>
    </w:p>
    <w:p>
      <w:pPr>
        <w:pStyle w:val="ListParagraph"/>
        <w:numPr>
          <w:ilvl w:val="0"/>
          <w:numId w:val="2"/>
        </w:numPr>
        <w:spacing w:after="100"/>
      </w:pPr>
      <w:r>
        <w:t xml:space="preserve">S'authentifier</w:t>
      </w:r>
    </w:p>
    <w:p>
      <w:pPr>
        <w:pStyle w:val="ListParagraph"/>
        <w:numPr>
          <w:ilvl w:val="0"/>
          <w:numId w:val="2"/>
        </w:numPr>
        <w:spacing w:after="100"/>
      </w:pPr>
      <w:r>
        <w:t xml:space="preserve">Rechercher un ouvrage</w:t>
      </w:r>
    </w:p>
    <w:p>
      <w:pPr>
        <w:pStyle w:val="ListParagraph"/>
        <w:numPr>
          <w:ilvl w:val="0"/>
          <w:numId w:val="2"/>
        </w:numPr>
        <w:spacing w:after="100"/>
      </w:pPr>
      <w:r>
        <w:t xml:space="preserve">Emprunter un ouvrage</w:t>
      </w:r>
    </w:p>
    <w:p>
      <w:pPr>
        <w:pStyle w:val="ListParagraph"/>
        <w:numPr>
          <w:ilvl w:val="0"/>
          <w:numId w:val="2"/>
        </w:numPr>
        <w:spacing w:after="100"/>
      </w:pPr>
      <w:r>
        <w:t xml:space="preserve">Retourner un ouvrage</w:t>
      </w:r>
    </w:p>
    <w:p>
      <w:pPr>
        <w:pStyle w:val="ListParagraph"/>
        <w:numPr>
          <w:ilvl w:val="0"/>
          <w:numId w:val="2"/>
        </w:numPr>
        <w:spacing w:after="100"/>
      </w:pPr>
      <w:r>
        <w:t xml:space="preserve">Réserver un ouvrage</w:t>
      </w:r>
    </w:p>
    <w:p>
      <w:pPr>
        <w:pStyle w:val="ListParagraph"/>
        <w:numPr>
          <w:ilvl w:val="0"/>
          <w:numId w:val="2"/>
        </w:numPr>
        <w:spacing w:after="100"/>
      </w:pPr>
      <w:r>
        <w:t xml:space="preserve">Gérer le catalogue (bibliothécaire)</w:t>
      </w:r>
    </w:p>
    <w:p>
      <w:pPr>
        <w:pStyle w:val="ListParagraph"/>
        <w:numPr>
          <w:ilvl w:val="0"/>
          <w:numId w:val="2"/>
        </w:numPr>
        <w:spacing w:after="100"/>
      </w:pPr>
      <w:r>
        <w:t xml:space="preserve">Gérer les adhérents (bibliothécaire)</w:t>
      </w:r>
    </w:p>
    <w:p>
      <w:pPr>
        <w:pStyle w:val="ListParagraph"/>
        <w:numPr>
          <w:ilvl w:val="0"/>
          <w:numId w:val="2"/>
        </w:numPr>
        <w:spacing w:after="100"/>
      </w:pPr>
      <w:r>
        <w:t xml:space="preserve">Consulter les statistiques (administrateur)</w:t>
      </w:r>
    </w:p>
    <w:p>
      <w:pPr>
        <w:pStyle w:val="Heading2"/>
        <w:spacing w:after="120" w:before="280"/>
      </w:pPr>
      <w:r>
        <w:rPr>
          <w:b/>
          <w:bCs/>
          <w:color w:val="2E74B5"/>
        </w:rPr>
        <w:t xml:space="preserve">8.2 Principales entités du modèle de données</w:t>
      </w:r>
    </w:p>
    <w:p>
      <w:pPr>
        <w:pStyle w:val="ListParagraph"/>
        <w:numPr>
          <w:ilvl w:val="0"/>
          <w:numId w:val="2"/>
        </w:numPr>
        <w:spacing w:after="100"/>
      </w:pPr>
      <w:r>
        <w:t xml:space="preserve">Utilisateur (id, nom, prénom, email, mot de passe, rôle)</w:t>
      </w:r>
    </w:p>
    <w:p>
      <w:pPr>
        <w:pStyle w:val="ListParagraph"/>
        <w:numPr>
          <w:ilvl w:val="0"/>
          <w:numId w:val="2"/>
        </w:numPr>
        <w:spacing w:after="100"/>
      </w:pPr>
      <w:r>
        <w:t xml:space="preserve">Adhérent (id, utilisateur, type d'adhésion, quota d'emprunt)</w:t>
      </w:r>
    </w:p>
    <w:p>
      <w:pPr>
        <w:pStyle w:val="ListParagraph"/>
        <w:numPr>
          <w:ilvl w:val="0"/>
          <w:numId w:val="2"/>
        </w:numPr>
        <w:spacing w:after="100"/>
      </w:pPr>
      <w:r>
        <w:t xml:space="preserve">Ouvrage (id, titre, auteur, ISBN, éditeur, catégorie, résumé)</w:t>
      </w:r>
    </w:p>
    <w:p>
      <w:pPr>
        <w:pStyle w:val="ListParagraph"/>
        <w:numPr>
          <w:ilvl w:val="0"/>
          <w:numId w:val="2"/>
        </w:numPr>
        <w:spacing w:after="100"/>
      </w:pPr>
      <w:r>
        <w:t xml:space="preserve">Exemplaire (id, ouvrage, statut, code-barres)</w:t>
      </w:r>
    </w:p>
    <w:p>
      <w:pPr>
        <w:pStyle w:val="ListParagraph"/>
        <w:numPr>
          <w:ilvl w:val="0"/>
          <w:numId w:val="2"/>
        </w:numPr>
        <w:spacing w:after="100"/>
      </w:pPr>
      <w:r>
        <w:t xml:space="preserve">Emprunt (id, exemplaire, adhérent, date_emprunt, date_retour_prevue, date_retour_effective)</w:t>
      </w:r>
    </w:p>
    <w:p>
      <w:pPr>
        <w:pStyle w:val="ListParagraph"/>
        <w:numPr>
          <w:ilvl w:val="0"/>
          <w:numId w:val="2"/>
        </w:numPr>
        <w:spacing w:after="100"/>
      </w:pPr>
      <w:r>
        <w:t xml:space="preserve">Réservation (id, ouvrage, adhérent, date_réservation, statut)</w:t>
      </w:r>
    </w:p>
    <w:p>
      <w:pPr>
        <w:pStyle w:val="ListParagraph"/>
        <w:numPr>
          <w:ilvl w:val="0"/>
          <w:numId w:val="2"/>
        </w:numPr>
        <w:spacing w:after="100"/>
      </w:pPr>
      <w:r>
        <w:t xml:space="preserve">Pénalité (id, emprunt, montant, statut_paiement)</w:t>
      </w:r>
    </w:p>
    <w:p>
      <w:pPr>
        <w:spacing w:after="160" w:line="276"/>
      </w:pPr>
      <w:r>
        <w:t xml:space="preserve">Une modélisation complète (diagramme de classes, MCD/MLD, schéma Prisma/SQL, diagrammes de séquence) sera présentée en annexe du rapport de soutenance.</w:t>
      </w:r>
    </w:p>
    <w:p>
      <w:pPr>
        <w:pStyle w:val="Heading1"/>
        <w:pBdr>
          <w:bottom w:val="single" w:color="2E74B5" w:sz="6" w:space="4"/>
        </w:pBdr>
        <w:spacing w:after="200" w:before="400"/>
      </w:pPr>
      <w:r>
        <w:rPr>
          <w:b/>
          <w:bCs/>
          <w:color w:val="1F3864"/>
        </w:rPr>
        <w:t xml:space="preserve">9. Méthodologie et planning prévisionnel</w:t>
      </w:r>
    </w:p>
    <w:p>
      <w:pPr>
        <w:spacing w:after="160" w:line="276"/>
      </w:pPr>
      <w:r>
        <w:t xml:space="preserve">Le projet sera mené selon une méthodologie itérative (proche d'un cycle en V ou d'un mini-Scrum), articulée autour des phases suivantes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900"/>
      </w:tblGrid>
      <w:tr>
        <w:trPr>
          <w:tblHeader/>
        </w:trPr>
        <w:tc>
          <w:tcPr>
            <w:tcW w:type="dxa" w:w="3000"/>
            <w:shd w:fill="1F3864" w:color="auto" w:val="clear"/>
            <w:tcMar>
              <w:top w:type="dxa" w:w="80"/>
              <w:left w:type="dxa" w:w="120"/>
              <w:bottom w:type="dxa" w:w="80"/>
              <w:right w:type="dxa" w:w="120"/>
            </w:tcMar>
            <w:vAlign w:val="center"/>
          </w:tcPr>
          <w:p>
            <w:pPr>
              <w:jc w:val="left"/>
            </w:pPr>
            <w:r>
              <w:rPr>
                <w:b/>
                <w:bCs/>
                <w:color w:val="FFFFFF"/>
              </w:rPr>
              <w:t xml:space="preserve">Phase</w:t>
            </w:r>
          </w:p>
        </w:tc>
        <w:tc>
          <w:tcPr>
            <w:tcW w:type="dxa" w:w="4600"/>
            <w:shd w:fill="1F3864" w:color="auto" w:val="clear"/>
            <w:tcMar>
              <w:top w:type="dxa" w:w="80"/>
              <w:left w:type="dxa" w:w="120"/>
              <w:bottom w:type="dxa" w:w="80"/>
              <w:right w:type="dxa" w:w="120"/>
            </w:tcMar>
            <w:vAlign w:val="center"/>
          </w:tcPr>
          <w:p>
            <w:pPr>
              <w:jc w:val="left"/>
            </w:pPr>
            <w:r>
              <w:rPr>
                <w:b/>
                <w:bCs/>
                <w:color w:val="FFFFFF"/>
              </w:rPr>
              <w:t xml:space="preserve">Description</w:t>
            </w:r>
          </w:p>
        </w:tc>
        <w:tc>
          <w:tcPr>
            <w:tcW w:type="dxa" w:w="1900"/>
            <w:shd w:fill="1F3864" w:color="auto" w:val="clear"/>
            <w:tcMar>
              <w:top w:type="dxa" w:w="80"/>
              <w:left w:type="dxa" w:w="120"/>
              <w:bottom w:type="dxa" w:w="80"/>
              <w:right w:type="dxa" w:w="120"/>
            </w:tcMar>
            <w:vAlign w:val="center"/>
          </w:tcPr>
          <w:p>
            <w:pPr>
              <w:jc w:val="left"/>
            </w:pPr>
            <w:r>
              <w:rPr>
                <w:b/>
                <w:bCs/>
                <w:color w:val="FFFFFF"/>
              </w:rPr>
              <w:t xml:space="preserve">Durée indicative</w:t>
            </w:r>
          </w:p>
        </w:tc>
      </w:tr>
      <w:tr>
        <w:tc>
          <w:tcPr>
            <w:tcW w:type="dxa" w:w="3000"/>
            <w:tcMar>
              <w:top w:type="dxa" w:w="80"/>
              <w:left w:type="dxa" w:w="120"/>
              <w:bottom w:type="dxa" w:w="80"/>
              <w:right w:type="dxa" w:w="120"/>
            </w:tcMar>
            <w:vAlign w:val="center"/>
          </w:tcPr>
          <w:p>
            <w:pPr>
              <w:jc w:val="left"/>
            </w:pPr>
            <w:r>
              <w:rPr>
                <w:b w:val="false"/>
                <w:bCs w:val="false"/>
                <w:color w:val="000000"/>
              </w:rPr>
              <w:t xml:space="preserve">1. Analyse des besoins</w:t>
            </w:r>
          </w:p>
        </w:tc>
        <w:tc>
          <w:tcPr>
            <w:tcW w:type="dxa" w:w="4600"/>
            <w:tcMar>
              <w:top w:type="dxa" w:w="80"/>
              <w:left w:type="dxa" w:w="120"/>
              <w:bottom w:type="dxa" w:w="80"/>
              <w:right w:type="dxa" w:w="120"/>
            </w:tcMar>
            <w:vAlign w:val="center"/>
          </w:tcPr>
          <w:p>
            <w:pPr>
              <w:jc w:val="left"/>
            </w:pPr>
            <w:r>
              <w:rPr>
                <w:b w:val="false"/>
                <w:bCs w:val="false"/>
                <w:color w:val="000000"/>
              </w:rPr>
              <w:t xml:space="preserve">Recueil et rédaction du cahier des charges, étude de l'existant</w:t>
            </w:r>
          </w:p>
        </w:tc>
        <w:tc>
          <w:tcPr>
            <w:tcW w:type="dxa" w:w="1900"/>
            <w:tcMar>
              <w:top w:type="dxa" w:w="80"/>
              <w:left w:type="dxa" w:w="120"/>
              <w:bottom w:type="dxa" w:w="80"/>
              <w:right w:type="dxa" w:w="120"/>
            </w:tcMar>
            <w:vAlign w:val="center"/>
          </w:tcPr>
          <w:p>
            <w:pPr>
              <w:jc w:val="left"/>
            </w:pPr>
            <w:r>
              <w:rPr>
                <w:b w:val="false"/>
                <w:bCs w:val="false"/>
                <w:color w:val="000000"/>
              </w:rPr>
              <w:t xml:space="preserve">1 à 2 semaines</w:t>
            </w:r>
          </w:p>
        </w:tc>
      </w:tr>
      <w:tr>
        <w:tc>
          <w:tcPr>
            <w:tcW w:type="dxa" w:w="3000"/>
            <w:shd w:fill="F2F2F2" w:color="auto" w:val="clear"/>
            <w:tcMar>
              <w:top w:type="dxa" w:w="80"/>
              <w:left w:type="dxa" w:w="120"/>
              <w:bottom w:type="dxa" w:w="80"/>
              <w:right w:type="dxa" w:w="120"/>
            </w:tcMar>
            <w:vAlign w:val="center"/>
          </w:tcPr>
          <w:p>
            <w:pPr>
              <w:jc w:val="left"/>
            </w:pPr>
            <w:r>
              <w:rPr>
                <w:b w:val="false"/>
                <w:bCs w:val="false"/>
                <w:color w:val="000000"/>
              </w:rPr>
              <w:t xml:space="preserve">2. Conception</w:t>
            </w:r>
          </w:p>
        </w:tc>
        <w:tc>
          <w:tcPr>
            <w:tcW w:type="dxa" w:w="4600"/>
            <w:shd w:fill="F2F2F2" w:color="auto" w:val="clear"/>
            <w:tcMar>
              <w:top w:type="dxa" w:w="80"/>
              <w:left w:type="dxa" w:w="120"/>
              <w:bottom w:type="dxa" w:w="80"/>
              <w:right w:type="dxa" w:w="120"/>
            </w:tcMar>
            <w:vAlign w:val="center"/>
          </w:tcPr>
          <w:p>
            <w:pPr>
              <w:jc w:val="left"/>
            </w:pPr>
            <w:r>
              <w:rPr>
                <w:b w:val="false"/>
                <w:bCs w:val="false"/>
                <w:color w:val="000000"/>
              </w:rPr>
              <w:t xml:space="preserve">Modélisation UML/Merise, maquettes d'interface (wireframes)</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1 à 2 semaines</w:t>
            </w:r>
          </w:p>
        </w:tc>
      </w:tr>
      <w:tr>
        <w:tc>
          <w:tcPr>
            <w:tcW w:type="dxa" w:w="3000"/>
            <w:tcMar>
              <w:top w:type="dxa" w:w="80"/>
              <w:left w:type="dxa" w:w="120"/>
              <w:bottom w:type="dxa" w:w="80"/>
              <w:right w:type="dxa" w:w="120"/>
            </w:tcMar>
            <w:vAlign w:val="center"/>
          </w:tcPr>
          <w:p>
            <w:pPr>
              <w:jc w:val="left"/>
            </w:pPr>
            <w:r>
              <w:rPr>
                <w:b w:val="false"/>
                <w:bCs w:val="false"/>
                <w:color w:val="000000"/>
              </w:rPr>
              <w:t xml:space="preserve">3. Développement back-end</w:t>
            </w:r>
          </w:p>
        </w:tc>
        <w:tc>
          <w:tcPr>
            <w:tcW w:type="dxa" w:w="4600"/>
            <w:tcMar>
              <w:top w:type="dxa" w:w="80"/>
              <w:left w:type="dxa" w:w="120"/>
              <w:bottom w:type="dxa" w:w="80"/>
              <w:right w:type="dxa" w:w="120"/>
            </w:tcMar>
            <w:vAlign w:val="center"/>
          </w:tcPr>
          <w:p>
            <w:pPr>
              <w:jc w:val="left"/>
            </w:pPr>
            <w:r>
              <w:rPr>
                <w:b w:val="false"/>
                <w:bCs w:val="false"/>
                <w:color w:val="000000"/>
              </w:rPr>
              <w:t xml:space="preserve">Modélisation PostgreSQL, API REST Node.js/Express, authentification JWT, logique métier</w:t>
            </w:r>
          </w:p>
        </w:tc>
        <w:tc>
          <w:tcPr>
            <w:tcW w:type="dxa" w:w="1900"/>
            <w:tcMar>
              <w:top w:type="dxa" w:w="80"/>
              <w:left w:type="dxa" w:w="120"/>
              <w:bottom w:type="dxa" w:w="80"/>
              <w:right w:type="dxa" w:w="120"/>
            </w:tcMar>
            <w:vAlign w:val="center"/>
          </w:tcPr>
          <w:p>
            <w:pPr>
              <w:jc w:val="left"/>
            </w:pPr>
            <w:r>
              <w:rPr>
                <w:b w:val="false"/>
                <w:bCs w:val="false"/>
                <w:color w:val="000000"/>
              </w:rPr>
              <w:t xml:space="preserve">3 à 4 semaines</w:t>
            </w:r>
          </w:p>
        </w:tc>
      </w:tr>
      <w:tr>
        <w:tc>
          <w:tcPr>
            <w:tcW w:type="dxa" w:w="3000"/>
            <w:shd w:fill="F2F2F2" w:color="auto" w:val="clear"/>
            <w:tcMar>
              <w:top w:type="dxa" w:w="80"/>
              <w:left w:type="dxa" w:w="120"/>
              <w:bottom w:type="dxa" w:w="80"/>
              <w:right w:type="dxa" w:w="120"/>
            </w:tcMar>
            <w:vAlign w:val="center"/>
          </w:tcPr>
          <w:p>
            <w:pPr>
              <w:jc w:val="left"/>
            </w:pPr>
            <w:r>
              <w:rPr>
                <w:b w:val="false"/>
                <w:bCs w:val="false"/>
                <w:color w:val="000000"/>
              </w:rPr>
              <w:t xml:space="preserve">4. Développement front-end</w:t>
            </w:r>
          </w:p>
        </w:tc>
        <w:tc>
          <w:tcPr>
            <w:tcW w:type="dxa" w:w="4600"/>
            <w:shd w:fill="F2F2F2" w:color="auto" w:val="clear"/>
            <w:tcMar>
              <w:top w:type="dxa" w:w="80"/>
              <w:left w:type="dxa" w:w="120"/>
              <w:bottom w:type="dxa" w:w="80"/>
              <w:right w:type="dxa" w:w="120"/>
            </w:tcMar>
            <w:vAlign w:val="center"/>
          </w:tcPr>
          <w:p>
            <w:pPr>
              <w:jc w:val="left"/>
            </w:pPr>
            <w:r>
              <w:rPr>
                <w:b w:val="false"/>
                <w:bCs w:val="false"/>
                <w:color w:val="000000"/>
              </w:rPr>
              <w:t xml:space="preserve">Interfaces React, consommation de l'API, gestion d'état</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2 à 3 semaines</w:t>
            </w:r>
          </w:p>
        </w:tc>
      </w:tr>
      <w:tr>
        <w:tc>
          <w:tcPr>
            <w:tcW w:type="dxa" w:w="3000"/>
            <w:tcMar>
              <w:top w:type="dxa" w:w="80"/>
              <w:left w:type="dxa" w:w="120"/>
              <w:bottom w:type="dxa" w:w="80"/>
              <w:right w:type="dxa" w:w="120"/>
            </w:tcMar>
            <w:vAlign w:val="center"/>
          </w:tcPr>
          <w:p>
            <w:pPr>
              <w:jc w:val="left"/>
            </w:pPr>
            <w:r>
              <w:rPr>
                <w:b w:val="false"/>
                <w:bCs w:val="false"/>
                <w:color w:val="000000"/>
              </w:rPr>
              <w:t xml:space="preserve">5. Tests</w:t>
            </w:r>
          </w:p>
        </w:tc>
        <w:tc>
          <w:tcPr>
            <w:tcW w:type="dxa" w:w="4600"/>
            <w:tcMar>
              <w:top w:type="dxa" w:w="80"/>
              <w:left w:type="dxa" w:w="120"/>
              <w:bottom w:type="dxa" w:w="80"/>
              <w:right w:type="dxa" w:w="120"/>
            </w:tcMar>
            <w:vAlign w:val="center"/>
          </w:tcPr>
          <w:p>
            <w:pPr>
              <w:jc w:val="left"/>
            </w:pPr>
            <w:r>
              <w:rPr>
                <w:b w:val="false"/>
                <w:bCs w:val="false"/>
                <w:color w:val="000000"/>
              </w:rPr>
              <w:t xml:space="preserve">Tests unitaires, tests fonctionnels, correction des anomalies</w:t>
            </w:r>
          </w:p>
        </w:tc>
        <w:tc>
          <w:tcPr>
            <w:tcW w:type="dxa" w:w="1900"/>
            <w:tcMar>
              <w:top w:type="dxa" w:w="80"/>
              <w:left w:type="dxa" w:w="120"/>
              <w:bottom w:type="dxa" w:w="80"/>
              <w:right w:type="dxa" w:w="120"/>
            </w:tcMar>
            <w:vAlign w:val="center"/>
          </w:tcPr>
          <w:p>
            <w:pPr>
              <w:jc w:val="left"/>
            </w:pPr>
            <w:r>
              <w:rPr>
                <w:b w:val="false"/>
                <w:bCs w:val="false"/>
                <w:color w:val="000000"/>
              </w:rPr>
              <w:t xml:space="preserve">1 à 2 semaines</w:t>
            </w:r>
          </w:p>
        </w:tc>
      </w:tr>
      <w:tr>
        <w:tc>
          <w:tcPr>
            <w:tcW w:type="dxa" w:w="3000"/>
            <w:shd w:fill="F2F2F2" w:color="auto" w:val="clear"/>
            <w:tcMar>
              <w:top w:type="dxa" w:w="80"/>
              <w:left w:type="dxa" w:w="120"/>
              <w:bottom w:type="dxa" w:w="80"/>
              <w:right w:type="dxa" w:w="120"/>
            </w:tcMar>
            <w:vAlign w:val="center"/>
          </w:tcPr>
          <w:p>
            <w:pPr>
              <w:jc w:val="left"/>
            </w:pPr>
            <w:r>
              <w:rPr>
                <w:b w:val="false"/>
                <w:bCs w:val="false"/>
                <w:color w:val="000000"/>
              </w:rPr>
              <w:t xml:space="preserve">6. Déploiement</w:t>
            </w:r>
          </w:p>
        </w:tc>
        <w:tc>
          <w:tcPr>
            <w:tcW w:type="dxa" w:w="4600"/>
            <w:shd w:fill="F2F2F2" w:color="auto" w:val="clear"/>
            <w:tcMar>
              <w:top w:type="dxa" w:w="80"/>
              <w:left w:type="dxa" w:w="120"/>
              <w:bottom w:type="dxa" w:w="80"/>
              <w:right w:type="dxa" w:w="120"/>
            </w:tcMar>
            <w:vAlign w:val="center"/>
          </w:tcPr>
          <w:p>
            <w:pPr>
              <w:jc w:val="left"/>
            </w:pPr>
            <w:r>
              <w:rPr>
                <w:b w:val="false"/>
                <w:bCs w:val="false"/>
                <w:color w:val="000000"/>
              </w:rPr>
              <w:t xml:space="preserve">Mise en production / démonstration</w:t>
            </w:r>
          </w:p>
        </w:tc>
        <w:tc>
          <w:tcPr>
            <w:tcW w:type="dxa" w:w="1900"/>
            <w:shd w:fill="F2F2F2" w:color="auto" w:val="clear"/>
            <w:tcMar>
              <w:top w:type="dxa" w:w="80"/>
              <w:left w:type="dxa" w:w="120"/>
              <w:bottom w:type="dxa" w:w="80"/>
              <w:right w:type="dxa" w:w="120"/>
            </w:tcMar>
            <w:vAlign w:val="center"/>
          </w:tcPr>
          <w:p>
            <w:pPr>
              <w:jc w:val="left"/>
            </w:pPr>
            <w:r>
              <w:rPr>
                <w:b w:val="false"/>
                <w:bCs w:val="false"/>
                <w:color w:val="000000"/>
              </w:rPr>
              <w:t xml:space="preserve">quelques jours</w:t>
            </w:r>
          </w:p>
        </w:tc>
      </w:tr>
      <w:tr>
        <w:tc>
          <w:tcPr>
            <w:tcW w:type="dxa" w:w="3000"/>
            <w:tcMar>
              <w:top w:type="dxa" w:w="80"/>
              <w:left w:type="dxa" w:w="120"/>
              <w:bottom w:type="dxa" w:w="80"/>
              <w:right w:type="dxa" w:w="120"/>
            </w:tcMar>
            <w:vAlign w:val="center"/>
          </w:tcPr>
          <w:p>
            <w:pPr>
              <w:jc w:val="left"/>
            </w:pPr>
            <w:r>
              <w:rPr>
                <w:b w:val="false"/>
                <w:bCs w:val="false"/>
                <w:color w:val="000000"/>
              </w:rPr>
              <w:t xml:space="preserve">7. Rédaction &amp; soutenance</w:t>
            </w:r>
          </w:p>
        </w:tc>
        <w:tc>
          <w:tcPr>
            <w:tcW w:type="dxa" w:w="4600"/>
            <w:tcMar>
              <w:top w:type="dxa" w:w="80"/>
              <w:left w:type="dxa" w:w="120"/>
              <w:bottom w:type="dxa" w:w="80"/>
              <w:right w:type="dxa" w:w="120"/>
            </w:tcMar>
            <w:vAlign w:val="center"/>
          </w:tcPr>
          <w:p>
            <w:pPr>
              <w:jc w:val="left"/>
            </w:pPr>
            <w:r>
              <w:rPr>
                <w:b w:val="false"/>
                <w:bCs w:val="false"/>
                <w:color w:val="000000"/>
              </w:rPr>
              <w:t xml:space="preserve">Rapport final, préparation de la présentation</w:t>
            </w:r>
          </w:p>
        </w:tc>
        <w:tc>
          <w:tcPr>
            <w:tcW w:type="dxa" w:w="1900"/>
            <w:tcMar>
              <w:top w:type="dxa" w:w="80"/>
              <w:left w:type="dxa" w:w="120"/>
              <w:bottom w:type="dxa" w:w="80"/>
              <w:right w:type="dxa" w:w="120"/>
            </w:tcMar>
            <w:vAlign w:val="center"/>
          </w:tcPr>
          <w:p>
            <w:pPr>
              <w:jc w:val="left"/>
            </w:pPr>
            <w:r>
              <w:rPr>
                <w:b w:val="false"/>
                <w:bCs w:val="false"/>
                <w:color w:val="000000"/>
              </w:rPr>
              <w:t xml:space="preserve">1 à 2 semaines</w:t>
            </w:r>
          </w:p>
        </w:tc>
      </w:tr>
    </w:tbl>
    <w:p>
      <w:pPr>
        <w:pStyle w:val="Heading1"/>
        <w:pBdr>
          <w:bottom w:val="single" w:color="2E74B5" w:sz="6" w:space="4"/>
        </w:pBdr>
        <w:spacing w:after="200" w:before="400"/>
      </w:pPr>
      <w:r>
        <w:rPr>
          <w:b/>
          <w:bCs/>
          <w:color w:val="1F3864"/>
        </w:rPr>
        <w:t xml:space="preserve">10. Livrables attendus</w:t>
      </w:r>
    </w:p>
    <w:p>
      <w:pPr>
        <w:pStyle w:val="ListParagraph"/>
        <w:numPr>
          <w:ilvl w:val="0"/>
          <w:numId w:val="3"/>
        </w:numPr>
        <w:spacing w:after="100"/>
      </w:pPr>
      <w:r>
        <w:t xml:space="preserve">Le cahier des charges (présent document)</w:t>
      </w:r>
    </w:p>
    <w:p>
      <w:pPr>
        <w:pStyle w:val="ListParagraph"/>
        <w:numPr>
          <w:ilvl w:val="0"/>
          <w:numId w:val="3"/>
        </w:numPr>
        <w:spacing w:after="100"/>
      </w:pPr>
      <w:r>
        <w:t xml:space="preserve">Les diagrammes UML / Merise (cas d'utilisation, classes, MCD)</w:t>
      </w:r>
    </w:p>
    <w:p>
      <w:pPr>
        <w:pStyle w:val="ListParagraph"/>
        <w:numPr>
          <w:ilvl w:val="0"/>
          <w:numId w:val="3"/>
        </w:numPr>
        <w:spacing w:after="100"/>
      </w:pPr>
      <w:r>
        <w:t xml:space="preserve">Les maquettes d'interface (wireframes / prototype)</w:t>
      </w:r>
    </w:p>
    <w:p>
      <w:pPr>
        <w:pStyle w:val="ListParagraph"/>
        <w:numPr>
          <w:ilvl w:val="0"/>
          <w:numId w:val="3"/>
        </w:numPr>
        <w:spacing w:after="100"/>
      </w:pPr>
      <w:r>
        <w:t xml:space="preserve">Le code source de l'application (dépôt Git)</w:t>
      </w:r>
    </w:p>
    <w:p>
      <w:pPr>
        <w:pStyle w:val="ListParagraph"/>
        <w:numPr>
          <w:ilvl w:val="0"/>
          <w:numId w:val="3"/>
        </w:numPr>
        <w:spacing w:after="100"/>
      </w:pPr>
      <w:r>
        <w:t xml:space="preserve">La base de données (script SQL)</w:t>
      </w:r>
    </w:p>
    <w:p>
      <w:pPr>
        <w:pStyle w:val="ListParagraph"/>
        <w:numPr>
          <w:ilvl w:val="0"/>
          <w:numId w:val="3"/>
        </w:numPr>
        <w:spacing w:after="100"/>
      </w:pPr>
      <w:r>
        <w:t xml:space="preserve">Le manuel d'utilisation</w:t>
      </w:r>
    </w:p>
    <w:p>
      <w:pPr>
        <w:pStyle w:val="ListParagraph"/>
        <w:numPr>
          <w:ilvl w:val="0"/>
          <w:numId w:val="3"/>
        </w:numPr>
        <w:spacing w:after="100"/>
      </w:pPr>
      <w:r>
        <w:t xml:space="preserve">Le rapport de projet</w:t>
      </w:r>
    </w:p>
    <w:p>
      <w:pPr>
        <w:pStyle w:val="ListParagraph"/>
        <w:numPr>
          <w:ilvl w:val="0"/>
          <w:numId w:val="3"/>
        </w:numPr>
        <w:spacing w:after="100"/>
      </w:pPr>
      <w:r>
        <w:t xml:space="preserve">Le support de présentation pour la soutenance</w:t>
      </w:r>
    </w:p>
    <w:p>
      <w:pPr>
        <w:pStyle w:val="Heading1"/>
        <w:pBdr>
          <w:bottom w:val="single" w:color="2E74B5" w:sz="6" w:space="4"/>
        </w:pBdr>
        <w:spacing w:after="200" w:before="400"/>
      </w:pPr>
      <w:r>
        <w:rPr>
          <w:b/>
          <w:bCs/>
          <w:color w:val="1F3864"/>
        </w:rPr>
        <w:t xml:space="preserve">11. Critères d'évaluation et de réussite</w:t>
      </w:r>
    </w:p>
    <w:p>
      <w:pPr>
        <w:pStyle w:val="ListParagraph"/>
        <w:numPr>
          <w:ilvl w:val="0"/>
          <w:numId w:val="2"/>
        </w:numPr>
        <w:spacing w:after="100"/>
      </w:pPr>
      <w:r>
        <w:t xml:space="preserve">Conformité de l'application aux fonctionnalités décrites dans ce cahier des charges ;</w:t>
      </w:r>
    </w:p>
    <w:p>
      <w:pPr>
        <w:pStyle w:val="ListParagraph"/>
        <w:numPr>
          <w:ilvl w:val="0"/>
          <w:numId w:val="2"/>
        </w:numPr>
        <w:spacing w:after="100"/>
      </w:pPr>
      <w:r>
        <w:t xml:space="preserve">Qualité et robustesse du code (structuration, lisibilité, gestion des erreurs) ;</w:t>
      </w:r>
    </w:p>
    <w:p>
      <w:pPr>
        <w:pStyle w:val="ListParagraph"/>
        <w:numPr>
          <w:ilvl w:val="0"/>
          <w:numId w:val="2"/>
        </w:numPr>
        <w:spacing w:after="100"/>
      </w:pPr>
      <w:r>
        <w:t xml:space="preserve">Sécurité des données et des accès ;</w:t>
      </w:r>
    </w:p>
    <w:p>
      <w:pPr>
        <w:pStyle w:val="ListParagraph"/>
        <w:numPr>
          <w:ilvl w:val="0"/>
          <w:numId w:val="2"/>
        </w:numPr>
        <w:spacing w:after="100"/>
      </w:pPr>
      <w:r>
        <w:t xml:space="preserve">Ergonomie et facilité de prise en main ;</w:t>
      </w:r>
    </w:p>
    <w:p>
      <w:pPr>
        <w:pStyle w:val="ListParagraph"/>
        <w:numPr>
          <w:ilvl w:val="0"/>
          <w:numId w:val="2"/>
        </w:numPr>
        <w:spacing w:after="100"/>
      </w:pPr>
      <w:r>
        <w:t xml:space="preserve">Respect du planning et de la méthodologie annoncée ;</w:t>
      </w:r>
    </w:p>
    <w:p>
      <w:pPr>
        <w:pStyle w:val="ListParagraph"/>
        <w:numPr>
          <w:ilvl w:val="0"/>
          <w:numId w:val="2"/>
        </w:numPr>
        <w:spacing w:after="100"/>
      </w:pPr>
      <w:r>
        <w:t xml:space="preserve">Qualité de la documentation et de la soutenance orale.</w:t>
      </w:r>
    </w:p>
    <w:p>
      <w:pPr>
        <w:pStyle w:val="Heading1"/>
        <w:pBdr>
          <w:bottom w:val="single" w:color="2E74B5" w:sz="6" w:space="4"/>
        </w:pBdr>
        <w:spacing w:after="200" w:before="400"/>
      </w:pPr>
      <w:r>
        <w:rPr>
          <w:b/>
          <w:bCs/>
          <w:color w:val="1F3864"/>
        </w:rPr>
        <w:t xml:space="preserve">12. Conclusion</w:t>
      </w:r>
    </w:p>
    <w:p>
      <w:pPr>
        <w:spacing w:after="160" w:line="276"/>
      </w:pPr>
      <w:r>
        <w:t xml:space="preserve">Ce cahier des charges constitue le document de référence pour la conception et le développement de l'application de gestion de bibliothèque. Il servira de base à l'ensemble des phases du projet et de support pour la soutenance, en démontrant la cohérence entre les besoins exprimés, les choix techniques opérés et la solution finalement livrée.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Cahier des charges — Gestion de bibliothèque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2026-07-18T19:44:56.300Z</dcterms:created>
  <dcterms:modified xsi:type="dcterms:W3CDTF">2026-07-18T19:44:56.322Z</dcterms:modified>
</cp:coreProperties>
</file>

<file path=docProps/custom.xml><?xml version="1.0" encoding="utf-8"?>
<Properties xmlns="http://schemas.openxmlformats.org/officeDocument/2006/custom-properties" xmlns:vt="http://schemas.openxmlformats.org/officeDocument/2006/docPropsVTypes"/>
</file>