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i/>
          <w:iCs/>
        </w:rPr>
        <w:t xml:space="preserve">Anexo — Qualidade ISO/IEC 25000 (SQuaRE), ISO/IEC 27002 (Segurança da Informação) — v4</w:t>
      </w:r>
    </w:p>
    <w:p>
      <w:pPr>
        <w:spacing w:after="100" w:before="200"/>
        <w:jc w:val="center"/>
      </w:pPr>
      <w:r>
        <w:rPr>
          <w:b/>
          <w:bCs/>
        </w:rPr>
        <w:t xml:space="preserve">ANEXO — QUALIDADE DE SOFTWARE, DADOS, IA E SEGURANÇA DA INFORMAÇÃO</w:t>
      </w:r>
    </w:p>
    <w:p>
      <w:pPr>
        <w:spacing w:after="100"/>
        <w:jc w:val="center"/>
      </w:pPr>
      <w:r>
        <w:rPr>
          <w:b/>
          <w:bCs/>
        </w:rPr>
        <w:t xml:space="preserve">Aplicação da Família ISO/IEC 25000 (SQuaRE) e da ISO/IEC 27002 ao Sistema de Análise Preditiva de Influenza A no Município de São Paulo</w:t>
      </w:r>
    </w:p>
    <w:p>
      <w:pPr>
        <w:spacing w:after="140"/>
        <w:jc w:val="center"/>
      </w:pPr>
      <w:r>
        <w:rPr>
          <w:i/>
          <w:iCs/>
        </w:rPr>
        <w:t xml:space="preserve">Documento de apoio técnico — anexo de referência para a Seção 4.9 (Documentação Técnica da Arquitetura) do TC2, com base no projeto descrito em TCC C D H M (documento principal, arquivo TCC_-_C_D_H_M_(TC2).docx) e nas decisões de escopo registradas na Definição Conceitual do Projeto v6 a v12 — Random Forest como modelo principal e o recorte Influenza A / município de São Paulo permanecem confirmados na versão mais recente (v12, 26/09/2026).</w:t>
      </w:r>
    </w:p>
    <w:p>
      <w:pPr>
        <w:pStyle w:val="Heading1"/>
        <w:spacing w:after="160" w:before="320"/>
      </w:pPr>
      <w:r>
        <w:t xml:space="preserve">Versão 4 — revisão de 26/09/2026</w:t>
      </w:r>
    </w:p>
    <w:p>
      <w:pPr>
        <w:spacing w:after="140"/>
      </w:pPr>
      <w:r>
        <w:t xml:space="preserve">Primeira revisão deste Anexo feita a partir da leitura direta do TC2 (TCC_-_C_D_H_M_(TC2).docx) e da v12 da Definição Conceitual do Projeto (documento de apoio). Cinco mudanças principais, nenhuma delas de mudança de norma ou de decisão técnica de fundo — todas de sincronização com o estado real, hoje, do documento principal e dos dados:</w:t>
      </w:r>
    </w:p>
    <w:p>
      <w:pPr>
        <w:pStyle w:val="ListParagraph"/>
        <w:numPr>
          <w:ilvl w:val="0"/>
          <w:numId w:val="1"/>
        </w:numPr>
        <w:spacing w:after="80"/>
      </w:pPr>
      <w:r>
        <w:t xml:space="preserve">Atualiza todas as referências de destino deste Anexo (Notas de transposição das Seções 1 a 5, e a coluna "Aplicação no projeto" onde relevante): o TC2 sofreu uma renumeração completa de capítulos e a antiga "Documentação Técnica da Arquitetura" — Capítulo 5, subseções 5.1 a 5.5 — é hoje a Seção 4.9 (subseções 4.9.1 a 4.9.5) do Capítulo 4 (Material e Método). Onde este Anexo dizia "Capítulo 5" ou "5.1–5.5", passa a dizer "Seção 4.9" ou "4.9.1–4.9.5".</w:t>
      </w:r>
    </w:p>
    <w:p>
      <w:pPr>
        <w:pStyle w:val="ListParagraph"/>
        <w:numPr>
          <w:ilvl w:val="0"/>
          <w:numId w:val="1"/>
        </w:numPr>
        <w:spacing w:after="80"/>
      </w:pPr>
      <w:r>
        <w:t xml:space="preserve">Resolve definitivamente, na Seção 3 (ISO/IEC 25012), a linha de Precisão (granularidade geográfica): a pendência de bairro/região registrada desde a v1 não é mais uma decisão em aberto — a Introdução do TC2 já confirma que o SIVEP-Gripe/SINAN não tem campo de bairro, e que a solução adotada é usar NM_UN_INTE (unidade de notificação) como recorte de consulta no dashboard, mantendo a modelagem no nível municipal. Essa decisão ainda não chegou ao esquema de banco de dados do TC2 (que continua com as tabelas bairro/regiao/bairro_predicao), então a pendência de ação prática permanece — apenas a pendência de decisão está resolvida.</w:t>
      </w:r>
    </w:p>
    <w:p>
      <w:pPr>
        <w:pStyle w:val="ListParagraph"/>
        <w:numPr>
          <w:ilvl w:val="0"/>
          <w:numId w:val="1"/>
        </w:numPr>
        <w:spacing w:after="80"/>
      </w:pPr>
      <w:r>
        <w:t xml:space="preserve">Adiciona um alerta crítico, novo nesta versão, à linha de Exatidão (Seção 3): a verificação direta do arquivo de dados consolidado do grupo (Dados_consolidados_e_padronizados_2009_a_2019_e_2022_a_2026.csv) mostra que os campos de confirmação laboratorial documentados na Tabela 1 do TC2 (CLASSI_FIN, PCR_RESUL, POS_PCRFLU, TP_FLU_PCR, POS_AN_FLU, TP_FLU_AN) não estão presentes nesse arquivo — apenas o campo de subtipo (PCR_FLUASU), com codificação antiga de 6 categorias, inclusive em registros de 2022 a 2026. O critério de exatidão documentado neste Anexo desde a v1 não pôde, portanto, ser verificado nos dados efetivamente disponíveis, em nenhum ano da série.</w:t>
      </w:r>
    </w:p>
    <w:p>
      <w:pPr>
        <w:pStyle w:val="ListParagraph"/>
        <w:numPr>
          <w:ilvl w:val="0"/>
          <w:numId w:val="1"/>
        </w:numPr>
        <w:spacing w:after="80"/>
      </w:pPr>
      <w:r>
        <w:t xml:space="preserve">Atualiza a linha de Consistência (Seção 3) com o mesmo achado, sob outro ângulo: o código de subtipo do esquema antigo de 6 categorias ("5" = H3N2v) aparece 502 vezes no arquivo consolidado, das quais 483 ocorrências (96%) estão em 2019–2026 — período em que a codificação moderna de 4 categorias já deveria estar em uso segundo a própria Tabela 1 do TC2. A inconsistência de codificação, antes tratada como restrita ao período SINAN legado (2009–2018), atravessa hoje toda a série disponível.</w:t>
      </w:r>
    </w:p>
    <w:p>
      <w:pPr>
        <w:pStyle w:val="ListParagraph"/>
        <w:numPr>
          <w:ilvl w:val="0"/>
          <w:numId w:val="1"/>
        </w:numPr>
        <w:spacing w:after="80"/>
      </w:pPr>
      <w:r>
        <w:t xml:space="preserve">Acrescenta, à linha de Confidencialidade (Seção 3) e à subcaracterística Robustez (Seção 4), uma nova consideração: NM_UN_INTE identifica a unidade de saúde notificadora, uma granularidade territorialmente mais específica do que um bairro genérico (um hospital tem endereço único e publicamente conhecido); e, se usada no dashboard para muitas unidades pequenas, pode reproduzir em nível de visualização o mesmo problema de contagem esparsa que a decisão de manter a modelagem municipal já evita no nível de previsão.</w:t>
      </w:r>
    </w:p>
    <w:p>
      <w:pPr>
        <w:spacing w:after="140"/>
      </w:pPr>
      <w:r>
        <w:t xml:space="preserve"/>
      </w:r>
    </w:p>
    <w:p>
      <w:pPr>
        <w:pStyle w:val="Heading1"/>
        <w:spacing w:after="160" w:before="320"/>
      </w:pPr>
      <w:r>
        <w:t xml:space="preserve">Objetivo do Documento</w:t>
      </w:r>
    </w:p>
    <w:p>
      <w:pPr>
        <w:spacing w:after="140"/>
      </w:pPr>
      <w:r>
        <w:t xml:space="preserve">Este anexo tem como finalidade fundamentar, de forma rigorosa e rastreável a normas internacionais vigentes, os atributos de qualidade do sistema descrito no TCC C D H M (TC2) — o documento principal do projeto. Ele responde diretamente a quatro apontamentos do feedback recebido na avaliação do TC1: a arquitetura descrita como "muito genérica", a documentação técnica como "inconsistente", a ausência de definição rigorosa das variáveis epidemiológicas utilizadas, e o tratamento de "Segurança e LGPD" como "superficial".</w:t>
      </w:r>
    </w:p>
    <w:p>
      <w:pPr>
        <w:spacing w:after="140"/>
      </w:pPr>
      <w:r>
        <w:t xml:space="preserve">Diferente da primeira tentativa de resposta a esse apontamento — uma única tabela de atributos de qualidade construída de forma ad hoc —, este anexo se apoia em normas distintas, cada uma cobrindo uma dimensão diferente do sistema: o software em si (ISO/IEC 25010), os dados que ele processa (ISO/IEC 25012), o modelo de inteligência artificial que ele executa (ISO/IEC 25059) e os controles operacionais de segurança da informação que sustentam a infraestrutura em nuvem (ISO/IEC 27002).</w:t>
      </w:r>
    </w:p>
    <w:p>
      <w:pPr>
        <w:spacing w:after="140"/>
      </w:pPr>
      <w:r>
        <w:rPr>
          <w:i/>
          <w:iCs/>
        </w:rPr>
        <w:t xml:space="preserve">Nota de transposição: as tabelas deste anexo (Seções 2, 3, 4 e 5) devem ser transpostas, resumidas ou referenciadas dentro da Seção 4.9 (Documentação Técnica da Arquitetura) do TC2, substituindo o texto atual das subseções 4.9.1 a 4.9.5, que hoje descreve apenas a stack tecnológica sem tratar segurança, logs, backup, qualidade de dados ou qualidade do modelo de IA. Este anexo pode ser citado no corpo do texto e incluído na íntegra como apêndice, dependendo do padrão exigido pela banca. (Referência de destino atualizada nesta v4 — era "Capítulo 5, 5.1–5.5" nas versões 1 a 3.)</w:t>
      </w:r>
    </w:p>
    <w:p>
      <w:pPr>
        <w:pStyle w:val="Heading1"/>
        <w:spacing w:after="160" w:before="320"/>
      </w:pPr>
      <w:r>
        <w:t xml:space="preserve">1. Panorama da Família ISO/IEC 25000 (SQuaRE)</w:t>
      </w:r>
    </w:p>
    <w:p>
      <w:pPr>
        <w:spacing w:after="140"/>
      </w:pPr>
      <w:r>
        <w:t xml:space="preserve">A ISO/IEC 25000, conhecida pela sigla SQuaRE (Systems and Software Quality Requirements and Evaluation), não é uma norma única, mas uma família de normas organizada em divisões, resultado da evolução da ISO/IEC 9126 (modelo de qualidade) e da ISO/IEC 14598 (processo de avaliação).</w:t>
      </w:r>
    </w:p>
    <w:p>
      <w:pPr>
        <w:pStyle w:val="ListParagraph"/>
        <w:numPr>
          <w:ilvl w:val="0"/>
          <w:numId w:val="1"/>
        </w:numPr>
        <w:spacing w:after="80"/>
      </w:pPr>
      <w:r>
        <w:t xml:space="preserve">Divisão de Gestão da Qualidade (2500n) — modelos, termos e definições comuns;</w:t>
      </w:r>
    </w:p>
    <w:p>
      <w:pPr>
        <w:pStyle w:val="ListParagraph"/>
        <w:numPr>
          <w:ilvl w:val="0"/>
          <w:numId w:val="1"/>
        </w:numPr>
        <w:spacing w:after="80"/>
      </w:pPr>
      <w:r>
        <w:t xml:space="preserve">Divisão de Modelo de Qualidade (2501n) — inclui a ISO/IEC 25010 (produto de software) e a ISO/IEC 25012 (dados);</w:t>
      </w:r>
    </w:p>
    <w:p>
      <w:pPr>
        <w:pStyle w:val="ListParagraph"/>
        <w:numPr>
          <w:ilvl w:val="0"/>
          <w:numId w:val="1"/>
        </w:numPr>
        <w:spacing w:after="80"/>
      </w:pPr>
      <w:r>
        <w:t xml:space="preserve">Divisão de Medição da Qualidade (2502n) — inclui a ISO/IEC 25024, específica para dados;</w:t>
      </w:r>
    </w:p>
    <w:p>
      <w:pPr>
        <w:pStyle w:val="ListParagraph"/>
        <w:numPr>
          <w:ilvl w:val="0"/>
          <w:numId w:val="1"/>
        </w:numPr>
        <w:spacing w:after="80"/>
      </w:pPr>
      <w:r>
        <w:t xml:space="preserve">Divisão de Requisitos de Qualidade (2503n);</w:t>
      </w:r>
    </w:p>
    <w:p>
      <w:pPr>
        <w:pStyle w:val="ListParagraph"/>
        <w:numPr>
          <w:ilvl w:val="0"/>
          <w:numId w:val="1"/>
        </w:numPr>
        <w:spacing w:after="80"/>
      </w:pPr>
      <w:r>
        <w:t xml:space="preserve">Divisão de Avaliação da Qualidade (2504n) — inclui a ISO/IEC 25040;</w:t>
      </w:r>
    </w:p>
    <w:p>
      <w:pPr>
        <w:pStyle w:val="ListParagraph"/>
        <w:numPr>
          <w:ilvl w:val="0"/>
          <w:numId w:val="1"/>
        </w:numPr>
        <w:spacing w:after="80"/>
      </w:pPr>
      <w:r>
        <w:t xml:space="preserve">Divisão de Extensão (2505n–2509n) — inclui a ISO/IEC 25059, extensão para sistemas de IA.</w:t>
      </w:r>
    </w:p>
    <w:p>
      <w:pPr>
        <w:spacing w:after="140"/>
      </w:pPr>
      <w:r>
        <w:t xml:space="preserve">Três normas são diretamente aplicáveis ao projeto e estruturam as três seções seguintes deste anexo: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600"/>
      </w:tblGrid>
      <w:tr>
        <w:tc>
          <w:tcPr>
            <w:tcW w:type="dxa" w:w="1600"/>
            <w:shd w:fill="D9D9D9" w:val="clear"/>
            <w:tcMar>
              <w:top w:type="dxa" w:w="60"/>
              <w:left w:type="dxa" w:w="100"/>
              <w:bottom w:type="dxa" w:w="60"/>
              <w:right w:type="dxa" w:w="100"/>
            </w:tcMar>
          </w:tcPr>
          <w:p>
            <w:pPr>
              <w:spacing w:after="40"/>
            </w:pPr>
            <w:r>
              <w:rPr>
                <w:b/>
                <w:bCs/>
              </w:rPr>
              <w:t xml:space="preserve">Norma</w:t>
            </w:r>
          </w:p>
        </w:tc>
        <w:tc>
          <w:tcPr>
            <w:tcW w:type="dxa" w:w="2200"/>
            <w:shd w:fill="D9D9D9" w:val="clear"/>
            <w:tcMar>
              <w:top w:type="dxa" w:w="60"/>
              <w:left w:type="dxa" w:w="100"/>
              <w:bottom w:type="dxa" w:w="60"/>
              <w:right w:type="dxa" w:w="100"/>
            </w:tcMar>
          </w:tcPr>
          <w:p>
            <w:pPr>
              <w:spacing w:after="40"/>
            </w:pPr>
            <w:r>
              <w:rPr>
                <w:b/>
                <w:bCs/>
              </w:rPr>
              <w:t xml:space="preserve">Edição vigente</w:t>
            </w:r>
          </w:p>
        </w:tc>
        <w:tc>
          <w:tcPr>
            <w:tcW w:type="dxa" w:w="3000"/>
            <w:shd w:fill="D9D9D9" w:val="clear"/>
            <w:tcMar>
              <w:top w:type="dxa" w:w="60"/>
              <w:left w:type="dxa" w:w="100"/>
              <w:bottom w:type="dxa" w:w="60"/>
              <w:right w:type="dxa" w:w="100"/>
            </w:tcMar>
          </w:tcPr>
          <w:p>
            <w:pPr>
              <w:spacing w:after="40"/>
            </w:pPr>
            <w:r>
              <w:rPr>
                <w:b/>
                <w:bCs/>
              </w:rPr>
              <w:t xml:space="preserve">O que avalia</w:t>
            </w:r>
          </w:p>
        </w:tc>
        <w:tc>
          <w:tcPr>
            <w:tcW w:type="dxa" w:w="2600"/>
            <w:shd w:fill="D9D9D9" w:val="clear"/>
            <w:tcMar>
              <w:top w:type="dxa" w:w="60"/>
              <w:left w:type="dxa" w:w="100"/>
              <w:bottom w:type="dxa" w:w="60"/>
              <w:right w:type="dxa" w:w="100"/>
            </w:tcMar>
          </w:tcPr>
          <w:p>
            <w:pPr>
              <w:spacing w:after="40"/>
            </w:pPr>
            <w:r>
              <w:rPr>
                <w:b/>
                <w:bCs/>
              </w:rPr>
              <w:t xml:space="preserve">Aplicação no projeto</w:t>
            </w:r>
          </w:p>
        </w:tc>
      </w:tr>
      <w:tr>
        <w:tc>
          <w:tcPr>
            <w:tcW w:type="dxa" w:w="1600"/>
            <w:tcMar>
              <w:top w:type="dxa" w:w="60"/>
              <w:left w:type="dxa" w:w="100"/>
              <w:bottom w:type="dxa" w:w="60"/>
              <w:right w:type="dxa" w:w="100"/>
            </w:tcMar>
          </w:tcPr>
          <w:p>
            <w:pPr>
              <w:spacing w:after="40"/>
            </w:pPr>
            <w:r>
              <w:rPr>
                <w:b w:val="false"/>
                <w:bCs w:val="false"/>
              </w:rPr>
              <w:t xml:space="preserve">ISO/IEC 25010</w:t>
            </w:r>
          </w:p>
        </w:tc>
        <w:tc>
          <w:tcPr>
            <w:tcW w:type="dxa" w:w="2200"/>
            <w:tcMar>
              <w:top w:type="dxa" w:w="60"/>
              <w:left w:type="dxa" w:w="100"/>
              <w:bottom w:type="dxa" w:w="60"/>
              <w:right w:type="dxa" w:w="100"/>
            </w:tcMar>
          </w:tcPr>
          <w:p>
            <w:pPr>
              <w:spacing w:after="40"/>
            </w:pPr>
            <w:r>
              <w:rPr>
                <w:b w:val="false"/>
                <w:bCs w:val="false"/>
              </w:rPr>
              <w:t xml:space="preserve">2023 (9 características, ante 8 na edição anterior)</w:t>
            </w:r>
          </w:p>
        </w:tc>
        <w:tc>
          <w:tcPr>
            <w:tcW w:type="dxa" w:w="3000"/>
            <w:tcMar>
              <w:top w:type="dxa" w:w="60"/>
              <w:left w:type="dxa" w:w="100"/>
              <w:bottom w:type="dxa" w:w="60"/>
              <w:right w:type="dxa" w:w="100"/>
            </w:tcMar>
          </w:tcPr>
          <w:p>
            <w:pPr>
              <w:spacing w:after="40"/>
            </w:pPr>
            <w:r>
              <w:rPr>
                <w:b w:val="false"/>
                <w:bCs w:val="false"/>
              </w:rPr>
              <w:t xml:space="preserve">Qualidade do produto de software</w:t>
            </w:r>
          </w:p>
        </w:tc>
        <w:tc>
          <w:tcPr>
            <w:tcW w:type="dxa" w:w="2600"/>
            <w:tcMar>
              <w:top w:type="dxa" w:w="60"/>
              <w:left w:type="dxa" w:w="100"/>
              <w:bottom w:type="dxa" w:w="60"/>
              <w:right w:type="dxa" w:w="100"/>
            </w:tcMar>
          </w:tcPr>
          <w:p>
            <w:pPr>
              <w:spacing w:after="40"/>
            </w:pPr>
            <w:r>
              <w:rPr>
                <w:b w:val="false"/>
                <w:bCs w:val="false"/>
              </w:rPr>
              <w:t xml:space="preserve">Arquitetura do sistema — frontend, backend, API REST, banco de dados, infraestrutura em nuvem</w:t>
            </w:r>
          </w:p>
        </w:tc>
      </w:tr>
      <w:tr>
        <w:tc>
          <w:tcPr>
            <w:tcW w:type="dxa" w:w="1600"/>
            <w:tcMar>
              <w:top w:type="dxa" w:w="60"/>
              <w:left w:type="dxa" w:w="100"/>
              <w:bottom w:type="dxa" w:w="60"/>
              <w:right w:type="dxa" w:w="100"/>
            </w:tcMar>
          </w:tcPr>
          <w:p>
            <w:pPr>
              <w:spacing w:after="40"/>
            </w:pPr>
            <w:r>
              <w:rPr>
                <w:b w:val="false"/>
                <w:bCs w:val="false"/>
              </w:rPr>
              <w:t xml:space="preserve">ISO/IEC 25012</w:t>
            </w:r>
          </w:p>
        </w:tc>
        <w:tc>
          <w:tcPr>
            <w:tcW w:type="dxa" w:w="2200"/>
            <w:tcMar>
              <w:top w:type="dxa" w:w="60"/>
              <w:left w:type="dxa" w:w="100"/>
              <w:bottom w:type="dxa" w:w="60"/>
              <w:right w:type="dxa" w:w="100"/>
            </w:tcMar>
          </w:tcPr>
          <w:p>
            <w:pPr>
              <w:spacing w:after="40"/>
            </w:pPr>
            <w:r>
              <w:rPr>
                <w:b w:val="false"/>
                <w:bCs w:val="false"/>
              </w:rPr>
              <w:t xml:space="preserve">2008 (vigente, sem revisão publicada)</w:t>
            </w:r>
          </w:p>
        </w:tc>
        <w:tc>
          <w:tcPr>
            <w:tcW w:type="dxa" w:w="3000"/>
            <w:tcMar>
              <w:top w:type="dxa" w:w="60"/>
              <w:left w:type="dxa" w:w="100"/>
              <w:bottom w:type="dxa" w:w="60"/>
              <w:right w:type="dxa" w:w="100"/>
            </w:tcMar>
          </w:tcPr>
          <w:p>
            <w:pPr>
              <w:spacing w:after="40"/>
            </w:pPr>
            <w:r>
              <w:rPr>
                <w:b w:val="false"/>
                <w:bCs w:val="false"/>
              </w:rPr>
              <w:t xml:space="preserve">Qualidade dos dados manipulados pelo sistema</w:t>
            </w:r>
          </w:p>
        </w:tc>
        <w:tc>
          <w:tcPr>
            <w:tcW w:type="dxa" w:w="2600"/>
            <w:tcMar>
              <w:top w:type="dxa" w:w="60"/>
              <w:left w:type="dxa" w:w="100"/>
              <w:bottom w:type="dxa" w:w="60"/>
              <w:right w:type="dxa" w:w="100"/>
            </w:tcMar>
          </w:tcPr>
          <w:p>
            <w:pPr>
              <w:spacing w:after="40"/>
            </w:pPr>
            <w:r>
              <w:rPr>
                <w:b w:val="false"/>
                <w:bCs w:val="false"/>
              </w:rPr>
              <w:t xml:space="preserve">Pipeline de coleta e tratamento de dados do DATASUS/SIVEP-Gripe</w:t>
            </w:r>
          </w:p>
        </w:tc>
      </w:tr>
      <w:tr>
        <w:tc>
          <w:tcPr>
            <w:tcW w:type="dxa" w:w="1600"/>
            <w:tcMar>
              <w:top w:type="dxa" w:w="60"/>
              <w:left w:type="dxa" w:w="100"/>
              <w:bottom w:type="dxa" w:w="60"/>
              <w:right w:type="dxa" w:w="100"/>
            </w:tcMar>
          </w:tcPr>
          <w:p>
            <w:pPr>
              <w:spacing w:after="40"/>
            </w:pPr>
            <w:r>
              <w:rPr>
                <w:b w:val="false"/>
                <w:bCs w:val="false"/>
              </w:rPr>
              <w:t xml:space="preserve">ISO/IEC 25059</w:t>
            </w:r>
          </w:p>
        </w:tc>
        <w:tc>
          <w:tcPr>
            <w:tcW w:type="dxa" w:w="2200"/>
            <w:tcMar>
              <w:top w:type="dxa" w:w="60"/>
              <w:left w:type="dxa" w:w="100"/>
              <w:bottom w:type="dxa" w:w="60"/>
              <w:right w:type="dxa" w:w="100"/>
            </w:tcMar>
          </w:tcPr>
          <w:p>
            <w:pPr>
              <w:spacing w:after="40"/>
            </w:pPr>
            <w:r>
              <w:rPr>
                <w:b w:val="false"/>
                <w:bCs w:val="false"/>
              </w:rPr>
              <w:t xml:space="preserve">2023 (primeira edição; revisão em consulta pública, ainda não publicada)</w:t>
            </w:r>
          </w:p>
        </w:tc>
        <w:tc>
          <w:tcPr>
            <w:tcW w:type="dxa" w:w="3000"/>
            <w:tcMar>
              <w:top w:type="dxa" w:w="60"/>
              <w:left w:type="dxa" w:w="100"/>
              <w:bottom w:type="dxa" w:w="60"/>
              <w:right w:type="dxa" w:w="100"/>
            </w:tcMar>
          </w:tcPr>
          <w:p>
            <w:pPr>
              <w:spacing w:after="40"/>
            </w:pPr>
            <w:r>
              <w:rPr>
                <w:b w:val="false"/>
                <w:bCs w:val="false"/>
              </w:rPr>
              <w:t xml:space="preserve">Extensão do modelo de qualidade para sistemas de IA</w:t>
            </w:r>
          </w:p>
        </w:tc>
        <w:tc>
          <w:tcPr>
            <w:tcW w:type="dxa" w:w="2600"/>
            <w:tcMar>
              <w:top w:type="dxa" w:w="60"/>
              <w:left w:type="dxa" w:w="100"/>
              <w:bottom w:type="dxa" w:w="60"/>
              <w:right w:type="dxa" w:w="100"/>
            </w:tcMar>
          </w:tcPr>
          <w:p>
            <w:pPr>
              <w:spacing w:after="40"/>
            </w:pPr>
            <w:r>
              <w:rPr>
                <w:b w:val="false"/>
                <w:bCs w:val="false"/>
              </w:rPr>
              <w:t xml:space="preserve">O modelo preditivo de aprendizado de máquina (Random Forest)</w:t>
            </w:r>
          </w:p>
        </w:tc>
      </w:tr>
    </w:tbl>
    <w:p>
      <w:pPr>
        <w:spacing w:after="140"/>
      </w:pPr>
      <w:r>
        <w:t xml:space="preserve"/>
      </w:r>
    </w:p>
    <w:p>
      <w:pPr>
        <w:spacing w:after="140"/>
      </w:pPr>
      <w:r>
        <w:rPr>
          <w:i/>
          <w:iCs/>
        </w:rPr>
        <w:t xml:space="preserve">Nota de transposição: existe uma segunda edição da ISO/IEC 25059 em fase de Draft International Standard (DIS), com consulta pública encerrada em março de 2026. Como essa revisão ainda não foi publicada como edição definitiva, este anexo usa a edição de 2023 (primeira edição), a única formalmente vigente e citável.</w:t>
      </w:r>
    </w:p>
    <w:p>
      <w:pPr>
        <w:spacing w:after="140"/>
      </w:pPr>
      <w:r>
        <w:t xml:space="preserve">As três normas acima tratam de qualidade de produto de software, de dados e de sistemas de IA — nenhuma delas é uma norma de gestão de segurança da informação. Esse é o escopo da família ISO/IEC 27000, tratada na Seção 5 deste anexo.</w:t>
      </w:r>
    </w:p>
    <w:p>
      <w:pPr>
        <w:pStyle w:val="Heading1"/>
        <w:spacing w:after="160" w:before="320"/>
      </w:pPr>
      <w:r>
        <w:t xml:space="preserve">2. ISO/IEC 25010:2023 — Modelo de Qualidade de Produto de Software</w:t>
      </w:r>
    </w:p>
    <w:p>
      <w:pPr>
        <w:spacing w:after="140"/>
      </w:pPr>
      <w:r>
        <w:t xml:space="preserve">A edição de 2023 revisou a estrutura anterior (2011), passando de 8 para 9 características. Mudanças mais relevantes: Usabilidade substituída por Capacidade de Interação; Portabilidade substituída por Flexibilidade (com Escalabilidade); nova característica Segurança Operacional (Safety).</w:t>
      </w:r>
    </w:p>
    <w:p>
      <w:pPr>
        <w:spacing w:after="140"/>
      </w:pPr>
      <w:r>
        <w:t xml:space="preserve">A tabela abaixo aplica as 9 características e subcaracterísticas oficiais ao sistema descrito no TC2:</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2000"/>
        <w:gridCol w:w="2000"/>
      </w:tblGrid>
      <w:tr>
        <w:tc>
          <w:tcPr>
            <w:tcW w:type="dxa" w:w="1600"/>
            <w:shd w:fill="D9D9D9" w:val="clear"/>
            <w:tcMar>
              <w:top w:type="dxa" w:w="60"/>
              <w:left w:type="dxa" w:w="100"/>
              <w:bottom w:type="dxa" w:w="60"/>
              <w:right w:type="dxa" w:w="100"/>
            </w:tcMar>
          </w:tcPr>
          <w:p>
            <w:pPr>
              <w:spacing w:after="40"/>
            </w:pPr>
            <w:r>
              <w:rPr>
                <w:b/>
                <w:bCs/>
              </w:rPr>
              <w:t xml:space="preserve">Característica</w:t>
            </w:r>
          </w:p>
        </w:tc>
        <w:tc>
          <w:tcPr>
            <w:tcW w:type="dxa" w:w="1800"/>
            <w:shd w:fill="D9D9D9" w:val="clear"/>
            <w:tcMar>
              <w:top w:type="dxa" w:w="60"/>
              <w:left w:type="dxa" w:w="100"/>
              <w:bottom w:type="dxa" w:w="60"/>
              <w:right w:type="dxa" w:w="100"/>
            </w:tcMar>
          </w:tcPr>
          <w:p>
            <w:pPr>
              <w:spacing w:after="40"/>
            </w:pPr>
            <w:r>
              <w:rPr>
                <w:b/>
                <w:bCs/>
              </w:rPr>
              <w:t xml:space="preserve">Subcaracterística</w:t>
            </w:r>
          </w:p>
        </w:tc>
        <w:tc>
          <w:tcPr>
            <w:tcW w:type="dxa" w:w="2800"/>
            <w:shd w:fill="D9D9D9" w:val="clear"/>
            <w:tcMar>
              <w:top w:type="dxa" w:w="60"/>
              <w:left w:type="dxa" w:w="100"/>
              <w:bottom w:type="dxa" w:w="60"/>
              <w:right w:type="dxa" w:w="100"/>
            </w:tcMar>
          </w:tcPr>
          <w:p>
            <w:pPr>
              <w:spacing w:after="40"/>
            </w:pPr>
            <w:r>
              <w:rPr>
                <w:b/>
                <w:bCs/>
              </w:rPr>
              <w:t xml:space="preserve">Aplicação no projeto</w:t>
            </w:r>
          </w:p>
        </w:tc>
        <w:tc>
          <w:tcPr>
            <w:tcW w:type="dxa" w:w="2000"/>
            <w:shd w:fill="D9D9D9" w:val="clear"/>
            <w:tcMar>
              <w:top w:type="dxa" w:w="60"/>
              <w:left w:type="dxa" w:w="100"/>
              <w:bottom w:type="dxa" w:w="60"/>
              <w:right w:type="dxa" w:w="100"/>
            </w:tcMar>
          </w:tcPr>
          <w:p>
            <w:pPr>
              <w:spacing w:after="40"/>
            </w:pPr>
            <w:r>
              <w:rPr>
                <w:b/>
                <w:bCs/>
              </w:rPr>
              <w:t xml:space="preserve">Critério de aceite</w:t>
            </w:r>
          </w:p>
        </w:tc>
        <w:tc>
          <w:tcPr>
            <w:tcW w:type="dxa" w:w="2000"/>
            <w:shd w:fill="D9D9D9" w:val="clear"/>
            <w:tcMar>
              <w:top w:type="dxa" w:w="60"/>
              <w:left w:type="dxa" w:w="100"/>
              <w:bottom w:type="dxa" w:w="60"/>
              <w:right w:type="dxa" w:w="100"/>
            </w:tcMar>
          </w:tcPr>
          <w:p>
            <w:pPr>
              <w:spacing w:after="40"/>
            </w:pPr>
            <w:r>
              <w:rPr>
                <w:b/>
                <w:bCs/>
              </w:rPr>
              <w:t xml:space="preserve">Como validar</w:t>
            </w:r>
          </w:p>
        </w:tc>
      </w:tr>
      <w:tr>
        <w:tc>
          <w:tcPr>
            <w:tcW w:type="dxa" w:w="1600"/>
            <w:tcMar>
              <w:top w:type="dxa" w:w="60"/>
              <w:left w:type="dxa" w:w="100"/>
              <w:bottom w:type="dxa" w:w="60"/>
              <w:right w:type="dxa" w:w="100"/>
            </w:tcMar>
          </w:tcPr>
          <w:p>
            <w:pPr>
              <w:spacing w:after="40"/>
            </w:pPr>
            <w:r>
              <w:rPr>
                <w:b w:val="false"/>
                <w:bCs w:val="false"/>
              </w:rPr>
              <w:t xml:space="preserve">Adequação Funcional</w:t>
            </w:r>
          </w:p>
        </w:tc>
        <w:tc>
          <w:tcPr>
            <w:tcW w:type="dxa" w:w="1800"/>
            <w:tcMar>
              <w:top w:type="dxa" w:w="60"/>
              <w:left w:type="dxa" w:w="100"/>
              <w:bottom w:type="dxa" w:w="60"/>
              <w:right w:type="dxa" w:w="100"/>
            </w:tcMar>
          </w:tcPr>
          <w:p>
            <w:pPr>
              <w:spacing w:after="40"/>
            </w:pPr>
            <w:r>
              <w:rPr>
                <w:b w:val="false"/>
                <w:bCs w:val="false"/>
              </w:rPr>
              <w:t xml:space="preserve">Completude funcional</w:t>
            </w:r>
          </w:p>
        </w:tc>
        <w:tc>
          <w:tcPr>
            <w:tcW w:type="dxa" w:w="2800"/>
            <w:tcMar>
              <w:top w:type="dxa" w:w="60"/>
              <w:left w:type="dxa" w:w="100"/>
              <w:bottom w:type="dxa" w:w="60"/>
              <w:right w:type="dxa" w:w="100"/>
            </w:tcMar>
          </w:tcPr>
          <w:p>
            <w:pPr>
              <w:spacing w:after="40"/>
            </w:pPr>
            <w:r>
              <w:rPr>
                <w:b w:val="false"/>
                <w:bCs w:val="false"/>
              </w:rPr>
              <w:t xml:space="preserve">RF001–RF004 cobrem a totalidade dos objetivos específicos declarados</w:t>
            </w:r>
          </w:p>
        </w:tc>
        <w:tc>
          <w:tcPr>
            <w:tcW w:type="dxa" w:w="2000"/>
            <w:tcMar>
              <w:top w:type="dxa" w:w="60"/>
              <w:left w:type="dxa" w:w="100"/>
              <w:bottom w:type="dxa" w:w="60"/>
              <w:right w:type="dxa" w:w="100"/>
            </w:tcMar>
          </w:tcPr>
          <w:p>
            <w:pPr>
              <w:spacing w:after="40"/>
            </w:pPr>
            <w:r>
              <w:rPr>
                <w:b w:val="false"/>
                <w:bCs w:val="false"/>
              </w:rPr>
              <w:t xml:space="preserve">Rastreabilidade RF × Objetivo sem lacunas</w:t>
            </w:r>
          </w:p>
        </w:tc>
        <w:tc>
          <w:tcPr>
            <w:tcW w:type="dxa" w:w="2000"/>
            <w:tcMar>
              <w:top w:type="dxa" w:w="60"/>
              <w:left w:type="dxa" w:w="100"/>
              <w:bottom w:type="dxa" w:w="60"/>
              <w:right w:type="dxa" w:w="100"/>
            </w:tcMar>
          </w:tcPr>
          <w:p>
            <w:pPr>
              <w:spacing w:after="40"/>
            </w:pPr>
            <w:r>
              <w:rPr>
                <w:b w:val="false"/>
                <w:bCs w:val="false"/>
              </w:rPr>
              <w:t xml:space="preserve">Matriz de rastreabilidade</w:t>
            </w:r>
          </w:p>
        </w:tc>
      </w:tr>
      <w:tr>
        <w:tc>
          <w:tcPr>
            <w:tcW w:type="dxa" w:w="1600"/>
            <w:tcMar>
              <w:top w:type="dxa" w:w="60"/>
              <w:left w:type="dxa" w:w="100"/>
              <w:bottom w:type="dxa" w:w="60"/>
              <w:right w:type="dxa" w:w="100"/>
            </w:tcMar>
          </w:tcPr>
          <w:p>
            <w:pPr>
              <w:spacing w:after="40"/>
            </w:pPr>
            <w:r>
              <w:rPr>
                <w:b w:val="false"/>
                <w:bCs w:val="false"/>
              </w:rPr>
              <w:t xml:space="preserve">Adequação Funcional</w:t>
            </w:r>
          </w:p>
        </w:tc>
        <w:tc>
          <w:tcPr>
            <w:tcW w:type="dxa" w:w="1800"/>
            <w:tcMar>
              <w:top w:type="dxa" w:w="60"/>
              <w:left w:type="dxa" w:w="100"/>
              <w:bottom w:type="dxa" w:w="60"/>
              <w:right w:type="dxa" w:w="100"/>
            </w:tcMar>
          </w:tcPr>
          <w:p>
            <w:pPr>
              <w:spacing w:after="40"/>
            </w:pPr>
            <w:r>
              <w:rPr>
                <w:b w:val="false"/>
                <w:bCs w:val="false"/>
              </w:rPr>
              <w:t xml:space="preserve">Correção funcional</w:t>
            </w:r>
          </w:p>
        </w:tc>
        <w:tc>
          <w:tcPr>
            <w:tcW w:type="dxa" w:w="2800"/>
            <w:tcMar>
              <w:top w:type="dxa" w:w="60"/>
              <w:left w:type="dxa" w:w="100"/>
              <w:bottom w:type="dxa" w:w="60"/>
              <w:right w:type="dxa" w:w="100"/>
            </w:tcMar>
          </w:tcPr>
          <w:p>
            <w:pPr>
              <w:spacing w:after="40"/>
            </w:pPr>
            <w:r>
              <w:rPr>
                <w:b w:val="false"/>
                <w:bCs w:val="false"/>
              </w:rPr>
              <w:t xml:space="preserve">Endpoints retornam exatamente os dados filtrados, sem distorção</w:t>
            </w:r>
          </w:p>
        </w:tc>
        <w:tc>
          <w:tcPr>
            <w:tcW w:type="dxa" w:w="2000"/>
            <w:tcMar>
              <w:top w:type="dxa" w:w="60"/>
              <w:left w:type="dxa" w:w="100"/>
              <w:bottom w:type="dxa" w:w="60"/>
              <w:right w:type="dxa" w:w="100"/>
            </w:tcMar>
          </w:tcPr>
          <w:p>
            <w:pPr>
              <w:spacing w:after="40"/>
            </w:pPr>
            <w:r>
              <w:rPr>
                <w:b w:val="false"/>
                <w:bCs w:val="false"/>
              </w:rPr>
              <w:t xml:space="preserve">Output da API bate com o dado esperado no banco</w:t>
            </w:r>
          </w:p>
        </w:tc>
        <w:tc>
          <w:tcPr>
            <w:tcW w:type="dxa" w:w="2000"/>
            <w:tcMar>
              <w:top w:type="dxa" w:w="60"/>
              <w:left w:type="dxa" w:w="100"/>
              <w:bottom w:type="dxa" w:w="60"/>
              <w:right w:type="dxa" w:w="100"/>
            </w:tcMar>
          </w:tcPr>
          <w:p>
            <w:pPr>
              <w:spacing w:after="40"/>
            </w:pPr>
            <w:r>
              <w:rPr>
                <w:b w:val="false"/>
                <w:bCs w:val="false"/>
              </w:rPr>
              <w:t xml:space="preserve">Pytest + comparação de payload</w:t>
            </w:r>
          </w:p>
        </w:tc>
      </w:tr>
      <w:tr>
        <w:tc>
          <w:tcPr>
            <w:tcW w:type="dxa" w:w="1600"/>
            <w:tcMar>
              <w:top w:type="dxa" w:w="60"/>
              <w:left w:type="dxa" w:w="100"/>
              <w:bottom w:type="dxa" w:w="60"/>
              <w:right w:type="dxa" w:w="100"/>
            </w:tcMar>
          </w:tcPr>
          <w:p>
            <w:pPr>
              <w:spacing w:after="40"/>
            </w:pPr>
            <w:r>
              <w:rPr>
                <w:b w:val="false"/>
                <w:bCs w:val="false"/>
              </w:rPr>
              <w:t xml:space="preserve">Adequação Funcional</w:t>
            </w:r>
          </w:p>
        </w:tc>
        <w:tc>
          <w:tcPr>
            <w:tcW w:type="dxa" w:w="1800"/>
            <w:tcMar>
              <w:top w:type="dxa" w:w="60"/>
              <w:left w:type="dxa" w:w="100"/>
              <w:bottom w:type="dxa" w:w="60"/>
              <w:right w:type="dxa" w:w="100"/>
            </w:tcMar>
          </w:tcPr>
          <w:p>
            <w:pPr>
              <w:spacing w:after="40"/>
            </w:pPr>
            <w:r>
              <w:rPr>
                <w:b w:val="false"/>
                <w:bCs w:val="false"/>
              </w:rPr>
              <w:t xml:space="preserve">Pertinência funcional</w:t>
            </w:r>
          </w:p>
        </w:tc>
        <w:tc>
          <w:tcPr>
            <w:tcW w:type="dxa" w:w="2800"/>
            <w:tcMar>
              <w:top w:type="dxa" w:w="60"/>
              <w:left w:type="dxa" w:w="100"/>
              <w:bottom w:type="dxa" w:w="60"/>
              <w:right w:type="dxa" w:w="100"/>
            </w:tcMar>
          </w:tcPr>
          <w:p>
            <w:pPr>
              <w:spacing w:after="40"/>
            </w:pPr>
            <w:r>
              <w:rPr>
                <w:b w:val="false"/>
                <w:bCs w:val="false"/>
              </w:rPr>
              <w:t xml:space="preserve">Usuário consegue concluir a consulta/filtragem sem passos supérfluos</w:t>
            </w:r>
          </w:p>
        </w:tc>
        <w:tc>
          <w:tcPr>
            <w:tcW w:type="dxa" w:w="2000"/>
            <w:tcMar>
              <w:top w:type="dxa" w:w="60"/>
              <w:left w:type="dxa" w:w="100"/>
              <w:bottom w:type="dxa" w:w="60"/>
              <w:right w:type="dxa" w:w="100"/>
            </w:tcMar>
          </w:tcPr>
          <w:p>
            <w:pPr>
              <w:spacing w:after="40"/>
            </w:pPr>
            <w:r>
              <w:rPr>
                <w:b w:val="false"/>
                <w:bCs w:val="false"/>
              </w:rPr>
              <w:t xml:space="preserve">Nº de cliques até o resultado esperado</w:t>
            </w:r>
          </w:p>
        </w:tc>
        <w:tc>
          <w:tcPr>
            <w:tcW w:type="dxa" w:w="2000"/>
            <w:tcMar>
              <w:top w:type="dxa" w:w="60"/>
              <w:left w:type="dxa" w:w="100"/>
              <w:bottom w:type="dxa" w:w="60"/>
              <w:right w:type="dxa" w:w="100"/>
            </w:tcMar>
          </w:tcPr>
          <w:p>
            <w:pPr>
              <w:spacing w:after="40"/>
            </w:pPr>
            <w:r>
              <w:rPr>
                <w:b w:val="false"/>
                <w:bCs w:val="false"/>
              </w:rPr>
              <w:t xml:space="preserve">Teste de usabilidade com usuário real</w:t>
            </w:r>
          </w:p>
        </w:tc>
      </w:tr>
      <w:tr>
        <w:tc>
          <w:tcPr>
            <w:tcW w:type="dxa" w:w="1600"/>
            <w:tcMar>
              <w:top w:type="dxa" w:w="60"/>
              <w:left w:type="dxa" w:w="100"/>
              <w:bottom w:type="dxa" w:w="60"/>
              <w:right w:type="dxa" w:w="100"/>
            </w:tcMar>
          </w:tcPr>
          <w:p>
            <w:pPr>
              <w:spacing w:after="40"/>
            </w:pPr>
            <w:r>
              <w:rPr>
                <w:b w:val="false"/>
                <w:bCs w:val="false"/>
              </w:rPr>
              <w:t xml:space="preserve">Eficiência de Desempenho</w:t>
            </w:r>
          </w:p>
        </w:tc>
        <w:tc>
          <w:tcPr>
            <w:tcW w:type="dxa" w:w="1800"/>
            <w:tcMar>
              <w:top w:type="dxa" w:w="60"/>
              <w:left w:type="dxa" w:w="100"/>
              <w:bottom w:type="dxa" w:w="60"/>
              <w:right w:type="dxa" w:w="100"/>
            </w:tcMar>
          </w:tcPr>
          <w:p>
            <w:pPr>
              <w:spacing w:after="40"/>
            </w:pPr>
            <w:r>
              <w:rPr>
                <w:b w:val="false"/>
                <w:bCs w:val="false"/>
              </w:rPr>
              <w:t xml:space="preserve">Comportamento temporal</w:t>
            </w:r>
          </w:p>
        </w:tc>
        <w:tc>
          <w:tcPr>
            <w:tcW w:type="dxa" w:w="2800"/>
            <w:tcMar>
              <w:top w:type="dxa" w:w="60"/>
              <w:left w:type="dxa" w:w="100"/>
              <w:bottom w:type="dxa" w:w="60"/>
              <w:right w:type="dxa" w:w="100"/>
            </w:tcMar>
          </w:tcPr>
          <w:p>
            <w:pPr>
              <w:spacing w:after="40"/>
            </w:pPr>
            <w:r>
              <w:rPr>
                <w:b w:val="false"/>
                <w:bCs w:val="false"/>
              </w:rPr>
              <w:t xml:space="preserve">Tempo de resposta dos endpoints principais</w:t>
            </w:r>
          </w:p>
        </w:tc>
        <w:tc>
          <w:tcPr>
            <w:tcW w:type="dxa" w:w="2000"/>
            <w:tcMar>
              <w:top w:type="dxa" w:w="60"/>
              <w:left w:type="dxa" w:w="100"/>
              <w:bottom w:type="dxa" w:w="60"/>
              <w:right w:type="dxa" w:w="100"/>
            </w:tcMar>
          </w:tcPr>
          <w:p>
            <w:pPr>
              <w:spacing w:after="40"/>
            </w:pPr>
            <w:r>
              <w:rPr>
                <w:b w:val="false"/>
                <w:bCs w:val="false"/>
              </w:rPr>
              <w:t xml:space="preserve">Resposta em até 2s em ambiente de teste</w:t>
            </w:r>
          </w:p>
        </w:tc>
        <w:tc>
          <w:tcPr>
            <w:tcW w:type="dxa" w:w="2000"/>
            <w:tcMar>
              <w:top w:type="dxa" w:w="60"/>
              <w:left w:type="dxa" w:w="100"/>
              <w:bottom w:type="dxa" w:w="60"/>
              <w:right w:type="dxa" w:w="100"/>
            </w:tcMar>
          </w:tcPr>
          <w:p>
            <w:pPr>
              <w:spacing w:after="40"/>
            </w:pPr>
            <w:r>
              <w:rPr>
                <w:b w:val="false"/>
                <w:bCs w:val="false"/>
              </w:rPr>
              <w:t xml:space="preserve">Postman/Insomnia + logs de tempo</w:t>
            </w:r>
          </w:p>
        </w:tc>
      </w:tr>
      <w:tr>
        <w:tc>
          <w:tcPr>
            <w:tcW w:type="dxa" w:w="1600"/>
            <w:tcMar>
              <w:top w:type="dxa" w:w="60"/>
              <w:left w:type="dxa" w:w="100"/>
              <w:bottom w:type="dxa" w:w="60"/>
              <w:right w:type="dxa" w:w="100"/>
            </w:tcMar>
          </w:tcPr>
          <w:p>
            <w:pPr>
              <w:spacing w:after="40"/>
            </w:pPr>
            <w:r>
              <w:rPr>
                <w:b w:val="false"/>
                <w:bCs w:val="false"/>
              </w:rPr>
              <w:t xml:space="preserve">Eficiência de Desempenho</w:t>
            </w:r>
          </w:p>
        </w:tc>
        <w:tc>
          <w:tcPr>
            <w:tcW w:type="dxa" w:w="1800"/>
            <w:tcMar>
              <w:top w:type="dxa" w:w="60"/>
              <w:left w:type="dxa" w:w="100"/>
              <w:bottom w:type="dxa" w:w="60"/>
              <w:right w:type="dxa" w:w="100"/>
            </w:tcMar>
          </w:tcPr>
          <w:p>
            <w:pPr>
              <w:spacing w:after="40"/>
            </w:pPr>
            <w:r>
              <w:rPr>
                <w:b w:val="false"/>
                <w:bCs w:val="false"/>
              </w:rPr>
              <w:t xml:space="preserve">Utilização de recursos</w:t>
            </w:r>
          </w:p>
        </w:tc>
        <w:tc>
          <w:tcPr>
            <w:tcW w:type="dxa" w:w="2800"/>
            <w:tcMar>
              <w:top w:type="dxa" w:w="60"/>
              <w:left w:type="dxa" w:w="100"/>
              <w:bottom w:type="dxa" w:w="60"/>
              <w:right w:type="dxa" w:w="100"/>
            </w:tcMar>
          </w:tcPr>
          <w:p>
            <w:pPr>
              <w:spacing w:after="40"/>
            </w:pPr>
            <w:r>
              <w:rPr>
                <w:b w:val="false"/>
                <w:bCs w:val="false"/>
              </w:rPr>
              <w:t xml:space="preserve">Consumo de memória ao carregar o modelo (.joblib)</w:t>
            </w:r>
          </w:p>
        </w:tc>
        <w:tc>
          <w:tcPr>
            <w:tcW w:type="dxa" w:w="2000"/>
            <w:tcMar>
              <w:top w:type="dxa" w:w="60"/>
              <w:left w:type="dxa" w:w="100"/>
              <w:bottom w:type="dxa" w:w="60"/>
              <w:right w:type="dxa" w:w="100"/>
            </w:tcMar>
          </w:tcPr>
          <w:p>
            <w:pPr>
              <w:spacing w:after="40"/>
            </w:pPr>
            <w:r>
              <w:rPr>
                <w:b w:val="false"/>
                <w:bCs w:val="false"/>
              </w:rPr>
              <w:t xml:space="preserve">Consumo documentado e dentro do limite</w:t>
            </w:r>
          </w:p>
        </w:tc>
        <w:tc>
          <w:tcPr>
            <w:tcW w:type="dxa" w:w="2000"/>
            <w:tcMar>
              <w:top w:type="dxa" w:w="60"/>
              <w:left w:type="dxa" w:w="100"/>
              <w:bottom w:type="dxa" w:w="60"/>
              <w:right w:type="dxa" w:w="100"/>
            </w:tcMar>
          </w:tcPr>
          <w:p>
            <w:pPr>
              <w:spacing w:after="40"/>
            </w:pPr>
            <w:r>
              <w:rPr>
                <w:b w:val="false"/>
                <w:bCs w:val="false"/>
              </w:rPr>
              <w:t xml:space="preserve">Monitoramento do processo da API</w:t>
            </w:r>
          </w:p>
        </w:tc>
      </w:tr>
      <w:tr>
        <w:tc>
          <w:tcPr>
            <w:tcW w:type="dxa" w:w="1600"/>
            <w:tcMar>
              <w:top w:type="dxa" w:w="60"/>
              <w:left w:type="dxa" w:w="100"/>
              <w:bottom w:type="dxa" w:w="60"/>
              <w:right w:type="dxa" w:w="100"/>
            </w:tcMar>
          </w:tcPr>
          <w:p>
            <w:pPr>
              <w:spacing w:after="40"/>
            </w:pPr>
            <w:r>
              <w:rPr>
                <w:b w:val="false"/>
                <w:bCs w:val="false"/>
              </w:rPr>
              <w:t xml:space="preserve">Eficiência de Desempenho</w:t>
            </w:r>
          </w:p>
        </w:tc>
        <w:tc>
          <w:tcPr>
            <w:tcW w:type="dxa" w:w="1800"/>
            <w:tcMar>
              <w:top w:type="dxa" w:w="60"/>
              <w:left w:type="dxa" w:w="100"/>
              <w:bottom w:type="dxa" w:w="60"/>
              <w:right w:type="dxa" w:w="100"/>
            </w:tcMar>
          </w:tcPr>
          <w:p>
            <w:pPr>
              <w:spacing w:after="40"/>
            </w:pPr>
            <w:r>
              <w:rPr>
                <w:b w:val="false"/>
                <w:bCs w:val="false"/>
              </w:rPr>
              <w:t xml:space="preserve">Capacidade</w:t>
            </w:r>
          </w:p>
        </w:tc>
        <w:tc>
          <w:tcPr>
            <w:tcW w:type="dxa" w:w="2800"/>
            <w:tcMar>
              <w:top w:type="dxa" w:w="60"/>
              <w:left w:type="dxa" w:w="100"/>
              <w:bottom w:type="dxa" w:w="60"/>
              <w:right w:type="dxa" w:w="100"/>
            </w:tcMar>
          </w:tcPr>
          <w:p>
            <w:pPr>
              <w:spacing w:after="40"/>
            </w:pPr>
            <w:r>
              <w:rPr>
                <w:b w:val="false"/>
                <w:bCs w:val="false"/>
              </w:rPr>
              <w:t xml:space="preserve">Sistema suporta aumento de volume histórico sem redesenho</w:t>
            </w:r>
          </w:p>
        </w:tc>
        <w:tc>
          <w:tcPr>
            <w:tcW w:type="dxa" w:w="2000"/>
            <w:tcMar>
              <w:top w:type="dxa" w:w="60"/>
              <w:left w:type="dxa" w:w="100"/>
              <w:bottom w:type="dxa" w:w="60"/>
              <w:right w:type="dxa" w:w="100"/>
            </w:tcMar>
          </w:tcPr>
          <w:p>
            <w:pPr>
              <w:spacing w:after="40"/>
            </w:pPr>
            <w:r>
              <w:rPr>
                <w:b w:val="false"/>
                <w:bCs w:val="false"/>
              </w:rPr>
              <w:t xml:space="preserve">Teste de carga sem degradação</w:t>
            </w:r>
          </w:p>
        </w:tc>
        <w:tc>
          <w:tcPr>
            <w:tcW w:type="dxa" w:w="2000"/>
            <w:tcMar>
              <w:top w:type="dxa" w:w="60"/>
              <w:left w:type="dxa" w:w="100"/>
              <w:bottom w:type="dxa" w:w="60"/>
              <w:right w:type="dxa" w:w="100"/>
            </w:tcMar>
          </w:tcPr>
          <w:p>
            <w:pPr>
              <w:spacing w:after="40"/>
            </w:pPr>
            <w:r>
              <w:rPr>
                <w:b w:val="false"/>
                <w:bCs w:val="false"/>
              </w:rPr>
              <w:t xml:space="preserve">Teste de carga em homologação</w:t>
            </w:r>
          </w:p>
        </w:tc>
      </w:tr>
      <w:tr>
        <w:tc>
          <w:tcPr>
            <w:tcW w:type="dxa" w:w="1600"/>
            <w:tcMar>
              <w:top w:type="dxa" w:w="60"/>
              <w:left w:type="dxa" w:w="100"/>
              <w:bottom w:type="dxa" w:w="60"/>
              <w:right w:type="dxa" w:w="100"/>
            </w:tcMar>
          </w:tcPr>
          <w:p>
            <w:pPr>
              <w:spacing w:after="40"/>
            </w:pPr>
            <w:r>
              <w:rPr>
                <w:b w:val="false"/>
                <w:bCs w:val="false"/>
              </w:rPr>
              <w:t xml:space="preserve">Compatibilidade</w:t>
            </w:r>
          </w:p>
        </w:tc>
        <w:tc>
          <w:tcPr>
            <w:tcW w:type="dxa" w:w="1800"/>
            <w:tcMar>
              <w:top w:type="dxa" w:w="60"/>
              <w:left w:type="dxa" w:w="100"/>
              <w:bottom w:type="dxa" w:w="60"/>
              <w:right w:type="dxa" w:w="100"/>
            </w:tcMar>
          </w:tcPr>
          <w:p>
            <w:pPr>
              <w:spacing w:after="40"/>
            </w:pPr>
            <w:r>
              <w:rPr>
                <w:b w:val="false"/>
                <w:bCs w:val="false"/>
              </w:rPr>
              <w:t xml:space="preserve">Coexistência</w:t>
            </w:r>
          </w:p>
        </w:tc>
        <w:tc>
          <w:tcPr>
            <w:tcW w:type="dxa" w:w="2800"/>
            <w:tcMar>
              <w:top w:type="dxa" w:w="60"/>
              <w:left w:type="dxa" w:w="100"/>
              <w:bottom w:type="dxa" w:w="60"/>
              <w:right w:type="dxa" w:w="100"/>
            </w:tcMar>
          </w:tcPr>
          <w:p>
            <w:pPr>
              <w:spacing w:after="40"/>
            </w:pPr>
            <w:r>
              <w:rPr>
                <w:b w:val="false"/>
                <w:bCs w:val="false"/>
              </w:rPr>
              <w:t xml:space="preserve">API roda na AWS sem conflitar com outros serviços</w:t>
            </w:r>
          </w:p>
        </w:tc>
        <w:tc>
          <w:tcPr>
            <w:tcW w:type="dxa" w:w="2000"/>
            <w:tcMar>
              <w:top w:type="dxa" w:w="60"/>
              <w:left w:type="dxa" w:w="100"/>
              <w:bottom w:type="dxa" w:w="60"/>
              <w:right w:type="dxa" w:w="100"/>
            </w:tcMar>
          </w:tcPr>
          <w:p>
            <w:pPr>
              <w:spacing w:after="40"/>
            </w:pPr>
            <w:r>
              <w:rPr>
                <w:b w:val="false"/>
                <w:bCs w:val="false"/>
              </w:rPr>
              <w:t xml:space="preserve">Ausência de erro de porta/recurso</w:t>
            </w:r>
          </w:p>
        </w:tc>
        <w:tc>
          <w:tcPr>
            <w:tcW w:type="dxa" w:w="2000"/>
            <w:tcMar>
              <w:top w:type="dxa" w:w="60"/>
              <w:left w:type="dxa" w:w="100"/>
              <w:bottom w:type="dxa" w:w="60"/>
              <w:right w:type="dxa" w:w="100"/>
            </w:tcMar>
          </w:tcPr>
          <w:p>
            <w:pPr>
              <w:spacing w:after="40"/>
            </w:pPr>
            <w:r>
              <w:rPr>
                <w:b w:val="false"/>
                <w:bCs w:val="false"/>
              </w:rPr>
              <w:t xml:space="preserve">Teste de implantação</w:t>
            </w:r>
          </w:p>
        </w:tc>
      </w:tr>
      <w:tr>
        <w:tc>
          <w:tcPr>
            <w:tcW w:type="dxa" w:w="1600"/>
            <w:tcMar>
              <w:top w:type="dxa" w:w="60"/>
              <w:left w:type="dxa" w:w="100"/>
              <w:bottom w:type="dxa" w:w="60"/>
              <w:right w:type="dxa" w:w="100"/>
            </w:tcMar>
          </w:tcPr>
          <w:p>
            <w:pPr>
              <w:spacing w:after="40"/>
            </w:pPr>
            <w:r>
              <w:rPr>
                <w:b w:val="false"/>
                <w:bCs w:val="false"/>
              </w:rPr>
              <w:t xml:space="preserve">Compatibilidade</w:t>
            </w:r>
          </w:p>
        </w:tc>
        <w:tc>
          <w:tcPr>
            <w:tcW w:type="dxa" w:w="1800"/>
            <w:tcMar>
              <w:top w:type="dxa" w:w="60"/>
              <w:left w:type="dxa" w:w="100"/>
              <w:bottom w:type="dxa" w:w="60"/>
              <w:right w:type="dxa" w:w="100"/>
            </w:tcMar>
          </w:tcPr>
          <w:p>
            <w:pPr>
              <w:spacing w:after="40"/>
            </w:pPr>
            <w:r>
              <w:rPr>
                <w:b w:val="false"/>
                <w:bCs w:val="false"/>
              </w:rPr>
              <w:t xml:space="preserve">Interoperabilidade</w:t>
            </w:r>
          </w:p>
        </w:tc>
        <w:tc>
          <w:tcPr>
            <w:tcW w:type="dxa" w:w="2800"/>
            <w:tcMar>
              <w:top w:type="dxa" w:w="60"/>
              <w:left w:type="dxa" w:w="100"/>
              <w:bottom w:type="dxa" w:w="60"/>
              <w:right w:type="dxa" w:w="100"/>
            </w:tcMar>
          </w:tcPr>
          <w:p>
            <w:pPr>
              <w:spacing w:after="40"/>
            </w:pPr>
            <w:r>
              <w:rPr>
                <w:b w:val="false"/>
                <w:bCs w:val="false"/>
              </w:rPr>
              <w:t xml:space="preserve">API retorna JSON padronizado, reaproveitável</w:t>
            </w:r>
          </w:p>
        </w:tc>
        <w:tc>
          <w:tcPr>
            <w:tcW w:type="dxa" w:w="2000"/>
            <w:tcMar>
              <w:top w:type="dxa" w:w="60"/>
              <w:left w:type="dxa" w:w="100"/>
              <w:bottom w:type="dxa" w:w="60"/>
              <w:right w:type="dxa" w:w="100"/>
            </w:tcMar>
          </w:tcPr>
          <w:p>
            <w:pPr>
              <w:spacing w:after="40"/>
            </w:pPr>
            <w:r>
              <w:rPr>
                <w:b w:val="false"/>
                <w:bCs w:val="false"/>
              </w:rPr>
              <w:t xml:space="preserve">Contrato de schema documentado</w:t>
            </w:r>
          </w:p>
        </w:tc>
        <w:tc>
          <w:tcPr>
            <w:tcW w:type="dxa" w:w="2000"/>
            <w:tcMar>
              <w:top w:type="dxa" w:w="60"/>
              <w:left w:type="dxa" w:w="100"/>
              <w:bottom w:type="dxa" w:w="60"/>
              <w:right w:type="dxa" w:w="100"/>
            </w:tcMar>
          </w:tcPr>
          <w:p>
            <w:pPr>
              <w:spacing w:after="40"/>
            </w:pPr>
            <w:r>
              <w:rPr>
                <w:b w:val="false"/>
                <w:bCs w:val="false"/>
              </w:rPr>
              <w:t xml:space="preserve">Validação de contrato/schema</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Reconhecimento de adequação</w:t>
            </w:r>
          </w:p>
        </w:tc>
        <w:tc>
          <w:tcPr>
            <w:tcW w:type="dxa" w:w="2800"/>
            <w:tcMar>
              <w:top w:type="dxa" w:w="60"/>
              <w:left w:type="dxa" w:w="100"/>
              <w:bottom w:type="dxa" w:w="60"/>
              <w:right w:type="dxa" w:w="100"/>
            </w:tcMar>
          </w:tcPr>
          <w:p>
            <w:pPr>
              <w:spacing w:after="40"/>
            </w:pPr>
            <w:r>
              <w:rPr>
                <w:b w:val="false"/>
                <w:bCs w:val="false"/>
              </w:rPr>
              <w:t xml:space="preserve">Usuário identifica de imediato a função do dashboard</w:t>
            </w:r>
          </w:p>
        </w:tc>
        <w:tc>
          <w:tcPr>
            <w:tcW w:type="dxa" w:w="2000"/>
            <w:tcMar>
              <w:top w:type="dxa" w:w="60"/>
              <w:left w:type="dxa" w:w="100"/>
              <w:bottom w:type="dxa" w:w="60"/>
              <w:right w:type="dxa" w:w="100"/>
            </w:tcMar>
          </w:tcPr>
          <w:p>
            <w:pPr>
              <w:spacing w:after="40"/>
            </w:pPr>
            <w:r>
              <w:rPr>
                <w:b w:val="false"/>
                <w:bCs w:val="false"/>
              </w:rPr>
              <w:t xml:space="preserve">Teste de 1ª impressão sem tutorial</w:t>
            </w:r>
          </w:p>
        </w:tc>
        <w:tc>
          <w:tcPr>
            <w:tcW w:type="dxa" w:w="2000"/>
            <w:tcMar>
              <w:top w:type="dxa" w:w="60"/>
              <w:left w:type="dxa" w:w="100"/>
              <w:bottom w:type="dxa" w:w="60"/>
              <w:right w:type="dxa" w:w="100"/>
            </w:tcMar>
          </w:tcPr>
          <w:p>
            <w:pPr>
              <w:spacing w:after="40"/>
            </w:pPr>
            <w:r>
              <w:rPr>
                <w:b w:val="false"/>
                <w:bCs w:val="false"/>
              </w:rPr>
              <w:t xml:space="preserve">Teste com 3+ perfis não técnicos</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Capacidade de aprendizagem</w:t>
            </w:r>
          </w:p>
        </w:tc>
        <w:tc>
          <w:tcPr>
            <w:tcW w:type="dxa" w:w="2800"/>
            <w:tcMar>
              <w:top w:type="dxa" w:w="60"/>
              <w:left w:type="dxa" w:w="100"/>
              <w:bottom w:type="dxa" w:w="60"/>
              <w:right w:type="dxa" w:w="100"/>
            </w:tcMar>
          </w:tcPr>
          <w:p>
            <w:pPr>
              <w:spacing w:after="40"/>
            </w:pPr>
            <w:r>
              <w:rPr>
                <w:b w:val="false"/>
                <w:bCs w:val="false"/>
              </w:rPr>
              <w:t xml:space="preserve">Usuário leigo aprende a usar os filtros sozinho</w:t>
            </w:r>
          </w:p>
        </w:tc>
        <w:tc>
          <w:tcPr>
            <w:tcW w:type="dxa" w:w="2000"/>
            <w:tcMar>
              <w:top w:type="dxa" w:w="60"/>
              <w:left w:type="dxa" w:w="100"/>
              <w:bottom w:type="dxa" w:w="60"/>
              <w:right w:type="dxa" w:w="100"/>
            </w:tcMar>
          </w:tcPr>
          <w:p>
            <w:pPr>
              <w:spacing w:after="40"/>
            </w:pPr>
            <w:r>
              <w:rPr>
                <w:b w:val="false"/>
                <w:bCs w:val="false"/>
              </w:rPr>
              <w:t xml:space="preserve">Tempo até 1ª filtragem bem-sucedida</w:t>
            </w:r>
          </w:p>
        </w:tc>
        <w:tc>
          <w:tcPr>
            <w:tcW w:type="dxa" w:w="2000"/>
            <w:tcMar>
              <w:top w:type="dxa" w:w="60"/>
              <w:left w:type="dxa" w:w="100"/>
              <w:bottom w:type="dxa" w:w="60"/>
              <w:right w:type="dxa" w:w="100"/>
            </w:tcMar>
          </w:tcPr>
          <w:p>
            <w:pPr>
              <w:spacing w:after="40"/>
            </w:pPr>
            <w:r>
              <w:rPr>
                <w:b w:val="false"/>
                <w:bCs w:val="false"/>
              </w:rPr>
              <w:t xml:space="preserve">Teste de usabilidade guiado</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Operabilidade</w:t>
            </w:r>
          </w:p>
        </w:tc>
        <w:tc>
          <w:tcPr>
            <w:tcW w:type="dxa" w:w="2800"/>
            <w:tcMar>
              <w:top w:type="dxa" w:w="60"/>
              <w:left w:type="dxa" w:w="100"/>
              <w:bottom w:type="dxa" w:w="60"/>
              <w:right w:type="dxa" w:w="100"/>
            </w:tcMar>
          </w:tcPr>
          <w:p>
            <w:pPr>
              <w:spacing w:after="40"/>
            </w:pPr>
            <w:r>
              <w:rPr>
                <w:b w:val="false"/>
                <w:bCs w:val="false"/>
              </w:rPr>
              <w:t xml:space="preserve">Filtros e gráficos respondem de forma previsível</w:t>
            </w:r>
          </w:p>
        </w:tc>
        <w:tc>
          <w:tcPr>
            <w:tcW w:type="dxa" w:w="2000"/>
            <w:tcMar>
              <w:top w:type="dxa" w:w="60"/>
              <w:left w:type="dxa" w:w="100"/>
              <w:bottom w:type="dxa" w:w="60"/>
              <w:right w:type="dxa" w:w="100"/>
            </w:tcMar>
          </w:tcPr>
          <w:p>
            <w:pPr>
              <w:spacing w:after="40"/>
            </w:pPr>
            <w:r>
              <w:rPr>
                <w:b w:val="false"/>
                <w:bCs w:val="false"/>
              </w:rPr>
              <w:t xml:space="preserve">Nº de erros por sessão próximo de zero</w:t>
            </w:r>
          </w:p>
        </w:tc>
        <w:tc>
          <w:tcPr>
            <w:tcW w:type="dxa" w:w="2000"/>
            <w:tcMar>
              <w:top w:type="dxa" w:w="60"/>
              <w:left w:type="dxa" w:w="100"/>
              <w:bottom w:type="dxa" w:w="60"/>
              <w:right w:type="dxa" w:w="100"/>
            </w:tcMar>
          </w:tcPr>
          <w:p>
            <w:pPr>
              <w:spacing w:after="40"/>
            </w:pPr>
            <w:r>
              <w:rPr>
                <w:b w:val="false"/>
                <w:bCs w:val="false"/>
              </w:rPr>
              <w:t xml:space="preserve">Teste manual guiado</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Proteção contra erro do usuário</w:t>
            </w:r>
          </w:p>
        </w:tc>
        <w:tc>
          <w:tcPr>
            <w:tcW w:type="dxa" w:w="2800"/>
            <w:tcMar>
              <w:top w:type="dxa" w:w="60"/>
              <w:left w:type="dxa" w:w="100"/>
              <w:bottom w:type="dxa" w:w="60"/>
              <w:right w:type="dxa" w:w="100"/>
            </w:tcMar>
          </w:tcPr>
          <w:p>
            <w:pPr>
              <w:spacing w:after="40"/>
            </w:pPr>
            <w:r>
              <w:rPr>
                <w:b w:val="false"/>
                <w:bCs w:val="false"/>
              </w:rPr>
              <w:t xml:space="preserve">Filtro com intervalo inválido não gera requisição quebrada (RF001)</w:t>
            </w:r>
          </w:p>
        </w:tc>
        <w:tc>
          <w:tcPr>
            <w:tcW w:type="dxa" w:w="2000"/>
            <w:tcMar>
              <w:top w:type="dxa" w:w="60"/>
              <w:left w:type="dxa" w:w="100"/>
              <w:bottom w:type="dxa" w:w="60"/>
              <w:right w:type="dxa" w:w="100"/>
            </w:tcMar>
          </w:tcPr>
          <w:p>
            <w:pPr>
              <w:spacing w:after="40"/>
            </w:pPr>
            <w:r>
              <w:rPr>
                <w:b w:val="false"/>
                <w:bCs w:val="false"/>
              </w:rPr>
              <w:t xml:space="preserve">Validação client-side impede submit inválido</w:t>
            </w:r>
          </w:p>
        </w:tc>
        <w:tc>
          <w:tcPr>
            <w:tcW w:type="dxa" w:w="2000"/>
            <w:tcMar>
              <w:top w:type="dxa" w:w="60"/>
              <w:left w:type="dxa" w:w="100"/>
              <w:bottom w:type="dxa" w:w="60"/>
              <w:right w:type="dxa" w:w="100"/>
            </w:tcMar>
          </w:tcPr>
          <w:p>
            <w:pPr>
              <w:spacing w:after="40"/>
            </w:pPr>
            <w:r>
              <w:rPr>
                <w:b w:val="false"/>
                <w:bCs w:val="false"/>
              </w:rPr>
              <w:t xml:space="preserve">Teste de caso de borda</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Engajamento do usuário</w:t>
            </w:r>
          </w:p>
        </w:tc>
        <w:tc>
          <w:tcPr>
            <w:tcW w:type="dxa" w:w="2800"/>
            <w:tcMar>
              <w:top w:type="dxa" w:w="60"/>
              <w:left w:type="dxa" w:w="100"/>
              <w:bottom w:type="dxa" w:w="60"/>
              <w:right w:type="dxa" w:w="100"/>
            </w:tcMar>
          </w:tcPr>
          <w:p>
            <w:pPr>
              <w:spacing w:after="40"/>
            </w:pPr>
            <w:r>
              <w:rPr>
                <w:b w:val="false"/>
                <w:bCs w:val="false"/>
              </w:rPr>
              <w:t xml:space="preserve">Visual do dashboard não afasta o usuário leigo</w:t>
            </w:r>
          </w:p>
        </w:tc>
        <w:tc>
          <w:tcPr>
            <w:tcW w:type="dxa" w:w="2000"/>
            <w:tcMar>
              <w:top w:type="dxa" w:w="60"/>
              <w:left w:type="dxa" w:w="100"/>
              <w:bottom w:type="dxa" w:w="60"/>
              <w:right w:type="dxa" w:w="100"/>
            </w:tcMar>
          </w:tcPr>
          <w:p>
            <w:pPr>
              <w:spacing w:after="40"/>
            </w:pPr>
            <w:r>
              <w:rPr>
                <w:b w:val="false"/>
                <w:bCs w:val="false"/>
              </w:rPr>
              <w:t xml:space="preserve">Feedback qualitativo positivo</w:t>
            </w:r>
          </w:p>
        </w:tc>
        <w:tc>
          <w:tcPr>
            <w:tcW w:type="dxa" w:w="2000"/>
            <w:tcMar>
              <w:top w:type="dxa" w:w="60"/>
              <w:left w:type="dxa" w:w="100"/>
              <w:bottom w:type="dxa" w:w="60"/>
              <w:right w:type="dxa" w:w="100"/>
            </w:tcMar>
          </w:tcPr>
          <w:p>
            <w:pPr>
              <w:spacing w:after="40"/>
            </w:pPr>
            <w:r>
              <w:rPr>
                <w:b w:val="false"/>
                <w:bCs w:val="false"/>
              </w:rPr>
              <w:t xml:space="preserve">Pesquisa curta pós-uso</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Inclusividade</w:t>
            </w:r>
          </w:p>
        </w:tc>
        <w:tc>
          <w:tcPr>
            <w:tcW w:type="dxa" w:w="2800"/>
            <w:tcMar>
              <w:top w:type="dxa" w:w="60"/>
              <w:left w:type="dxa" w:w="100"/>
              <w:bottom w:type="dxa" w:w="60"/>
              <w:right w:type="dxa" w:w="100"/>
            </w:tcMar>
          </w:tcPr>
          <w:p>
            <w:pPr>
              <w:spacing w:after="40"/>
            </w:pPr>
            <w:r>
              <w:rPr>
                <w:b w:val="false"/>
                <w:bCs w:val="false"/>
              </w:rPr>
              <w:t xml:space="preserve">Linguagem simples, contraste visual adequado</w:t>
            </w:r>
          </w:p>
        </w:tc>
        <w:tc>
          <w:tcPr>
            <w:tcW w:type="dxa" w:w="2000"/>
            <w:tcMar>
              <w:top w:type="dxa" w:w="60"/>
              <w:left w:type="dxa" w:w="100"/>
              <w:bottom w:type="dxa" w:w="60"/>
              <w:right w:type="dxa" w:w="100"/>
            </w:tcMar>
          </w:tcPr>
          <w:p>
            <w:pPr>
              <w:spacing w:after="40"/>
            </w:pPr>
            <w:r>
              <w:rPr>
                <w:b w:val="false"/>
                <w:bCs w:val="false"/>
              </w:rPr>
              <w:t xml:space="preserve">Rótulos sem jargão técnico</w:t>
            </w:r>
          </w:p>
        </w:tc>
        <w:tc>
          <w:tcPr>
            <w:tcW w:type="dxa" w:w="2000"/>
            <w:tcMar>
              <w:top w:type="dxa" w:w="60"/>
              <w:left w:type="dxa" w:w="100"/>
              <w:bottom w:type="dxa" w:w="60"/>
              <w:right w:type="dxa" w:w="100"/>
            </w:tcMar>
          </w:tcPr>
          <w:p>
            <w:pPr>
              <w:spacing w:after="40"/>
            </w:pPr>
            <w:r>
              <w:rPr>
                <w:b w:val="false"/>
                <w:bCs w:val="false"/>
              </w:rPr>
              <w:t xml:space="preserve">Checklist de acessibilidade</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Assistência ao usuário</w:t>
            </w:r>
          </w:p>
        </w:tc>
        <w:tc>
          <w:tcPr>
            <w:tcW w:type="dxa" w:w="2800"/>
            <w:tcMar>
              <w:top w:type="dxa" w:w="60"/>
              <w:left w:type="dxa" w:w="100"/>
              <w:bottom w:type="dxa" w:w="60"/>
              <w:right w:type="dxa" w:w="100"/>
            </w:tcMar>
          </w:tcPr>
          <w:p>
            <w:pPr>
              <w:spacing w:after="40"/>
            </w:pPr>
            <w:r>
              <w:rPr>
                <w:b w:val="false"/>
                <w:bCs w:val="false"/>
              </w:rPr>
              <w:t xml:space="preserve">Mensagens de erro explicam o que fazer</w:t>
            </w:r>
          </w:p>
        </w:tc>
        <w:tc>
          <w:tcPr>
            <w:tcW w:type="dxa" w:w="2000"/>
            <w:tcMar>
              <w:top w:type="dxa" w:w="60"/>
              <w:left w:type="dxa" w:w="100"/>
              <w:bottom w:type="dxa" w:w="60"/>
              <w:right w:type="dxa" w:w="100"/>
            </w:tcMar>
          </w:tcPr>
          <w:p>
            <w:pPr>
              <w:spacing w:after="40"/>
            </w:pPr>
            <w:r>
              <w:rPr>
                <w:b w:val="false"/>
                <w:bCs w:val="false"/>
              </w:rPr>
              <w:t xml:space="preserve">Toda mensagem contém ação sugerida</w:t>
            </w:r>
          </w:p>
        </w:tc>
        <w:tc>
          <w:tcPr>
            <w:tcW w:type="dxa" w:w="2000"/>
            <w:tcMar>
              <w:top w:type="dxa" w:w="60"/>
              <w:left w:type="dxa" w:w="100"/>
              <w:bottom w:type="dxa" w:w="60"/>
              <w:right w:type="dxa" w:w="100"/>
            </w:tcMar>
          </w:tcPr>
          <w:p>
            <w:pPr>
              <w:spacing w:after="40"/>
            </w:pPr>
            <w:r>
              <w:rPr>
                <w:b w:val="false"/>
                <w:bCs w:val="false"/>
              </w:rPr>
              <w:t xml:space="preserve">Revisão de UX writing</w:t>
            </w:r>
          </w:p>
        </w:tc>
      </w:tr>
      <w:tr>
        <w:tc>
          <w:tcPr>
            <w:tcW w:type="dxa" w:w="1600"/>
            <w:tcMar>
              <w:top w:type="dxa" w:w="60"/>
              <w:left w:type="dxa" w:w="100"/>
              <w:bottom w:type="dxa" w:w="60"/>
              <w:right w:type="dxa" w:w="100"/>
            </w:tcMar>
          </w:tcPr>
          <w:p>
            <w:pPr>
              <w:spacing w:after="40"/>
            </w:pPr>
            <w:r>
              <w:rPr>
                <w:b w:val="false"/>
                <w:bCs w:val="false"/>
              </w:rPr>
              <w:t xml:space="preserve">Capacidade de Interação</w:t>
            </w:r>
          </w:p>
        </w:tc>
        <w:tc>
          <w:tcPr>
            <w:tcW w:type="dxa" w:w="1800"/>
            <w:tcMar>
              <w:top w:type="dxa" w:w="60"/>
              <w:left w:type="dxa" w:w="100"/>
              <w:bottom w:type="dxa" w:w="60"/>
              <w:right w:type="dxa" w:w="100"/>
            </w:tcMar>
          </w:tcPr>
          <w:p>
            <w:pPr>
              <w:spacing w:after="40"/>
            </w:pPr>
            <w:r>
              <w:rPr>
                <w:b w:val="false"/>
                <w:bCs w:val="false"/>
              </w:rPr>
              <w:t xml:space="preserve">Autodescritividade</w:t>
            </w:r>
          </w:p>
        </w:tc>
        <w:tc>
          <w:tcPr>
            <w:tcW w:type="dxa" w:w="2800"/>
            <w:tcMar>
              <w:top w:type="dxa" w:w="60"/>
              <w:left w:type="dxa" w:w="100"/>
              <w:bottom w:type="dxa" w:w="60"/>
              <w:right w:type="dxa" w:w="100"/>
            </w:tcMar>
          </w:tcPr>
          <w:p>
            <w:pPr>
              <w:spacing w:after="40"/>
            </w:pPr>
            <w:r>
              <w:rPr>
                <w:b w:val="false"/>
                <w:bCs w:val="false"/>
              </w:rPr>
              <w:t xml:space="preserve">Todo gráfico se explica sozinho</w:t>
            </w:r>
          </w:p>
        </w:tc>
        <w:tc>
          <w:tcPr>
            <w:tcW w:type="dxa" w:w="2000"/>
            <w:tcMar>
              <w:top w:type="dxa" w:w="60"/>
              <w:left w:type="dxa" w:w="100"/>
              <w:bottom w:type="dxa" w:w="60"/>
              <w:right w:type="dxa" w:w="100"/>
            </w:tcMar>
          </w:tcPr>
          <w:p>
            <w:pPr>
              <w:spacing w:after="40"/>
            </w:pPr>
            <w:r>
              <w:rPr>
                <w:b w:val="false"/>
                <w:bCs w:val="false"/>
              </w:rPr>
              <w:t xml:space="preserve">Nenhum gráfico sem título/legenda</w:t>
            </w:r>
          </w:p>
        </w:tc>
        <w:tc>
          <w:tcPr>
            <w:tcW w:type="dxa" w:w="2000"/>
            <w:tcMar>
              <w:top w:type="dxa" w:w="60"/>
              <w:left w:type="dxa" w:w="100"/>
              <w:bottom w:type="dxa" w:w="60"/>
              <w:right w:type="dxa" w:w="100"/>
            </w:tcMar>
          </w:tcPr>
          <w:p>
            <w:pPr>
              <w:spacing w:after="40"/>
            </w:pPr>
            <w:r>
              <w:rPr>
                <w:b w:val="false"/>
                <w:bCs w:val="false"/>
              </w:rPr>
              <w:t xml:space="preserve">Checklist visual</w:t>
            </w:r>
          </w:p>
        </w:tc>
      </w:tr>
      <w:tr>
        <w:tc>
          <w:tcPr>
            <w:tcW w:type="dxa" w:w="1600"/>
            <w:tcMar>
              <w:top w:type="dxa" w:w="60"/>
              <w:left w:type="dxa" w:w="100"/>
              <w:bottom w:type="dxa" w:w="60"/>
              <w:right w:type="dxa" w:w="100"/>
            </w:tcMar>
          </w:tcPr>
          <w:p>
            <w:pPr>
              <w:spacing w:after="40"/>
            </w:pPr>
            <w:r>
              <w:rPr>
                <w:b w:val="false"/>
                <w:bCs w:val="false"/>
              </w:rPr>
              <w:t xml:space="preserve">Confiabilidade</w:t>
            </w:r>
          </w:p>
        </w:tc>
        <w:tc>
          <w:tcPr>
            <w:tcW w:type="dxa" w:w="1800"/>
            <w:tcMar>
              <w:top w:type="dxa" w:w="60"/>
              <w:left w:type="dxa" w:w="100"/>
              <w:bottom w:type="dxa" w:w="60"/>
              <w:right w:type="dxa" w:w="100"/>
            </w:tcMar>
          </w:tcPr>
          <w:p>
            <w:pPr>
              <w:spacing w:after="40"/>
            </w:pPr>
            <w:r>
              <w:rPr>
                <w:b w:val="false"/>
                <w:bCs w:val="false"/>
              </w:rPr>
              <w:t xml:space="preserve">Ausência de falhas</w:t>
            </w:r>
          </w:p>
        </w:tc>
        <w:tc>
          <w:tcPr>
            <w:tcW w:type="dxa" w:w="2800"/>
            <w:tcMar>
              <w:top w:type="dxa" w:w="60"/>
              <w:left w:type="dxa" w:w="100"/>
              <w:bottom w:type="dxa" w:w="60"/>
              <w:right w:type="dxa" w:w="100"/>
            </w:tcMar>
          </w:tcPr>
          <w:p>
            <w:pPr>
              <w:spacing w:after="40"/>
            </w:pPr>
            <w:r>
              <w:rPr>
                <w:b w:val="false"/>
                <w:bCs w:val="false"/>
              </w:rPr>
              <w:t xml:space="preserve">Sistema não apresenta falha sob uso normal</w:t>
            </w:r>
          </w:p>
        </w:tc>
        <w:tc>
          <w:tcPr>
            <w:tcW w:type="dxa" w:w="2000"/>
            <w:tcMar>
              <w:top w:type="dxa" w:w="60"/>
              <w:left w:type="dxa" w:w="100"/>
              <w:bottom w:type="dxa" w:w="60"/>
              <w:right w:type="dxa" w:w="100"/>
            </w:tcMar>
          </w:tcPr>
          <w:p>
            <w:pPr>
              <w:spacing w:after="40"/>
            </w:pPr>
            <w:r>
              <w:rPr>
                <w:b w:val="false"/>
                <w:bCs w:val="false"/>
              </w:rPr>
              <w:t xml:space="preserve">Nº de falhas por sessão dentro do tolerável</w:t>
            </w:r>
          </w:p>
        </w:tc>
        <w:tc>
          <w:tcPr>
            <w:tcW w:type="dxa" w:w="2000"/>
            <w:tcMar>
              <w:top w:type="dxa" w:w="60"/>
              <w:left w:type="dxa" w:w="100"/>
              <w:bottom w:type="dxa" w:w="60"/>
              <w:right w:type="dxa" w:w="100"/>
            </w:tcMar>
          </w:tcPr>
          <w:p>
            <w:pPr>
              <w:spacing w:after="40"/>
            </w:pPr>
            <w:r>
              <w:rPr>
                <w:b w:val="false"/>
                <w:bCs w:val="false"/>
              </w:rPr>
              <w:t xml:space="preserve">Teste funcional (Pytest)</w:t>
            </w:r>
          </w:p>
        </w:tc>
      </w:tr>
      <w:tr>
        <w:tc>
          <w:tcPr>
            <w:tcW w:type="dxa" w:w="1600"/>
            <w:tcMar>
              <w:top w:type="dxa" w:w="60"/>
              <w:left w:type="dxa" w:w="100"/>
              <w:bottom w:type="dxa" w:w="60"/>
              <w:right w:type="dxa" w:w="100"/>
            </w:tcMar>
          </w:tcPr>
          <w:p>
            <w:pPr>
              <w:spacing w:after="40"/>
            </w:pPr>
            <w:r>
              <w:rPr>
                <w:b w:val="false"/>
                <w:bCs w:val="false"/>
              </w:rPr>
              <w:t xml:space="preserve">Confiabilidade</w:t>
            </w:r>
          </w:p>
        </w:tc>
        <w:tc>
          <w:tcPr>
            <w:tcW w:type="dxa" w:w="1800"/>
            <w:tcMar>
              <w:top w:type="dxa" w:w="60"/>
              <w:left w:type="dxa" w:w="100"/>
              <w:bottom w:type="dxa" w:w="60"/>
              <w:right w:type="dxa" w:w="100"/>
            </w:tcMar>
          </w:tcPr>
          <w:p>
            <w:pPr>
              <w:spacing w:after="40"/>
            </w:pPr>
            <w:r>
              <w:rPr>
                <w:b w:val="false"/>
                <w:bCs w:val="false"/>
              </w:rPr>
              <w:t xml:space="preserve">Disponibilidade</w:t>
            </w:r>
          </w:p>
        </w:tc>
        <w:tc>
          <w:tcPr>
            <w:tcW w:type="dxa" w:w="2800"/>
            <w:tcMar>
              <w:top w:type="dxa" w:w="60"/>
              <w:left w:type="dxa" w:w="100"/>
              <w:bottom w:type="dxa" w:w="60"/>
              <w:right w:type="dxa" w:w="100"/>
            </w:tcMar>
          </w:tcPr>
          <w:p>
            <w:pPr>
              <w:spacing w:after="40"/>
            </w:pPr>
            <w:r>
              <w:rPr>
                <w:b w:val="false"/>
                <w:bCs w:val="false"/>
              </w:rPr>
              <w:t xml:space="preserve">Meta de uptime em ambiente de teste</w:t>
            </w:r>
          </w:p>
        </w:tc>
        <w:tc>
          <w:tcPr>
            <w:tcW w:type="dxa" w:w="2000"/>
            <w:tcMar>
              <w:top w:type="dxa" w:w="60"/>
              <w:left w:type="dxa" w:w="100"/>
              <w:bottom w:type="dxa" w:w="60"/>
              <w:right w:type="dxa" w:w="100"/>
            </w:tcMar>
          </w:tcPr>
          <w:p>
            <w:pPr>
              <w:spacing w:after="40"/>
            </w:pPr>
            <w:r>
              <w:rPr>
                <w:b w:val="false"/>
                <w:bCs w:val="false"/>
              </w:rPr>
              <w:t xml:space="preserve">Uptime ≥ 95% (meta provisória)</w:t>
            </w:r>
          </w:p>
        </w:tc>
        <w:tc>
          <w:tcPr>
            <w:tcW w:type="dxa" w:w="2000"/>
            <w:tcMar>
              <w:top w:type="dxa" w:w="60"/>
              <w:left w:type="dxa" w:w="100"/>
              <w:bottom w:type="dxa" w:w="60"/>
              <w:right w:type="dxa" w:w="100"/>
            </w:tcMar>
          </w:tcPr>
          <w:p>
            <w:pPr>
              <w:spacing w:after="40"/>
            </w:pPr>
            <w:r>
              <w:rPr>
                <w:b w:val="false"/>
                <w:bCs w:val="false"/>
              </w:rPr>
              <w:t xml:space="preserve">Monitoramento básico na AWS</w:t>
            </w:r>
          </w:p>
        </w:tc>
      </w:tr>
      <w:tr>
        <w:tc>
          <w:tcPr>
            <w:tcW w:type="dxa" w:w="1600"/>
            <w:tcMar>
              <w:top w:type="dxa" w:w="60"/>
              <w:left w:type="dxa" w:w="100"/>
              <w:bottom w:type="dxa" w:w="60"/>
              <w:right w:type="dxa" w:w="100"/>
            </w:tcMar>
          </w:tcPr>
          <w:p>
            <w:pPr>
              <w:spacing w:after="40"/>
            </w:pPr>
            <w:r>
              <w:rPr>
                <w:b w:val="false"/>
                <w:bCs w:val="false"/>
              </w:rPr>
              <w:t xml:space="preserve">Confiabilidade</w:t>
            </w:r>
          </w:p>
        </w:tc>
        <w:tc>
          <w:tcPr>
            <w:tcW w:type="dxa" w:w="1800"/>
            <w:tcMar>
              <w:top w:type="dxa" w:w="60"/>
              <w:left w:type="dxa" w:w="100"/>
              <w:bottom w:type="dxa" w:w="60"/>
              <w:right w:type="dxa" w:w="100"/>
            </w:tcMar>
          </w:tcPr>
          <w:p>
            <w:pPr>
              <w:spacing w:after="40"/>
            </w:pPr>
            <w:r>
              <w:rPr>
                <w:b w:val="false"/>
                <w:bCs w:val="false"/>
              </w:rPr>
              <w:t xml:space="preserve">Tolerância a falhas</w:t>
            </w:r>
          </w:p>
        </w:tc>
        <w:tc>
          <w:tcPr>
            <w:tcW w:type="dxa" w:w="2800"/>
            <w:tcMar>
              <w:top w:type="dxa" w:w="60"/>
              <w:left w:type="dxa" w:w="100"/>
              <w:bottom w:type="dxa" w:w="60"/>
              <w:right w:type="dxa" w:w="100"/>
            </w:tcMar>
          </w:tcPr>
          <w:p>
            <w:pPr>
              <w:spacing w:after="40"/>
            </w:pPr>
            <w:r>
              <w:rPr>
                <w:b w:val="false"/>
                <w:bCs w:val="false"/>
              </w:rPr>
              <w:t xml:space="preserve">Falha no módulo preditivo não interrompe RF001</w:t>
            </w:r>
          </w:p>
        </w:tc>
        <w:tc>
          <w:tcPr>
            <w:tcW w:type="dxa" w:w="2000"/>
            <w:tcMar>
              <w:top w:type="dxa" w:w="60"/>
              <w:left w:type="dxa" w:w="100"/>
              <w:bottom w:type="dxa" w:w="60"/>
              <w:right w:type="dxa" w:w="100"/>
            </w:tcMar>
          </w:tcPr>
          <w:p>
            <w:pPr>
              <w:spacing w:after="40"/>
            </w:pPr>
            <w:r>
              <w:rPr>
                <w:b w:val="false"/>
                <w:bCs w:val="false"/>
              </w:rPr>
              <w:t xml:space="preserve">Cenário de falha simulada não afeta RF001</w:t>
            </w:r>
          </w:p>
        </w:tc>
        <w:tc>
          <w:tcPr>
            <w:tcW w:type="dxa" w:w="2000"/>
            <w:tcMar>
              <w:top w:type="dxa" w:w="60"/>
              <w:left w:type="dxa" w:w="100"/>
              <w:bottom w:type="dxa" w:w="60"/>
              <w:right w:type="dxa" w:w="100"/>
            </w:tcMar>
          </w:tcPr>
          <w:p>
            <w:pPr>
              <w:spacing w:after="40"/>
            </w:pPr>
            <w:r>
              <w:rPr>
                <w:b w:val="false"/>
                <w:bCs w:val="false"/>
              </w:rPr>
              <w:t xml:space="preserve">Teste de cenário de falha</w:t>
            </w:r>
          </w:p>
        </w:tc>
      </w:tr>
      <w:tr>
        <w:tc>
          <w:tcPr>
            <w:tcW w:type="dxa" w:w="1600"/>
            <w:tcMar>
              <w:top w:type="dxa" w:w="60"/>
              <w:left w:type="dxa" w:w="100"/>
              <w:bottom w:type="dxa" w:w="60"/>
              <w:right w:type="dxa" w:w="100"/>
            </w:tcMar>
          </w:tcPr>
          <w:p>
            <w:pPr>
              <w:spacing w:after="40"/>
            </w:pPr>
            <w:r>
              <w:rPr>
                <w:b w:val="false"/>
                <w:bCs w:val="false"/>
              </w:rPr>
              <w:t xml:space="preserve">Confiabilidade</w:t>
            </w:r>
          </w:p>
        </w:tc>
        <w:tc>
          <w:tcPr>
            <w:tcW w:type="dxa" w:w="1800"/>
            <w:tcMar>
              <w:top w:type="dxa" w:w="60"/>
              <w:left w:type="dxa" w:w="100"/>
              <w:bottom w:type="dxa" w:w="60"/>
              <w:right w:type="dxa" w:w="100"/>
            </w:tcMar>
          </w:tcPr>
          <w:p>
            <w:pPr>
              <w:spacing w:after="40"/>
            </w:pPr>
            <w:r>
              <w:rPr>
                <w:b w:val="false"/>
                <w:bCs w:val="false"/>
              </w:rPr>
              <w:t xml:space="preserve">Capacidade de recuperação</w:t>
            </w:r>
          </w:p>
        </w:tc>
        <w:tc>
          <w:tcPr>
            <w:tcW w:type="dxa" w:w="2800"/>
            <w:tcMar>
              <w:top w:type="dxa" w:w="60"/>
              <w:left w:type="dxa" w:w="100"/>
              <w:bottom w:type="dxa" w:w="60"/>
              <w:right w:type="dxa" w:w="100"/>
            </w:tcMar>
          </w:tcPr>
          <w:p>
            <w:pPr>
              <w:spacing w:after="40"/>
            </w:pPr>
            <w:r>
              <w:rPr>
                <w:b w:val="false"/>
                <w:bCs w:val="false"/>
              </w:rPr>
              <w:t xml:space="preserve">Backups do RDS e S3 com frequência definida</w:t>
            </w:r>
          </w:p>
        </w:tc>
        <w:tc>
          <w:tcPr>
            <w:tcW w:type="dxa" w:w="2000"/>
            <w:tcMar>
              <w:top w:type="dxa" w:w="60"/>
              <w:left w:type="dxa" w:w="100"/>
              <w:bottom w:type="dxa" w:w="60"/>
              <w:right w:type="dxa" w:w="100"/>
            </w:tcMar>
          </w:tcPr>
          <w:p>
            <w:pPr>
              <w:spacing w:after="40"/>
            </w:pPr>
            <w:r>
              <w:rPr>
                <w:b w:val="false"/>
                <w:bCs w:val="false"/>
              </w:rPr>
              <w:t xml:space="preserve">Restauração testada com sucesso</w:t>
            </w:r>
          </w:p>
        </w:tc>
        <w:tc>
          <w:tcPr>
            <w:tcW w:type="dxa" w:w="2000"/>
            <w:tcMar>
              <w:top w:type="dxa" w:w="60"/>
              <w:left w:type="dxa" w:w="100"/>
              <w:bottom w:type="dxa" w:w="60"/>
              <w:right w:type="dxa" w:w="100"/>
            </w:tcMar>
          </w:tcPr>
          <w:p>
            <w:pPr>
              <w:spacing w:after="40"/>
            </w:pPr>
            <w:r>
              <w:rPr>
                <w:b w:val="false"/>
                <w:bCs w:val="false"/>
              </w:rPr>
              <w:t xml:space="preserve">Simulação de restore — ver 8.13 na Seção 5</w:t>
            </w:r>
          </w:p>
        </w:tc>
      </w:tr>
      <w:tr>
        <w:tc>
          <w:tcPr>
            <w:tcW w:type="dxa" w:w="1600"/>
            <w:tcMar>
              <w:top w:type="dxa" w:w="60"/>
              <w:left w:type="dxa" w:w="100"/>
              <w:bottom w:type="dxa" w:w="60"/>
              <w:right w:type="dxa" w:w="100"/>
            </w:tcMar>
          </w:tcPr>
          <w:p>
            <w:pPr>
              <w:spacing w:after="40"/>
            </w:pPr>
            <w:r>
              <w:rPr>
                <w:b w:val="false"/>
                <w:bCs w:val="false"/>
              </w:rPr>
              <w:t xml:space="preserve">Segurança</w:t>
            </w:r>
          </w:p>
        </w:tc>
        <w:tc>
          <w:tcPr>
            <w:tcW w:type="dxa" w:w="1800"/>
            <w:tcMar>
              <w:top w:type="dxa" w:w="60"/>
              <w:left w:type="dxa" w:w="100"/>
              <w:bottom w:type="dxa" w:w="60"/>
              <w:right w:type="dxa" w:w="100"/>
            </w:tcMar>
          </w:tcPr>
          <w:p>
            <w:pPr>
              <w:spacing w:after="40"/>
            </w:pPr>
            <w:r>
              <w:rPr>
                <w:b w:val="false"/>
                <w:bCs w:val="false"/>
              </w:rPr>
              <w:t xml:space="preserve">Confidencialidade</w:t>
            </w:r>
          </w:p>
        </w:tc>
        <w:tc>
          <w:tcPr>
            <w:tcW w:type="dxa" w:w="2800"/>
            <w:tcMar>
              <w:top w:type="dxa" w:w="60"/>
              <w:left w:type="dxa" w:w="100"/>
              <w:bottom w:type="dxa" w:w="60"/>
              <w:right w:type="dxa" w:w="100"/>
            </w:tcMar>
          </w:tcPr>
          <w:p>
            <w:pPr>
              <w:spacing w:after="40"/>
            </w:pPr>
            <w:r>
              <w:rPr>
                <w:b w:val="false"/>
                <w:bCs w:val="false"/>
              </w:rPr>
              <w:t xml:space="preserve">Dados agregados por semana/localidade, sem registro individual identificável. Atenção (v4): NM_UN_INTE (unidade notificadora) identifica hospital, granularidade mais específica que bairro — ver ressalva na Seção 3 e Seção 4 deste anexo.</w:t>
            </w:r>
          </w:p>
        </w:tc>
        <w:tc>
          <w:tcPr>
            <w:tcW w:type="dxa" w:w="2000"/>
            <w:tcMar>
              <w:top w:type="dxa" w:w="60"/>
              <w:left w:type="dxa" w:w="100"/>
              <w:bottom w:type="dxa" w:w="60"/>
              <w:right w:type="dxa" w:w="100"/>
            </w:tcMar>
          </w:tcPr>
          <w:p>
            <w:pPr>
              <w:spacing w:after="40"/>
            </w:pPr>
            <w:r>
              <w:rPr>
                <w:b w:val="false"/>
                <w:bCs w:val="false"/>
              </w:rPr>
              <w:t xml:space="preserve">Nenhum campo sensível exposto pela API</w:t>
            </w:r>
          </w:p>
        </w:tc>
        <w:tc>
          <w:tcPr>
            <w:tcW w:type="dxa" w:w="2000"/>
            <w:tcMar>
              <w:top w:type="dxa" w:w="60"/>
              <w:left w:type="dxa" w:w="100"/>
              <w:bottom w:type="dxa" w:w="60"/>
              <w:right w:type="dxa" w:w="100"/>
            </w:tcMar>
          </w:tcPr>
          <w:p>
            <w:pPr>
              <w:spacing w:after="40"/>
            </w:pPr>
            <w:r>
              <w:rPr>
                <w:b w:val="false"/>
                <w:bCs w:val="false"/>
              </w:rPr>
              <w:t xml:space="preserve">Revisão do schema de resposta</w:t>
            </w:r>
          </w:p>
        </w:tc>
      </w:tr>
      <w:tr>
        <w:tc>
          <w:tcPr>
            <w:tcW w:type="dxa" w:w="1600"/>
            <w:tcMar>
              <w:top w:type="dxa" w:w="60"/>
              <w:left w:type="dxa" w:w="100"/>
              <w:bottom w:type="dxa" w:w="60"/>
              <w:right w:type="dxa" w:w="100"/>
            </w:tcMar>
          </w:tcPr>
          <w:p>
            <w:pPr>
              <w:spacing w:after="40"/>
            </w:pPr>
            <w:r>
              <w:rPr>
                <w:b w:val="false"/>
                <w:bCs w:val="false"/>
              </w:rPr>
              <w:t xml:space="preserve">Segurança</w:t>
            </w:r>
          </w:p>
        </w:tc>
        <w:tc>
          <w:tcPr>
            <w:tcW w:type="dxa" w:w="1800"/>
            <w:tcMar>
              <w:top w:type="dxa" w:w="60"/>
              <w:left w:type="dxa" w:w="100"/>
              <w:bottom w:type="dxa" w:w="60"/>
              <w:right w:type="dxa" w:w="100"/>
            </w:tcMar>
          </w:tcPr>
          <w:p>
            <w:pPr>
              <w:spacing w:after="40"/>
            </w:pPr>
            <w:r>
              <w:rPr>
                <w:b w:val="false"/>
                <w:bCs w:val="false"/>
              </w:rPr>
              <w:t xml:space="preserve">Integridade</w:t>
            </w:r>
          </w:p>
        </w:tc>
        <w:tc>
          <w:tcPr>
            <w:tcW w:type="dxa" w:w="2800"/>
            <w:tcMar>
              <w:top w:type="dxa" w:w="60"/>
              <w:left w:type="dxa" w:w="100"/>
              <w:bottom w:type="dxa" w:w="60"/>
              <w:right w:type="dxa" w:w="100"/>
            </w:tcMar>
          </w:tcPr>
          <w:p>
            <w:pPr>
              <w:spacing w:after="40"/>
            </w:pPr>
            <w:r>
              <w:rPr>
                <w:b w:val="false"/>
                <w:bCs w:val="false"/>
              </w:rPr>
              <w:t xml:space="preserve">Dado não é alterado indevidamente entre coleta, banco e dashboard</w:t>
            </w:r>
          </w:p>
        </w:tc>
        <w:tc>
          <w:tcPr>
            <w:tcW w:type="dxa" w:w="2000"/>
            <w:tcMar>
              <w:top w:type="dxa" w:w="60"/>
              <w:left w:type="dxa" w:w="100"/>
              <w:bottom w:type="dxa" w:w="60"/>
              <w:right w:type="dxa" w:w="100"/>
            </w:tcMar>
          </w:tcPr>
          <w:p>
            <w:pPr>
              <w:spacing w:after="40"/>
            </w:pPr>
            <w:r>
              <w:rPr>
                <w:b w:val="false"/>
                <w:bCs w:val="false"/>
              </w:rPr>
              <w:t xml:space="preserve">Validação em cada ponto de transição do ETL</w:t>
            </w:r>
          </w:p>
        </w:tc>
        <w:tc>
          <w:tcPr>
            <w:tcW w:type="dxa" w:w="2000"/>
            <w:tcMar>
              <w:top w:type="dxa" w:w="60"/>
              <w:left w:type="dxa" w:w="100"/>
              <w:bottom w:type="dxa" w:w="60"/>
              <w:right w:type="dxa" w:w="100"/>
            </w:tcMar>
          </w:tcPr>
          <w:p>
            <w:pPr>
              <w:spacing w:after="40"/>
            </w:pPr>
            <w:r>
              <w:rPr>
                <w:b w:val="false"/>
                <w:bCs w:val="false"/>
              </w:rPr>
              <w:t xml:space="preserve">Auditoria do pipeline ETL</w:t>
            </w:r>
          </w:p>
        </w:tc>
      </w:tr>
      <w:tr>
        <w:tc>
          <w:tcPr>
            <w:tcW w:type="dxa" w:w="1600"/>
            <w:tcMar>
              <w:top w:type="dxa" w:w="60"/>
              <w:left w:type="dxa" w:w="100"/>
              <w:bottom w:type="dxa" w:w="60"/>
              <w:right w:type="dxa" w:w="100"/>
            </w:tcMar>
          </w:tcPr>
          <w:p>
            <w:pPr>
              <w:spacing w:after="40"/>
            </w:pPr>
            <w:r>
              <w:rPr>
                <w:b w:val="false"/>
                <w:bCs w:val="false"/>
              </w:rPr>
              <w:t xml:space="preserve">Segurança</w:t>
            </w:r>
          </w:p>
        </w:tc>
        <w:tc>
          <w:tcPr>
            <w:tcW w:type="dxa" w:w="1800"/>
            <w:tcMar>
              <w:top w:type="dxa" w:w="60"/>
              <w:left w:type="dxa" w:w="100"/>
              <w:bottom w:type="dxa" w:w="60"/>
              <w:right w:type="dxa" w:w="100"/>
            </w:tcMar>
          </w:tcPr>
          <w:p>
            <w:pPr>
              <w:spacing w:after="40"/>
            </w:pPr>
            <w:r>
              <w:rPr>
                <w:b w:val="false"/>
                <w:bCs w:val="false"/>
              </w:rPr>
              <w:t xml:space="preserve">Responsabilização</w:t>
            </w:r>
          </w:p>
        </w:tc>
        <w:tc>
          <w:tcPr>
            <w:tcW w:type="dxa" w:w="2800"/>
            <w:tcMar>
              <w:top w:type="dxa" w:w="60"/>
              <w:left w:type="dxa" w:w="100"/>
              <w:bottom w:type="dxa" w:w="60"/>
              <w:right w:type="dxa" w:w="100"/>
            </w:tcMar>
          </w:tcPr>
          <w:p>
            <w:pPr>
              <w:spacing w:after="40"/>
            </w:pPr>
            <w:r>
              <w:rPr>
                <w:b w:val="false"/>
                <w:bCs w:val="false"/>
              </w:rPr>
              <w:t xml:space="preserve">Toda ação de escrita no banco é atribuível a uma origem</w:t>
            </w:r>
          </w:p>
        </w:tc>
        <w:tc>
          <w:tcPr>
            <w:tcW w:type="dxa" w:w="2000"/>
            <w:tcMar>
              <w:top w:type="dxa" w:w="60"/>
              <w:left w:type="dxa" w:w="100"/>
              <w:bottom w:type="dxa" w:w="60"/>
              <w:right w:type="dxa" w:w="100"/>
            </w:tcMar>
          </w:tcPr>
          <w:p>
            <w:pPr>
              <w:spacing w:after="40"/>
            </w:pPr>
            <w:r>
              <w:rPr>
                <w:b w:val="false"/>
                <w:bCs w:val="false"/>
              </w:rPr>
              <w:t xml:space="preserve">Tabelas fonte_dados/arquivo_dados/log_processamento preenchidas</w:t>
            </w:r>
          </w:p>
        </w:tc>
        <w:tc>
          <w:tcPr>
            <w:tcW w:type="dxa" w:w="2000"/>
            <w:tcMar>
              <w:top w:type="dxa" w:w="60"/>
              <w:left w:type="dxa" w:w="100"/>
              <w:bottom w:type="dxa" w:w="60"/>
              <w:right w:type="dxa" w:w="100"/>
            </w:tcMar>
          </w:tcPr>
          <w:p>
            <w:pPr>
              <w:spacing w:after="40"/>
            </w:pPr>
            <w:r>
              <w:rPr>
                <w:b w:val="false"/>
                <w:bCs w:val="false"/>
              </w:rPr>
              <w:t xml:space="preserve">Auditoria dos registros</w:t>
            </w:r>
          </w:p>
        </w:tc>
      </w:tr>
      <w:tr>
        <w:tc>
          <w:tcPr>
            <w:tcW w:type="dxa" w:w="1600"/>
            <w:tcMar>
              <w:top w:type="dxa" w:w="60"/>
              <w:left w:type="dxa" w:w="100"/>
              <w:bottom w:type="dxa" w:w="60"/>
              <w:right w:type="dxa" w:w="100"/>
            </w:tcMar>
          </w:tcPr>
          <w:p>
            <w:pPr>
              <w:spacing w:after="40"/>
            </w:pPr>
            <w:r>
              <w:rPr>
                <w:b w:val="false"/>
                <w:bCs w:val="false"/>
              </w:rPr>
              <w:t xml:space="preserve">Segurança</w:t>
            </w:r>
          </w:p>
        </w:tc>
        <w:tc>
          <w:tcPr>
            <w:tcW w:type="dxa" w:w="1800"/>
            <w:tcMar>
              <w:top w:type="dxa" w:w="60"/>
              <w:left w:type="dxa" w:w="100"/>
              <w:bottom w:type="dxa" w:w="60"/>
              <w:right w:type="dxa" w:w="100"/>
            </w:tcMar>
          </w:tcPr>
          <w:p>
            <w:pPr>
              <w:spacing w:after="40"/>
            </w:pPr>
            <w:r>
              <w:rPr>
                <w:b w:val="false"/>
                <w:bCs w:val="false"/>
              </w:rPr>
              <w:t xml:space="preserve">Autenticidade</w:t>
            </w:r>
          </w:p>
        </w:tc>
        <w:tc>
          <w:tcPr>
            <w:tcW w:type="dxa" w:w="2800"/>
            <w:tcMar>
              <w:top w:type="dxa" w:w="60"/>
              <w:left w:type="dxa" w:w="100"/>
              <w:bottom w:type="dxa" w:w="60"/>
              <w:right w:type="dxa" w:w="100"/>
            </w:tcMar>
          </w:tcPr>
          <w:p>
            <w:pPr>
              <w:spacing w:after="40"/>
            </w:pPr>
            <w:r>
              <w:rPr>
                <w:b w:val="false"/>
                <w:bCs w:val="false"/>
              </w:rPr>
              <w:t xml:space="preserve">Rotas administrativas exigem identificação de quem acessa</w:t>
            </w:r>
          </w:p>
        </w:tc>
        <w:tc>
          <w:tcPr>
            <w:tcW w:type="dxa" w:w="2000"/>
            <w:tcMar>
              <w:top w:type="dxa" w:w="60"/>
              <w:left w:type="dxa" w:w="100"/>
              <w:bottom w:type="dxa" w:w="60"/>
              <w:right w:type="dxa" w:w="100"/>
            </w:tcMar>
          </w:tcPr>
          <w:p>
            <w:pPr>
              <w:spacing w:after="40"/>
            </w:pPr>
            <w:r>
              <w:rPr>
                <w:b w:val="false"/>
                <w:bCs w:val="false"/>
              </w:rPr>
              <w:t xml:space="preserve">Autenticação nas rotas não públicas</w:t>
            </w:r>
          </w:p>
        </w:tc>
        <w:tc>
          <w:tcPr>
            <w:tcW w:type="dxa" w:w="2000"/>
            <w:tcMar>
              <w:top w:type="dxa" w:w="60"/>
              <w:left w:type="dxa" w:w="100"/>
              <w:bottom w:type="dxa" w:w="60"/>
              <w:right w:type="dxa" w:w="100"/>
            </w:tcMar>
          </w:tcPr>
          <w:p>
            <w:pPr>
              <w:spacing w:after="40"/>
            </w:pPr>
            <w:r>
              <w:rPr>
                <w:b w:val="false"/>
                <w:bCs w:val="false"/>
              </w:rPr>
              <w:t xml:space="preserve">Teste de autorização — ver 8.5 na Seção 5</w:t>
            </w:r>
          </w:p>
        </w:tc>
      </w:tr>
      <w:tr>
        <w:tc>
          <w:tcPr>
            <w:tcW w:type="dxa" w:w="1600"/>
            <w:tcMar>
              <w:top w:type="dxa" w:w="60"/>
              <w:left w:type="dxa" w:w="100"/>
              <w:bottom w:type="dxa" w:w="60"/>
              <w:right w:type="dxa" w:w="100"/>
            </w:tcMar>
          </w:tcPr>
          <w:p>
            <w:pPr>
              <w:spacing w:after="40"/>
            </w:pPr>
            <w:r>
              <w:rPr>
                <w:b w:val="false"/>
                <w:bCs w:val="false"/>
              </w:rPr>
              <w:t xml:space="preserve">Segurança</w:t>
            </w:r>
          </w:p>
        </w:tc>
        <w:tc>
          <w:tcPr>
            <w:tcW w:type="dxa" w:w="1800"/>
            <w:tcMar>
              <w:top w:type="dxa" w:w="60"/>
              <w:left w:type="dxa" w:w="100"/>
              <w:bottom w:type="dxa" w:w="60"/>
              <w:right w:type="dxa" w:w="100"/>
            </w:tcMar>
          </w:tcPr>
          <w:p>
            <w:pPr>
              <w:spacing w:after="40"/>
            </w:pPr>
            <w:r>
              <w:rPr>
                <w:b w:val="false"/>
                <w:bCs w:val="false"/>
              </w:rPr>
              <w:t xml:space="preserve">Resistência</w:t>
            </w:r>
          </w:p>
        </w:tc>
        <w:tc>
          <w:tcPr>
            <w:tcW w:type="dxa" w:w="2800"/>
            <w:tcMar>
              <w:top w:type="dxa" w:w="60"/>
              <w:left w:type="dxa" w:w="100"/>
              <w:bottom w:type="dxa" w:w="60"/>
              <w:right w:type="dxa" w:w="100"/>
            </w:tcMar>
          </w:tcPr>
          <w:p>
            <w:pPr>
              <w:spacing w:after="40"/>
            </w:pPr>
            <w:r>
              <w:rPr>
                <w:b w:val="false"/>
                <w:bCs w:val="false"/>
              </w:rPr>
              <w:t xml:space="preserve">API resiste a requisições malformadas ou abusivas</w:t>
            </w:r>
          </w:p>
        </w:tc>
        <w:tc>
          <w:tcPr>
            <w:tcW w:type="dxa" w:w="2000"/>
            <w:tcMar>
              <w:top w:type="dxa" w:w="60"/>
              <w:left w:type="dxa" w:w="100"/>
              <w:bottom w:type="dxa" w:w="60"/>
              <w:right w:type="dxa" w:w="100"/>
            </w:tcMar>
          </w:tcPr>
          <w:p>
            <w:pPr>
              <w:spacing w:after="40"/>
            </w:pPr>
            <w:r>
              <w:rPr>
                <w:b w:val="false"/>
                <w:bCs w:val="false"/>
              </w:rPr>
              <w:t xml:space="preserve">Rate limiting e sanitização de input</w:t>
            </w:r>
          </w:p>
        </w:tc>
        <w:tc>
          <w:tcPr>
            <w:tcW w:type="dxa" w:w="2000"/>
            <w:tcMar>
              <w:top w:type="dxa" w:w="60"/>
              <w:left w:type="dxa" w:w="100"/>
              <w:bottom w:type="dxa" w:w="60"/>
              <w:right w:type="dxa" w:w="100"/>
            </w:tcMar>
          </w:tcPr>
          <w:p>
            <w:pPr>
              <w:spacing w:after="40"/>
            </w:pPr>
            <w:r>
              <w:rPr>
                <w:b w:val="false"/>
                <w:bCs w:val="false"/>
              </w:rPr>
              <w:t xml:space="preserve">Teste de input inválido/excessivo</w:t>
            </w:r>
          </w:p>
        </w:tc>
      </w:tr>
      <w:tr>
        <w:tc>
          <w:tcPr>
            <w:tcW w:type="dxa" w:w="1600"/>
            <w:tcMar>
              <w:top w:type="dxa" w:w="60"/>
              <w:left w:type="dxa" w:w="100"/>
              <w:bottom w:type="dxa" w:w="60"/>
              <w:right w:type="dxa" w:w="100"/>
            </w:tcMar>
          </w:tcPr>
          <w:p>
            <w:pPr>
              <w:spacing w:after="40"/>
            </w:pPr>
            <w:r>
              <w:rPr>
                <w:b w:val="false"/>
                <w:bCs w:val="false"/>
              </w:rPr>
              <w:t xml:space="preserve">Manutenibilidade</w:t>
            </w:r>
          </w:p>
        </w:tc>
        <w:tc>
          <w:tcPr>
            <w:tcW w:type="dxa" w:w="1800"/>
            <w:tcMar>
              <w:top w:type="dxa" w:w="60"/>
              <w:left w:type="dxa" w:w="100"/>
              <w:bottom w:type="dxa" w:w="60"/>
              <w:right w:type="dxa" w:w="100"/>
            </w:tcMar>
          </w:tcPr>
          <w:p>
            <w:pPr>
              <w:spacing w:after="40"/>
            </w:pPr>
            <w:r>
              <w:rPr>
                <w:b w:val="false"/>
                <w:bCs w:val="false"/>
              </w:rPr>
              <w:t xml:space="preserve">Modularidade</w:t>
            </w:r>
          </w:p>
        </w:tc>
        <w:tc>
          <w:tcPr>
            <w:tcW w:type="dxa" w:w="2800"/>
            <w:tcMar>
              <w:top w:type="dxa" w:w="60"/>
              <w:left w:type="dxa" w:w="100"/>
              <w:bottom w:type="dxa" w:w="60"/>
              <w:right w:type="dxa" w:w="100"/>
            </w:tcMar>
          </w:tcPr>
          <w:p>
            <w:pPr>
              <w:spacing w:after="40"/>
            </w:pPr>
            <w:r>
              <w:rPr>
                <w:b w:val="false"/>
                <w:bCs w:val="false"/>
              </w:rPr>
              <w:t xml:space="preserve">Separação entre Controllers, Services e Entidades de domínio</w:t>
            </w:r>
          </w:p>
        </w:tc>
        <w:tc>
          <w:tcPr>
            <w:tcW w:type="dxa" w:w="2000"/>
            <w:tcMar>
              <w:top w:type="dxa" w:w="60"/>
              <w:left w:type="dxa" w:w="100"/>
              <w:bottom w:type="dxa" w:w="60"/>
              <w:right w:type="dxa" w:w="100"/>
            </w:tcMar>
          </w:tcPr>
          <w:p>
            <w:pPr>
              <w:spacing w:after="40"/>
            </w:pPr>
            <w:r>
              <w:rPr>
                <w:b w:val="false"/>
                <w:bCs w:val="false"/>
              </w:rPr>
              <w:t xml:space="preserve">Diagrama de classes em camadas claras</w:t>
            </w:r>
          </w:p>
        </w:tc>
        <w:tc>
          <w:tcPr>
            <w:tcW w:type="dxa" w:w="2000"/>
            <w:tcMar>
              <w:top w:type="dxa" w:w="60"/>
              <w:left w:type="dxa" w:w="100"/>
              <w:bottom w:type="dxa" w:w="60"/>
              <w:right w:type="dxa" w:w="100"/>
            </w:tcMar>
          </w:tcPr>
          <w:p>
            <w:pPr>
              <w:spacing w:after="40"/>
            </w:pPr>
            <w:r>
              <w:rPr>
                <w:b w:val="false"/>
                <w:bCs w:val="false"/>
              </w:rPr>
              <w:t xml:space="preserve">Revisão do diagrama de classes</w:t>
            </w:r>
          </w:p>
        </w:tc>
      </w:tr>
      <w:tr>
        <w:tc>
          <w:tcPr>
            <w:tcW w:type="dxa" w:w="1600"/>
            <w:tcMar>
              <w:top w:type="dxa" w:w="60"/>
              <w:left w:type="dxa" w:w="100"/>
              <w:bottom w:type="dxa" w:w="60"/>
              <w:right w:type="dxa" w:w="100"/>
            </w:tcMar>
          </w:tcPr>
          <w:p>
            <w:pPr>
              <w:spacing w:after="40"/>
            </w:pPr>
            <w:r>
              <w:rPr>
                <w:b w:val="false"/>
                <w:bCs w:val="false"/>
              </w:rPr>
              <w:t xml:space="preserve">Manutenibilidade</w:t>
            </w:r>
          </w:p>
        </w:tc>
        <w:tc>
          <w:tcPr>
            <w:tcW w:type="dxa" w:w="1800"/>
            <w:tcMar>
              <w:top w:type="dxa" w:w="60"/>
              <w:left w:type="dxa" w:w="100"/>
              <w:bottom w:type="dxa" w:w="60"/>
              <w:right w:type="dxa" w:w="100"/>
            </w:tcMar>
          </w:tcPr>
          <w:p>
            <w:pPr>
              <w:spacing w:after="40"/>
            </w:pPr>
            <w:r>
              <w:rPr>
                <w:b w:val="false"/>
                <w:bCs w:val="false"/>
              </w:rPr>
              <w:t xml:space="preserve">Reusabilidade</w:t>
            </w:r>
          </w:p>
        </w:tc>
        <w:tc>
          <w:tcPr>
            <w:tcW w:type="dxa" w:w="2800"/>
            <w:tcMar>
              <w:top w:type="dxa" w:w="60"/>
              <w:left w:type="dxa" w:w="100"/>
              <w:bottom w:type="dxa" w:w="60"/>
              <w:right w:type="dxa" w:w="100"/>
            </w:tcMar>
          </w:tcPr>
          <w:p>
            <w:pPr>
              <w:spacing w:after="40"/>
            </w:pPr>
            <w:r>
              <w:rPr>
                <w:b w:val="false"/>
                <w:bCs w:val="false"/>
              </w:rPr>
              <w:t xml:space="preserve">Camada de acesso a dados reaproveitada entre RF001 e RF002</w:t>
            </w:r>
          </w:p>
        </w:tc>
        <w:tc>
          <w:tcPr>
            <w:tcW w:type="dxa" w:w="2000"/>
            <w:tcMar>
              <w:top w:type="dxa" w:w="60"/>
              <w:left w:type="dxa" w:w="100"/>
              <w:bottom w:type="dxa" w:w="60"/>
              <w:right w:type="dxa" w:w="100"/>
            </w:tcMar>
          </w:tcPr>
          <w:p>
            <w:pPr>
              <w:spacing w:after="40"/>
            </w:pPr>
            <w:r>
              <w:rPr>
                <w:b w:val="false"/>
                <w:bCs w:val="false"/>
              </w:rPr>
              <w:t xml:space="preserve">Baixo número de funções duplicadas</w:t>
            </w:r>
          </w:p>
        </w:tc>
        <w:tc>
          <w:tcPr>
            <w:tcW w:type="dxa" w:w="2000"/>
            <w:tcMar>
              <w:top w:type="dxa" w:w="60"/>
              <w:left w:type="dxa" w:w="100"/>
              <w:bottom w:type="dxa" w:w="60"/>
              <w:right w:type="dxa" w:w="100"/>
            </w:tcMar>
          </w:tcPr>
          <w:p>
            <w:pPr>
              <w:spacing w:after="40"/>
            </w:pPr>
            <w:r>
              <w:rPr>
                <w:b w:val="false"/>
                <w:bCs w:val="false"/>
              </w:rPr>
              <w:t xml:space="preserve">Revisão de código</w:t>
            </w:r>
          </w:p>
        </w:tc>
      </w:tr>
      <w:tr>
        <w:tc>
          <w:tcPr>
            <w:tcW w:type="dxa" w:w="1600"/>
            <w:tcMar>
              <w:top w:type="dxa" w:w="60"/>
              <w:left w:type="dxa" w:w="100"/>
              <w:bottom w:type="dxa" w:w="60"/>
              <w:right w:type="dxa" w:w="100"/>
            </w:tcMar>
          </w:tcPr>
          <w:p>
            <w:pPr>
              <w:spacing w:after="40"/>
            </w:pPr>
            <w:r>
              <w:rPr>
                <w:b w:val="false"/>
                <w:bCs w:val="false"/>
              </w:rPr>
              <w:t xml:space="preserve">Manutenibilidade</w:t>
            </w:r>
          </w:p>
        </w:tc>
        <w:tc>
          <w:tcPr>
            <w:tcW w:type="dxa" w:w="1800"/>
            <w:tcMar>
              <w:top w:type="dxa" w:w="60"/>
              <w:left w:type="dxa" w:w="100"/>
              <w:bottom w:type="dxa" w:w="60"/>
              <w:right w:type="dxa" w:w="100"/>
            </w:tcMar>
          </w:tcPr>
          <w:p>
            <w:pPr>
              <w:spacing w:after="40"/>
            </w:pPr>
            <w:r>
              <w:rPr>
                <w:b w:val="false"/>
                <w:bCs w:val="false"/>
              </w:rPr>
              <w:t xml:space="preserve">Analisabilidade</w:t>
            </w:r>
          </w:p>
        </w:tc>
        <w:tc>
          <w:tcPr>
            <w:tcW w:type="dxa" w:w="2800"/>
            <w:tcMar>
              <w:top w:type="dxa" w:w="60"/>
              <w:left w:type="dxa" w:w="100"/>
              <w:bottom w:type="dxa" w:w="60"/>
              <w:right w:type="dxa" w:w="100"/>
            </w:tcMar>
          </w:tcPr>
          <w:p>
            <w:pPr>
              <w:spacing w:after="40"/>
            </w:pPr>
            <w:r>
              <w:rPr>
                <w:b w:val="false"/>
                <w:bCs w:val="false"/>
              </w:rPr>
              <w:t xml:space="preserve">Logs estruturados permitem diagnosticar erro remotamente</w:t>
            </w:r>
          </w:p>
        </w:tc>
        <w:tc>
          <w:tcPr>
            <w:tcW w:type="dxa" w:w="2000"/>
            <w:tcMar>
              <w:top w:type="dxa" w:w="60"/>
              <w:left w:type="dxa" w:w="100"/>
              <w:bottom w:type="dxa" w:w="60"/>
              <w:right w:type="dxa" w:w="100"/>
            </w:tcMar>
          </w:tcPr>
          <w:p>
            <w:pPr>
              <w:spacing w:after="40"/>
            </w:pPr>
            <w:r>
              <w:rPr>
                <w:b w:val="false"/>
                <w:bCs w:val="false"/>
              </w:rPr>
              <w:t xml:space="preserve">Log inclui timestamp, origem e stack trace</w:t>
            </w:r>
          </w:p>
        </w:tc>
        <w:tc>
          <w:tcPr>
            <w:tcW w:type="dxa" w:w="2000"/>
            <w:tcMar>
              <w:top w:type="dxa" w:w="60"/>
              <w:left w:type="dxa" w:w="100"/>
              <w:bottom w:type="dxa" w:w="60"/>
              <w:right w:type="dxa" w:w="100"/>
            </w:tcMar>
          </w:tcPr>
          <w:p>
            <w:pPr>
              <w:spacing w:after="40"/>
            </w:pPr>
            <w:r>
              <w:rPr>
                <w:b w:val="false"/>
                <w:bCs w:val="false"/>
              </w:rPr>
              <w:t xml:space="preserve">Revisão de log_processamento — ver 8.15/8.16</w:t>
            </w:r>
          </w:p>
        </w:tc>
      </w:tr>
      <w:tr>
        <w:tc>
          <w:tcPr>
            <w:tcW w:type="dxa" w:w="1600"/>
            <w:tcMar>
              <w:top w:type="dxa" w:w="60"/>
              <w:left w:type="dxa" w:w="100"/>
              <w:bottom w:type="dxa" w:w="60"/>
              <w:right w:type="dxa" w:w="100"/>
            </w:tcMar>
          </w:tcPr>
          <w:p>
            <w:pPr>
              <w:spacing w:after="40"/>
            </w:pPr>
            <w:r>
              <w:rPr>
                <w:b w:val="false"/>
                <w:bCs w:val="false"/>
              </w:rPr>
              <w:t xml:space="preserve">Manutenibilidade</w:t>
            </w:r>
          </w:p>
        </w:tc>
        <w:tc>
          <w:tcPr>
            <w:tcW w:type="dxa" w:w="1800"/>
            <w:tcMar>
              <w:top w:type="dxa" w:w="60"/>
              <w:left w:type="dxa" w:w="100"/>
              <w:bottom w:type="dxa" w:w="60"/>
              <w:right w:type="dxa" w:w="100"/>
            </w:tcMar>
          </w:tcPr>
          <w:p>
            <w:pPr>
              <w:spacing w:after="40"/>
            </w:pPr>
            <w:r>
              <w:rPr>
                <w:b w:val="false"/>
                <w:bCs w:val="false"/>
              </w:rPr>
              <w:t xml:space="preserve">Modificabilidade</w:t>
            </w:r>
          </w:p>
        </w:tc>
        <w:tc>
          <w:tcPr>
            <w:tcW w:type="dxa" w:w="2800"/>
            <w:tcMar>
              <w:top w:type="dxa" w:w="60"/>
              <w:left w:type="dxa" w:w="100"/>
              <w:bottom w:type="dxa" w:w="60"/>
              <w:right w:type="dxa" w:w="100"/>
            </w:tcMar>
          </w:tcPr>
          <w:p>
            <w:pPr>
              <w:spacing w:after="40"/>
            </w:pPr>
            <w:r>
              <w:rPr>
                <w:b w:val="false"/>
                <w:bCs w:val="false"/>
              </w:rPr>
              <w:t xml:space="preserve">Trocar o modelo preditivo não exige reescrever a API</w:t>
            </w:r>
          </w:p>
        </w:tc>
        <w:tc>
          <w:tcPr>
            <w:tcW w:type="dxa" w:w="2000"/>
            <w:tcMar>
              <w:top w:type="dxa" w:w="60"/>
              <w:left w:type="dxa" w:w="100"/>
              <w:bottom w:type="dxa" w:w="60"/>
              <w:right w:type="dxa" w:w="100"/>
            </w:tcMar>
          </w:tcPr>
          <w:p>
            <w:pPr>
              <w:spacing w:after="40"/>
            </w:pPr>
            <w:r>
              <w:rPr>
                <w:b w:val="false"/>
                <w:bCs w:val="false"/>
              </w:rPr>
              <w:t xml:space="preserve">Modelo isolado em camada de serviço própria</w:t>
            </w:r>
          </w:p>
        </w:tc>
        <w:tc>
          <w:tcPr>
            <w:tcW w:type="dxa" w:w="2000"/>
            <w:tcMar>
              <w:top w:type="dxa" w:w="60"/>
              <w:left w:type="dxa" w:w="100"/>
              <w:bottom w:type="dxa" w:w="60"/>
              <w:right w:type="dxa" w:w="100"/>
            </w:tcMar>
          </w:tcPr>
          <w:p>
            <w:pPr>
              <w:spacing w:after="40"/>
            </w:pPr>
            <w:r>
              <w:rPr>
                <w:b w:val="false"/>
                <w:bCs w:val="false"/>
              </w:rPr>
              <w:t xml:space="preserve">Revisão de arquitetura — ver 8.32</w:t>
            </w:r>
          </w:p>
        </w:tc>
      </w:tr>
      <w:tr>
        <w:tc>
          <w:tcPr>
            <w:tcW w:type="dxa" w:w="1600"/>
            <w:tcMar>
              <w:top w:type="dxa" w:w="60"/>
              <w:left w:type="dxa" w:w="100"/>
              <w:bottom w:type="dxa" w:w="60"/>
              <w:right w:type="dxa" w:w="100"/>
            </w:tcMar>
          </w:tcPr>
          <w:p>
            <w:pPr>
              <w:spacing w:after="40"/>
            </w:pPr>
            <w:r>
              <w:rPr>
                <w:b w:val="false"/>
                <w:bCs w:val="false"/>
              </w:rPr>
              <w:t xml:space="preserve">Manutenibilidade</w:t>
            </w:r>
          </w:p>
        </w:tc>
        <w:tc>
          <w:tcPr>
            <w:tcW w:type="dxa" w:w="1800"/>
            <w:tcMar>
              <w:top w:type="dxa" w:w="60"/>
              <w:left w:type="dxa" w:w="100"/>
              <w:bottom w:type="dxa" w:w="60"/>
              <w:right w:type="dxa" w:w="100"/>
            </w:tcMar>
          </w:tcPr>
          <w:p>
            <w:pPr>
              <w:spacing w:after="40"/>
            </w:pPr>
            <w:r>
              <w:rPr>
                <w:b w:val="false"/>
                <w:bCs w:val="false"/>
              </w:rPr>
              <w:t xml:space="preserve">Testabilidade</w:t>
            </w:r>
          </w:p>
        </w:tc>
        <w:tc>
          <w:tcPr>
            <w:tcW w:type="dxa" w:w="2800"/>
            <w:tcMar>
              <w:top w:type="dxa" w:w="60"/>
              <w:left w:type="dxa" w:w="100"/>
              <w:bottom w:type="dxa" w:w="60"/>
              <w:right w:type="dxa" w:w="100"/>
            </w:tcMar>
          </w:tcPr>
          <w:p>
            <w:pPr>
              <w:spacing w:after="40"/>
            </w:pPr>
            <w:r>
              <w:rPr>
                <w:b w:val="false"/>
                <w:bCs w:val="false"/>
              </w:rPr>
              <w:t xml:space="preserve">Cobertura mínima de testes definida para o backend</w:t>
            </w:r>
          </w:p>
        </w:tc>
        <w:tc>
          <w:tcPr>
            <w:tcW w:type="dxa" w:w="2000"/>
            <w:tcMar>
              <w:top w:type="dxa" w:w="60"/>
              <w:left w:type="dxa" w:w="100"/>
              <w:bottom w:type="dxa" w:w="60"/>
              <w:right w:type="dxa" w:w="100"/>
            </w:tcMar>
          </w:tcPr>
          <w:p>
            <w:pPr>
              <w:spacing w:after="40"/>
            </w:pPr>
            <w:r>
              <w:rPr>
                <w:b w:val="false"/>
                <w:bCs w:val="false"/>
              </w:rPr>
              <w:t xml:space="preserve">% de cobertura do Pytest dentro da meta</w:t>
            </w:r>
          </w:p>
        </w:tc>
        <w:tc>
          <w:tcPr>
            <w:tcW w:type="dxa" w:w="2000"/>
            <w:tcMar>
              <w:top w:type="dxa" w:w="60"/>
              <w:left w:type="dxa" w:w="100"/>
              <w:bottom w:type="dxa" w:w="60"/>
              <w:right w:type="dxa" w:w="100"/>
            </w:tcMar>
          </w:tcPr>
          <w:p>
            <w:pPr>
              <w:spacing w:after="40"/>
            </w:pPr>
            <w:r>
              <w:rPr>
                <w:b w:val="false"/>
                <w:bCs w:val="false"/>
              </w:rPr>
              <w:t xml:space="preserve">Relatório de cobertura</w:t>
            </w:r>
          </w:p>
        </w:tc>
      </w:tr>
      <w:tr>
        <w:tc>
          <w:tcPr>
            <w:tcW w:type="dxa" w:w="1600"/>
            <w:tcMar>
              <w:top w:type="dxa" w:w="60"/>
              <w:left w:type="dxa" w:w="100"/>
              <w:bottom w:type="dxa" w:w="60"/>
              <w:right w:type="dxa" w:w="100"/>
            </w:tcMar>
          </w:tcPr>
          <w:p>
            <w:pPr>
              <w:spacing w:after="40"/>
            </w:pPr>
            <w:r>
              <w:rPr>
                <w:b w:val="false"/>
                <w:bCs w:val="false"/>
              </w:rPr>
              <w:t xml:space="preserve">Flexibilidade</w:t>
            </w:r>
          </w:p>
        </w:tc>
        <w:tc>
          <w:tcPr>
            <w:tcW w:type="dxa" w:w="1800"/>
            <w:tcMar>
              <w:top w:type="dxa" w:w="60"/>
              <w:left w:type="dxa" w:w="100"/>
              <w:bottom w:type="dxa" w:w="60"/>
              <w:right w:type="dxa" w:w="100"/>
            </w:tcMar>
          </w:tcPr>
          <w:p>
            <w:pPr>
              <w:spacing w:after="40"/>
            </w:pPr>
            <w:r>
              <w:rPr>
                <w:b w:val="false"/>
                <w:bCs w:val="false"/>
              </w:rPr>
              <w:t xml:space="preserve">Adaptabilidade</w:t>
            </w:r>
          </w:p>
        </w:tc>
        <w:tc>
          <w:tcPr>
            <w:tcW w:type="dxa" w:w="2800"/>
            <w:tcMar>
              <w:top w:type="dxa" w:w="60"/>
              <w:left w:type="dxa" w:w="100"/>
              <w:bottom w:type="dxa" w:w="60"/>
              <w:right w:type="dxa" w:w="100"/>
            </w:tcMar>
          </w:tcPr>
          <w:p>
            <w:pPr>
              <w:spacing w:after="40"/>
            </w:pPr>
            <w:r>
              <w:rPr>
                <w:b w:val="false"/>
                <w:bCs w:val="false"/>
              </w:rPr>
              <w:t xml:space="preserve">Pipeline resiliente a mudanças de estrutura nos arquivos do DATASUS (RF003)</w:t>
            </w:r>
          </w:p>
        </w:tc>
        <w:tc>
          <w:tcPr>
            <w:tcW w:type="dxa" w:w="2000"/>
            <w:tcMar>
              <w:top w:type="dxa" w:w="60"/>
              <w:left w:type="dxa" w:w="100"/>
              <w:bottom w:type="dxa" w:w="60"/>
              <w:right w:type="dxa" w:w="100"/>
            </w:tcMar>
          </w:tcPr>
          <w:p>
            <w:pPr>
              <w:spacing w:after="40"/>
            </w:pPr>
            <w:r>
              <w:rPr>
                <w:b w:val="false"/>
                <w:bCs w:val="false"/>
              </w:rPr>
              <w:t xml:space="preserve">Log de erro + alerta para revisão manual</w:t>
            </w:r>
          </w:p>
        </w:tc>
        <w:tc>
          <w:tcPr>
            <w:tcW w:type="dxa" w:w="2000"/>
            <w:tcMar>
              <w:top w:type="dxa" w:w="60"/>
              <w:left w:type="dxa" w:w="100"/>
              <w:bottom w:type="dxa" w:w="60"/>
              <w:right w:type="dxa" w:w="100"/>
            </w:tcMar>
          </w:tcPr>
          <w:p>
            <w:pPr>
              <w:spacing w:after="40"/>
            </w:pPr>
            <w:r>
              <w:rPr>
                <w:b w:val="false"/>
                <w:bCs w:val="false"/>
              </w:rPr>
              <w:t xml:space="preserve">Simulação de schema alterado</w:t>
            </w:r>
          </w:p>
        </w:tc>
      </w:tr>
      <w:tr>
        <w:tc>
          <w:tcPr>
            <w:tcW w:type="dxa" w:w="1600"/>
            <w:tcMar>
              <w:top w:type="dxa" w:w="60"/>
              <w:left w:type="dxa" w:w="100"/>
              <w:bottom w:type="dxa" w:w="60"/>
              <w:right w:type="dxa" w:w="100"/>
            </w:tcMar>
          </w:tcPr>
          <w:p>
            <w:pPr>
              <w:spacing w:after="40"/>
            </w:pPr>
            <w:r>
              <w:rPr>
                <w:b w:val="false"/>
                <w:bCs w:val="false"/>
              </w:rPr>
              <w:t xml:space="preserve">Flexibilidade</w:t>
            </w:r>
          </w:p>
        </w:tc>
        <w:tc>
          <w:tcPr>
            <w:tcW w:type="dxa" w:w="1800"/>
            <w:tcMar>
              <w:top w:type="dxa" w:w="60"/>
              <w:left w:type="dxa" w:w="100"/>
              <w:bottom w:type="dxa" w:w="60"/>
              <w:right w:type="dxa" w:w="100"/>
            </w:tcMar>
          </w:tcPr>
          <w:p>
            <w:pPr>
              <w:spacing w:after="40"/>
            </w:pPr>
            <w:r>
              <w:rPr>
                <w:b w:val="false"/>
                <w:bCs w:val="false"/>
              </w:rPr>
              <w:t xml:space="preserve">Capacidade de instalação</w:t>
            </w:r>
          </w:p>
        </w:tc>
        <w:tc>
          <w:tcPr>
            <w:tcW w:type="dxa" w:w="2800"/>
            <w:tcMar>
              <w:top w:type="dxa" w:w="60"/>
              <w:left w:type="dxa" w:w="100"/>
              <w:bottom w:type="dxa" w:w="60"/>
              <w:right w:type="dxa" w:w="100"/>
            </w:tcMar>
          </w:tcPr>
          <w:p>
            <w:pPr>
              <w:spacing w:after="40"/>
            </w:pPr>
            <w:r>
              <w:rPr>
                <w:b w:val="false"/>
                <w:bCs w:val="false"/>
              </w:rPr>
              <w:t xml:space="preserve">Ambiente local sobe com poucos passos documentados</w:t>
            </w:r>
          </w:p>
        </w:tc>
        <w:tc>
          <w:tcPr>
            <w:tcW w:type="dxa" w:w="2000"/>
            <w:tcMar>
              <w:top w:type="dxa" w:w="60"/>
              <w:left w:type="dxa" w:w="100"/>
              <w:bottom w:type="dxa" w:w="60"/>
              <w:right w:type="dxa" w:w="100"/>
            </w:tcMar>
          </w:tcPr>
          <w:p>
            <w:pPr>
              <w:spacing w:after="40"/>
            </w:pPr>
            <w:r>
              <w:rPr>
                <w:b w:val="false"/>
                <w:bCs w:val="false"/>
              </w:rPr>
              <w:t xml:space="preserve">Onboarding em menos de 1h</w:t>
            </w:r>
          </w:p>
        </w:tc>
        <w:tc>
          <w:tcPr>
            <w:tcW w:type="dxa" w:w="2000"/>
            <w:tcMar>
              <w:top w:type="dxa" w:w="60"/>
              <w:left w:type="dxa" w:w="100"/>
              <w:bottom w:type="dxa" w:w="60"/>
              <w:right w:type="dxa" w:w="100"/>
            </w:tcMar>
          </w:tcPr>
          <w:p>
            <w:pPr>
              <w:spacing w:after="40"/>
            </w:pPr>
            <w:r>
              <w:rPr>
                <w:b w:val="false"/>
                <w:bCs w:val="false"/>
              </w:rPr>
              <w:t xml:space="preserve">Teste de setup do zero</w:t>
            </w:r>
          </w:p>
        </w:tc>
      </w:tr>
      <w:tr>
        <w:tc>
          <w:tcPr>
            <w:tcW w:type="dxa" w:w="1600"/>
            <w:tcMar>
              <w:top w:type="dxa" w:w="60"/>
              <w:left w:type="dxa" w:w="100"/>
              <w:bottom w:type="dxa" w:w="60"/>
              <w:right w:type="dxa" w:w="100"/>
            </w:tcMar>
          </w:tcPr>
          <w:p>
            <w:pPr>
              <w:spacing w:after="40"/>
            </w:pPr>
            <w:r>
              <w:rPr>
                <w:b w:val="false"/>
                <w:bCs w:val="false"/>
              </w:rPr>
              <w:t xml:space="preserve">Flexibilidade</w:t>
            </w:r>
          </w:p>
        </w:tc>
        <w:tc>
          <w:tcPr>
            <w:tcW w:type="dxa" w:w="1800"/>
            <w:tcMar>
              <w:top w:type="dxa" w:w="60"/>
              <w:left w:type="dxa" w:w="100"/>
              <w:bottom w:type="dxa" w:w="60"/>
              <w:right w:type="dxa" w:w="100"/>
            </w:tcMar>
          </w:tcPr>
          <w:p>
            <w:pPr>
              <w:spacing w:after="40"/>
            </w:pPr>
            <w:r>
              <w:rPr>
                <w:b w:val="false"/>
                <w:bCs w:val="false"/>
              </w:rPr>
              <w:t xml:space="preserve">Capacidade de substituição</w:t>
            </w:r>
          </w:p>
        </w:tc>
        <w:tc>
          <w:tcPr>
            <w:tcW w:type="dxa" w:w="2800"/>
            <w:tcMar>
              <w:top w:type="dxa" w:w="60"/>
              <w:left w:type="dxa" w:w="100"/>
              <w:bottom w:type="dxa" w:w="60"/>
              <w:right w:type="dxa" w:w="100"/>
            </w:tcMar>
          </w:tcPr>
          <w:p>
            <w:pPr>
              <w:spacing w:after="40"/>
            </w:pPr>
            <w:r>
              <w:rPr>
                <w:b w:val="false"/>
                <w:bCs w:val="false"/>
              </w:rPr>
              <w:t xml:space="preserve">Trocar PostgreSQL local por RDS sem reescrever a lógica de acesso</w:t>
            </w:r>
          </w:p>
        </w:tc>
        <w:tc>
          <w:tcPr>
            <w:tcW w:type="dxa" w:w="2000"/>
            <w:tcMar>
              <w:top w:type="dxa" w:w="60"/>
              <w:left w:type="dxa" w:w="100"/>
              <w:bottom w:type="dxa" w:w="60"/>
              <w:right w:type="dxa" w:w="100"/>
            </w:tcMar>
          </w:tcPr>
          <w:p>
            <w:pPr>
              <w:spacing w:after="40"/>
            </w:pPr>
            <w:r>
              <w:rPr>
                <w:b w:val="false"/>
                <w:bCs w:val="false"/>
              </w:rPr>
              <w:t xml:space="preserve">Camada de acesso usa abstração/ORM</w:t>
            </w:r>
          </w:p>
        </w:tc>
        <w:tc>
          <w:tcPr>
            <w:tcW w:type="dxa" w:w="2000"/>
            <w:tcMar>
              <w:top w:type="dxa" w:w="60"/>
              <w:left w:type="dxa" w:w="100"/>
              <w:bottom w:type="dxa" w:w="60"/>
              <w:right w:type="dxa" w:w="100"/>
            </w:tcMar>
          </w:tcPr>
          <w:p>
            <w:pPr>
              <w:spacing w:after="40"/>
            </w:pPr>
            <w:r>
              <w:rPr>
                <w:b w:val="false"/>
                <w:bCs w:val="false"/>
              </w:rPr>
              <w:t xml:space="preserve">Revisão de arquitetura</w:t>
            </w:r>
          </w:p>
        </w:tc>
      </w:tr>
      <w:tr>
        <w:tc>
          <w:tcPr>
            <w:tcW w:type="dxa" w:w="1600"/>
            <w:tcMar>
              <w:top w:type="dxa" w:w="60"/>
              <w:left w:type="dxa" w:w="100"/>
              <w:bottom w:type="dxa" w:w="60"/>
              <w:right w:type="dxa" w:w="100"/>
            </w:tcMar>
          </w:tcPr>
          <w:p>
            <w:pPr>
              <w:spacing w:after="40"/>
            </w:pPr>
            <w:r>
              <w:rPr>
                <w:b w:val="false"/>
                <w:bCs w:val="false"/>
              </w:rPr>
              <w:t xml:space="preserve">Flexibilidade</w:t>
            </w:r>
          </w:p>
        </w:tc>
        <w:tc>
          <w:tcPr>
            <w:tcW w:type="dxa" w:w="1800"/>
            <w:tcMar>
              <w:top w:type="dxa" w:w="60"/>
              <w:left w:type="dxa" w:w="100"/>
              <w:bottom w:type="dxa" w:w="60"/>
              <w:right w:type="dxa" w:w="100"/>
            </w:tcMar>
          </w:tcPr>
          <w:p>
            <w:pPr>
              <w:spacing w:after="40"/>
            </w:pPr>
            <w:r>
              <w:rPr>
                <w:b w:val="false"/>
                <w:bCs w:val="false"/>
              </w:rPr>
              <w:t xml:space="preserve">Escalabilidade</w:t>
            </w:r>
          </w:p>
        </w:tc>
        <w:tc>
          <w:tcPr>
            <w:tcW w:type="dxa" w:w="2800"/>
            <w:tcMar>
              <w:top w:type="dxa" w:w="60"/>
              <w:left w:type="dxa" w:w="100"/>
              <w:bottom w:type="dxa" w:w="60"/>
              <w:right w:type="dxa" w:w="100"/>
            </w:tcMar>
          </w:tcPr>
          <w:p>
            <w:pPr>
              <w:spacing w:after="40"/>
            </w:pPr>
            <w:r>
              <w:rPr>
                <w:b w:val="false"/>
                <w:bCs w:val="false"/>
              </w:rPr>
              <w:t xml:space="preserve">Sistema suporta aumento de volume sem redesenho do banco</w:t>
            </w:r>
          </w:p>
        </w:tc>
        <w:tc>
          <w:tcPr>
            <w:tcW w:type="dxa" w:w="2000"/>
            <w:tcMar>
              <w:top w:type="dxa" w:w="60"/>
              <w:left w:type="dxa" w:w="100"/>
              <w:bottom w:type="dxa" w:w="60"/>
              <w:right w:type="dxa" w:w="100"/>
            </w:tcMar>
          </w:tcPr>
          <w:p>
            <w:pPr>
              <w:spacing w:after="40"/>
            </w:pPr>
            <w:r>
              <w:rPr>
                <w:b w:val="false"/>
                <w:bCs w:val="false"/>
              </w:rPr>
              <w:t xml:space="preserve">Teste de carga 5–10x sem falha</w:t>
            </w:r>
          </w:p>
        </w:tc>
        <w:tc>
          <w:tcPr>
            <w:tcW w:type="dxa" w:w="2000"/>
            <w:tcMar>
              <w:top w:type="dxa" w:w="60"/>
              <w:left w:type="dxa" w:w="100"/>
              <w:bottom w:type="dxa" w:w="60"/>
              <w:right w:type="dxa" w:w="100"/>
            </w:tcMar>
          </w:tcPr>
          <w:p>
            <w:pPr>
              <w:spacing w:after="40"/>
            </w:pPr>
            <w:r>
              <w:rPr>
                <w:b w:val="false"/>
                <w:bCs w:val="false"/>
              </w:rPr>
              <w:t xml:space="preserve">Teste de carga</w:t>
            </w:r>
          </w:p>
        </w:tc>
      </w:tr>
      <w:tr>
        <w:tc>
          <w:tcPr>
            <w:tcW w:type="dxa" w:w="1600"/>
            <w:tcMar>
              <w:top w:type="dxa" w:w="60"/>
              <w:left w:type="dxa" w:w="100"/>
              <w:bottom w:type="dxa" w:w="60"/>
              <w:right w:type="dxa" w:w="100"/>
            </w:tcMar>
          </w:tcPr>
          <w:p>
            <w:pPr>
              <w:spacing w:after="40"/>
            </w:pPr>
            <w:r>
              <w:rPr>
                <w:b w:val="false"/>
                <w:bCs w:val="false"/>
              </w:rPr>
              <w:t xml:space="preserve">Segurança Operacional (Safety)</w:t>
            </w:r>
          </w:p>
        </w:tc>
        <w:tc>
          <w:tcPr>
            <w:tcW w:type="dxa" w:w="1800"/>
            <w:tcMar>
              <w:top w:type="dxa" w:w="60"/>
              <w:left w:type="dxa" w:w="100"/>
              <w:bottom w:type="dxa" w:w="60"/>
              <w:right w:type="dxa" w:w="100"/>
            </w:tcMar>
          </w:tcPr>
          <w:p>
            <w:pPr>
              <w:spacing w:after="40"/>
            </w:pPr>
            <w:r>
              <w:rPr>
                <w:b w:val="false"/>
                <w:bCs w:val="false"/>
              </w:rPr>
              <w:t xml:space="preserve">Alerta de perigo</w:t>
            </w:r>
          </w:p>
        </w:tc>
        <w:tc>
          <w:tcPr>
            <w:tcW w:type="dxa" w:w="2800"/>
            <w:tcMar>
              <w:top w:type="dxa" w:w="60"/>
              <w:left w:type="dxa" w:w="100"/>
              <w:bottom w:type="dxa" w:w="60"/>
              <w:right w:type="dxa" w:w="100"/>
            </w:tcMar>
          </w:tcPr>
          <w:p>
            <w:pPr>
              <w:spacing w:after="40"/>
            </w:pPr>
            <w:r>
              <w:rPr>
                <w:b w:val="false"/>
                <w:bCs w:val="false"/>
              </w:rPr>
              <w:t xml:space="preserve">Dashboard sinaliza quando um valor é estimativa, não dado real (RF002)</w:t>
            </w:r>
          </w:p>
        </w:tc>
        <w:tc>
          <w:tcPr>
            <w:tcW w:type="dxa" w:w="2000"/>
            <w:tcMar>
              <w:top w:type="dxa" w:w="60"/>
              <w:left w:type="dxa" w:w="100"/>
              <w:bottom w:type="dxa" w:w="60"/>
              <w:right w:type="dxa" w:w="100"/>
            </w:tcMar>
          </w:tcPr>
          <w:p>
            <w:pPr>
              <w:spacing w:after="40"/>
            </w:pPr>
            <w:r>
              <w:rPr>
                <w:b w:val="false"/>
                <w:bCs w:val="false"/>
              </w:rPr>
              <w:t xml:space="preserve">Toda previsão tem indicação visual explícita</w:t>
            </w:r>
          </w:p>
        </w:tc>
        <w:tc>
          <w:tcPr>
            <w:tcW w:type="dxa" w:w="2000"/>
            <w:tcMar>
              <w:top w:type="dxa" w:w="60"/>
              <w:left w:type="dxa" w:w="100"/>
              <w:bottom w:type="dxa" w:w="60"/>
              <w:right w:type="dxa" w:w="100"/>
            </w:tcMar>
          </w:tcPr>
          <w:p>
            <w:pPr>
              <w:spacing w:after="40"/>
            </w:pPr>
            <w:r>
              <w:rPr>
                <w:b w:val="false"/>
                <w:bCs w:val="false"/>
              </w:rPr>
              <w:t xml:space="preserve">Revisão visual do componente</w:t>
            </w:r>
          </w:p>
        </w:tc>
      </w:tr>
      <w:tr>
        <w:tc>
          <w:tcPr>
            <w:tcW w:type="dxa" w:w="1600"/>
            <w:tcMar>
              <w:top w:type="dxa" w:w="60"/>
              <w:left w:type="dxa" w:w="100"/>
              <w:bottom w:type="dxa" w:w="60"/>
              <w:right w:type="dxa" w:w="100"/>
            </w:tcMar>
          </w:tcPr>
          <w:p>
            <w:pPr>
              <w:spacing w:after="40"/>
            </w:pPr>
            <w:r>
              <w:rPr>
                <w:b w:val="false"/>
                <w:bCs w:val="false"/>
              </w:rPr>
              <w:t xml:space="preserve">Segurança Operacional (Safety)</w:t>
            </w:r>
          </w:p>
        </w:tc>
        <w:tc>
          <w:tcPr>
            <w:tcW w:type="dxa" w:w="1800"/>
            <w:tcMar>
              <w:top w:type="dxa" w:w="60"/>
              <w:left w:type="dxa" w:w="100"/>
              <w:bottom w:type="dxa" w:w="60"/>
              <w:right w:type="dxa" w:w="100"/>
            </w:tcMar>
          </w:tcPr>
          <w:p>
            <w:pPr>
              <w:spacing w:after="40"/>
            </w:pPr>
            <w:r>
              <w:rPr>
                <w:b w:val="false"/>
                <w:bCs w:val="false"/>
              </w:rPr>
              <w:t xml:space="preserve">Restrição operacional</w:t>
            </w:r>
          </w:p>
        </w:tc>
        <w:tc>
          <w:tcPr>
            <w:tcW w:type="dxa" w:w="2800"/>
            <w:tcMar>
              <w:top w:type="dxa" w:w="60"/>
              <w:left w:type="dxa" w:w="100"/>
              <w:bottom w:type="dxa" w:w="60"/>
              <w:right w:type="dxa" w:w="100"/>
            </w:tcMar>
          </w:tcPr>
          <w:p>
            <w:pPr>
              <w:spacing w:after="40"/>
            </w:pPr>
            <w:r>
              <w:rPr>
                <w:b w:val="false"/>
                <w:bCs w:val="false"/>
              </w:rPr>
              <w:t xml:space="preserve">Sistema não dispara nenhuma ação automática de saúde pública</w:t>
            </w:r>
          </w:p>
        </w:tc>
        <w:tc>
          <w:tcPr>
            <w:tcW w:type="dxa" w:w="2000"/>
            <w:tcMar>
              <w:top w:type="dxa" w:w="60"/>
              <w:left w:type="dxa" w:w="100"/>
              <w:bottom w:type="dxa" w:w="60"/>
              <w:right w:type="dxa" w:w="100"/>
            </w:tcMar>
          </w:tcPr>
          <w:p>
            <w:pPr>
              <w:spacing w:after="40"/>
            </w:pPr>
            <w:r>
              <w:rPr>
                <w:b w:val="false"/>
                <w:bCs w:val="false"/>
              </w:rPr>
              <w:t xml:space="preserve">Nenhuma decisão automatizada sem revisão humana</w:t>
            </w:r>
          </w:p>
        </w:tc>
        <w:tc>
          <w:tcPr>
            <w:tcW w:type="dxa" w:w="2000"/>
            <w:tcMar>
              <w:top w:type="dxa" w:w="60"/>
              <w:left w:type="dxa" w:w="100"/>
              <w:bottom w:type="dxa" w:w="60"/>
              <w:right w:type="dxa" w:w="100"/>
            </w:tcMar>
          </w:tcPr>
          <w:p>
            <w:pPr>
              <w:spacing w:after="40"/>
            </w:pPr>
            <w:r>
              <w:rPr>
                <w:b w:val="false"/>
                <w:bCs w:val="false"/>
              </w:rPr>
              <w:t xml:space="preserve">Revisão de escopo funcional</w:t>
            </w:r>
          </w:p>
        </w:tc>
      </w:tr>
    </w:tbl>
    <w:p>
      <w:pPr>
        <w:spacing w:after="140"/>
      </w:pPr>
      <w:r>
        <w:t xml:space="preserve"/>
      </w:r>
    </w:p>
    <w:p>
      <w:pPr>
        <w:spacing w:after="140"/>
      </w:pPr>
      <w:r>
        <w:rPr>
          <w:i/>
          <w:iCs/>
        </w:rPr>
        <w:t xml:space="preserve">Nota de transposição: esta tabela substitui integralmente a antiga Seção 8.1 do documento de apoio, que usava classificação ad hoc e desatualizada. Sem mudança de conteúdo nesta v4, além da atualização pontual da linha "Segurança × Confidencialidade" para refletir NM_UN_INTE.</w:t>
      </w:r>
    </w:p>
    <w:p>
      <w:pPr>
        <w:pStyle w:val="Heading1"/>
        <w:spacing w:after="160" w:before="320"/>
      </w:pPr>
      <w:r>
        <w:t xml:space="preserve">3. ISO/IEC 25012:2008 — Modelo de Qualidade de Dados</w:t>
      </w:r>
    </w:p>
    <w:p>
      <w:pPr>
        <w:spacing w:after="140"/>
      </w:pPr>
      <w:r>
        <w:t xml:space="preserve">A ISO/IEC 25012 é dedicada à qualidade de dados retidos em formato estruturado — não à qualidade do software que os processa. O apontamento da professora sobre "variáveis epidemiológicas mal especificadas" é, tecnicamente, um apontamento desta norma, não da ISO/IEC 25010.</w:t>
      </w:r>
    </w:p>
    <w:p>
      <w:pPr>
        <w:spacing w:after="140"/>
      </w:pPr>
      <w:r>
        <w:t xml:space="preserve">A norma organiza 15 características, em duas perspectivas: inerentes e dependentes do sistema.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300"/>
      </w:tblGrid>
      <w:tr>
        <w:tc>
          <w:tcPr>
            <w:tcW w:type="dxa" w:w="2000"/>
            <w:shd w:fill="D9D9D9" w:val="clear"/>
            <w:tcMar>
              <w:top w:type="dxa" w:w="60"/>
              <w:left w:type="dxa" w:w="100"/>
              <w:bottom w:type="dxa" w:w="60"/>
              <w:right w:type="dxa" w:w="100"/>
            </w:tcMar>
          </w:tcPr>
          <w:p>
            <w:pPr>
              <w:spacing w:after="40"/>
            </w:pPr>
            <w:r>
              <w:rPr>
                <w:b/>
                <w:bCs/>
              </w:rPr>
              <w:t xml:space="preserve">Característica</w:t>
            </w:r>
          </w:p>
        </w:tc>
        <w:tc>
          <w:tcPr>
            <w:tcW w:type="dxa" w:w="1400"/>
            <w:shd w:fill="D9D9D9" w:val="clear"/>
            <w:tcMar>
              <w:top w:type="dxa" w:w="60"/>
              <w:left w:type="dxa" w:w="100"/>
              <w:bottom w:type="dxa" w:w="60"/>
              <w:right w:type="dxa" w:w="100"/>
            </w:tcMar>
          </w:tcPr>
          <w:p>
            <w:pPr>
              <w:spacing w:after="40"/>
            </w:pPr>
            <w:r>
              <w:rPr>
                <w:b/>
                <w:bCs/>
              </w:rPr>
              <w:t xml:space="preserve">Perspectiva</w:t>
            </w:r>
          </w:p>
        </w:tc>
        <w:tc>
          <w:tcPr>
            <w:tcW w:type="dxa" w:w="6300"/>
            <w:shd w:fill="D9D9D9" w:val="clear"/>
            <w:tcMar>
              <w:top w:type="dxa" w:w="60"/>
              <w:left w:type="dxa" w:w="100"/>
              <w:bottom w:type="dxa" w:w="60"/>
              <w:right w:type="dxa" w:w="100"/>
            </w:tcMar>
          </w:tcPr>
          <w:p>
            <w:pPr>
              <w:spacing w:after="40"/>
            </w:pPr>
            <w:r>
              <w:rPr>
                <w:b/>
                <w:bCs/>
              </w:rPr>
              <w:t xml:space="preserve">Aplicação no pipeline DATASUS/SIVEP-Gripe</w:t>
            </w:r>
          </w:p>
        </w:tc>
      </w:tr>
      <w:tr>
        <w:tc>
          <w:tcPr>
            <w:tcW w:type="dxa" w:w="2000"/>
            <w:tcMar>
              <w:top w:type="dxa" w:w="60"/>
              <w:left w:type="dxa" w:w="100"/>
              <w:bottom w:type="dxa" w:w="60"/>
              <w:right w:type="dxa" w:w="100"/>
            </w:tcMar>
          </w:tcPr>
          <w:p>
            <w:pPr>
              <w:spacing w:after="40"/>
            </w:pPr>
            <w:r>
              <w:rPr>
                <w:b w:val="false"/>
                <w:bCs w:val="false"/>
              </w:rPr>
              <w:t xml:space="preserve">Exatidão (Accuracy)</w:t>
            </w:r>
          </w:p>
        </w:tc>
        <w:tc>
          <w:tcPr>
            <w:tcW w:type="dxa" w:w="1400"/>
            <w:tcMar>
              <w:top w:type="dxa" w:w="60"/>
              <w:left w:type="dxa" w:w="100"/>
              <w:bottom w:type="dxa" w:w="60"/>
              <w:right w:type="dxa" w:w="100"/>
            </w:tcMar>
          </w:tcPr>
          <w:p>
            <w:pPr>
              <w:spacing w:after="40"/>
            </w:pPr>
            <w:r>
              <w:rPr>
                <w:b w:val="false"/>
                <w:bCs w:val="false"/>
              </w:rPr>
              <w:t xml:space="preserve">Inerente</w:t>
            </w:r>
          </w:p>
        </w:tc>
        <w:tc>
          <w:tcPr>
            <w:tcW w:type="dxa" w:w="6300"/>
            <w:tcMar>
              <w:top w:type="dxa" w:w="60"/>
              <w:left w:type="dxa" w:w="100"/>
              <w:bottom w:type="dxa" w:w="60"/>
              <w:right w:type="dxa" w:w="100"/>
            </w:tcMar>
          </w:tcPr>
          <w:p>
            <w:pPr>
              <w:spacing w:after="40"/>
            </w:pPr>
            <w:r>
              <w:rPr>
                <w:b w:val="false"/>
                <w:bCs w:val="false"/>
              </w:rPr>
              <w:t xml:space="preserve">Critério documentado no TC2 (Tabela 1, Seção 3.3): confirmação laboratorial fechada — RT-PCR (POS_PCRFLU=1/TP_FLU_PCR=1) OU teste antigênico (POS_AN_FLU=1/TP_FLU_AN=1), combinado com CLASSI_FIN=1 e PCR_RESUL=1. ALERTA CRÍTICO (v4): nenhum desses seis campos está presente no arquivo de dados consolidado real do grupo (Dados_consolidados_e_padronizados_2009_a_2019_e_2022_a_2026.csv) — apenas o campo de subtipo PCR_FLUASU. O critério de Exatidão documentado neste anexo não pôde, portanto, ser verificado nos dados efetivamente disponíveis, em nenhum ano da série (ver Definição Conceitual v12, Evidência de Dados 6).</w:t>
            </w:r>
          </w:p>
        </w:tc>
      </w:tr>
      <w:tr>
        <w:tc>
          <w:tcPr>
            <w:tcW w:type="dxa" w:w="2000"/>
            <w:tcMar>
              <w:top w:type="dxa" w:w="60"/>
              <w:left w:type="dxa" w:w="100"/>
              <w:bottom w:type="dxa" w:w="60"/>
              <w:right w:type="dxa" w:w="100"/>
            </w:tcMar>
          </w:tcPr>
          <w:p>
            <w:pPr>
              <w:spacing w:after="40"/>
            </w:pPr>
            <w:r>
              <w:rPr>
                <w:b w:val="false"/>
                <w:bCs w:val="false"/>
              </w:rPr>
              <w:t xml:space="preserve">Completude (Completeness)</w:t>
            </w:r>
          </w:p>
        </w:tc>
        <w:tc>
          <w:tcPr>
            <w:tcW w:type="dxa" w:w="1400"/>
            <w:tcMar>
              <w:top w:type="dxa" w:w="60"/>
              <w:left w:type="dxa" w:w="100"/>
              <w:bottom w:type="dxa" w:w="60"/>
              <w:right w:type="dxa" w:w="100"/>
            </w:tcMar>
          </w:tcPr>
          <w:p>
            <w:pPr>
              <w:spacing w:after="40"/>
            </w:pPr>
            <w:r>
              <w:rPr>
                <w:b w:val="false"/>
                <w:bCs w:val="false"/>
              </w:rPr>
              <w:t xml:space="preserve">Inerente</w:t>
            </w:r>
          </w:p>
        </w:tc>
        <w:tc>
          <w:tcPr>
            <w:tcW w:type="dxa" w:w="6300"/>
            <w:tcMar>
              <w:top w:type="dxa" w:w="60"/>
              <w:left w:type="dxa" w:w="100"/>
              <w:bottom w:type="dxa" w:w="60"/>
              <w:right w:type="dxa" w:w="100"/>
            </w:tcMar>
          </w:tcPr>
          <w:p>
            <w:pPr>
              <w:spacing w:after="40"/>
            </w:pPr>
            <w:r>
              <w:rPr>
                <w:b w:val="false"/>
                <w:bCs w:val="false"/>
              </w:rPr>
              <w:t xml:space="preserve">Casos "em andamento" (sem CLASSI_FIN e DT_ENCERRA preenchidos) são deliberadamente excluídos, implicando subestimação sistemática nas semanas mais recentes. O TC2 opera uma regra concreta de mitigação: exclui as oito semanas epidemiológicas mais recentes do treinamento. Atualização (v4): 29% a 51% dos registros de 2019–2026 no arquivo consolidado também não têm PCR_FLUASU preenchido — uma segunda fonte de subestimação, de magnitude ainda maior do que a das oito semanas mais recentes isoladamente (ver Definição Conceitual v12, Seção 5.1).</w:t>
            </w:r>
          </w:p>
        </w:tc>
      </w:tr>
      <w:tr>
        <w:tc>
          <w:tcPr>
            <w:tcW w:type="dxa" w:w="2000"/>
            <w:tcMar>
              <w:top w:type="dxa" w:w="60"/>
              <w:left w:type="dxa" w:w="100"/>
              <w:bottom w:type="dxa" w:w="60"/>
              <w:right w:type="dxa" w:w="100"/>
            </w:tcMar>
          </w:tcPr>
          <w:p>
            <w:pPr>
              <w:spacing w:after="40"/>
            </w:pPr>
            <w:r>
              <w:rPr>
                <w:b w:val="false"/>
                <w:bCs w:val="false"/>
              </w:rPr>
              <w:t xml:space="preserve">Consistência (Consistency)</w:t>
            </w:r>
          </w:p>
        </w:tc>
        <w:tc>
          <w:tcPr>
            <w:tcW w:type="dxa" w:w="1400"/>
            <w:tcMar>
              <w:top w:type="dxa" w:w="60"/>
              <w:left w:type="dxa" w:w="100"/>
              <w:bottom w:type="dxa" w:w="60"/>
              <w:right w:type="dxa" w:w="100"/>
            </w:tcMar>
          </w:tcPr>
          <w:p>
            <w:pPr>
              <w:spacing w:after="40"/>
            </w:pPr>
            <w:r>
              <w:rPr>
                <w:b w:val="false"/>
                <w:bCs w:val="false"/>
              </w:rPr>
              <w:t xml:space="preserve">Inerente</w:t>
            </w:r>
          </w:p>
        </w:tc>
        <w:tc>
          <w:tcPr>
            <w:tcW w:type="dxa" w:w="6300"/>
            <w:tcMar>
              <w:top w:type="dxa" w:w="60"/>
              <w:left w:type="dxa" w:w="100"/>
              <w:bottom w:type="dxa" w:w="60"/>
              <w:right w:type="dxa" w:w="100"/>
            </w:tcMar>
          </w:tcPr>
          <w:p>
            <w:pPr>
              <w:spacing w:after="40"/>
            </w:pPr>
            <w:r>
              <w:rPr>
                <w:b w:val="false"/>
                <w:bCs w:val="false"/>
              </w:rPr>
              <w:t xml:space="preserve">Harmonização de campos entre SINAN (2009–2018) e SIVEP-Gripe (2019+) — pendência ainda não validada campo a campo. Atualização crítica (v4): o código de subtipo do esquema antigo de 6 categorias ("5"=H3N2v) aparece 502 vezes no arquivo consolidado, das quais 483 ocorrências (96%) estão em 2019–2026 — período em que a codificação moderna de 4 categorias já deveria estar em uso, segundo a própria Tabela 1 do TC2. A inconsistência de codificação atravessa hoje toda a série disponível, não apenas o período SINAN legado (Definição Conceitual v12, Evidência de Dados 7).</w:t>
            </w:r>
          </w:p>
        </w:tc>
      </w:tr>
      <w:tr>
        <w:tc>
          <w:tcPr>
            <w:tcW w:type="dxa" w:w="2000"/>
            <w:tcMar>
              <w:top w:type="dxa" w:w="60"/>
              <w:left w:type="dxa" w:w="100"/>
              <w:bottom w:type="dxa" w:w="60"/>
              <w:right w:type="dxa" w:w="100"/>
            </w:tcMar>
          </w:tcPr>
          <w:p>
            <w:pPr>
              <w:spacing w:after="40"/>
            </w:pPr>
            <w:r>
              <w:rPr>
                <w:b w:val="false"/>
                <w:bCs w:val="false"/>
              </w:rPr>
              <w:t xml:space="preserve">Credibilidade (Credibility)</w:t>
            </w:r>
          </w:p>
        </w:tc>
        <w:tc>
          <w:tcPr>
            <w:tcW w:type="dxa" w:w="1400"/>
            <w:tcMar>
              <w:top w:type="dxa" w:w="60"/>
              <w:left w:type="dxa" w:w="100"/>
              <w:bottom w:type="dxa" w:w="60"/>
              <w:right w:type="dxa" w:w="100"/>
            </w:tcMar>
          </w:tcPr>
          <w:p>
            <w:pPr>
              <w:spacing w:after="40"/>
            </w:pPr>
            <w:r>
              <w:rPr>
                <w:b w:val="false"/>
                <w:bCs w:val="false"/>
              </w:rPr>
              <w:t xml:space="preserve">Inerente</w:t>
            </w:r>
          </w:p>
        </w:tc>
        <w:tc>
          <w:tcPr>
            <w:tcW w:type="dxa" w:w="6300"/>
            <w:tcMar>
              <w:top w:type="dxa" w:w="60"/>
              <w:left w:type="dxa" w:w="100"/>
              <w:bottom w:type="dxa" w:w="60"/>
              <w:right w:type="dxa" w:w="100"/>
            </w:tcMar>
          </w:tcPr>
          <w:p>
            <w:pPr>
              <w:spacing w:after="40"/>
            </w:pPr>
            <w:r>
              <w:rPr>
                <w:b w:val="false"/>
                <w:bCs w:val="false"/>
              </w:rPr>
              <w:t xml:space="preserve">Fonte governamental oficial, porém dados de 2025 em diante sujeitos a reclassificação retroativa contínua — exige registrar a data de extração usada em cada análise.</w:t>
            </w:r>
          </w:p>
        </w:tc>
      </w:tr>
      <w:tr>
        <w:tc>
          <w:tcPr>
            <w:tcW w:type="dxa" w:w="2000"/>
            <w:tcMar>
              <w:top w:type="dxa" w:w="60"/>
              <w:left w:type="dxa" w:w="100"/>
              <w:bottom w:type="dxa" w:w="60"/>
              <w:right w:type="dxa" w:w="100"/>
            </w:tcMar>
          </w:tcPr>
          <w:p>
            <w:pPr>
              <w:spacing w:after="40"/>
            </w:pPr>
            <w:r>
              <w:rPr>
                <w:b w:val="false"/>
                <w:bCs w:val="false"/>
              </w:rPr>
              <w:t xml:space="preserve">Atualidade (Currentness)</w:t>
            </w:r>
          </w:p>
        </w:tc>
        <w:tc>
          <w:tcPr>
            <w:tcW w:type="dxa" w:w="1400"/>
            <w:tcMar>
              <w:top w:type="dxa" w:w="60"/>
              <w:left w:type="dxa" w:w="100"/>
              <w:bottom w:type="dxa" w:w="60"/>
              <w:right w:type="dxa" w:w="100"/>
            </w:tcMar>
          </w:tcPr>
          <w:p>
            <w:pPr>
              <w:spacing w:after="40"/>
            </w:pPr>
            <w:r>
              <w:rPr>
                <w:b w:val="false"/>
                <w:bCs w:val="false"/>
              </w:rPr>
              <w:t xml:space="preserve">Inerente</w:t>
            </w:r>
          </w:p>
        </w:tc>
        <w:tc>
          <w:tcPr>
            <w:tcW w:type="dxa" w:w="6300"/>
            <w:tcMar>
              <w:top w:type="dxa" w:w="60"/>
              <w:left w:type="dxa" w:w="100"/>
              <w:bottom w:type="dxa" w:w="60"/>
              <w:right w:type="dxa" w:w="100"/>
            </w:tcMar>
          </w:tcPr>
          <w:p>
            <w:pPr>
              <w:spacing w:after="40"/>
            </w:pPr>
            <w:r>
              <w:rPr>
                <w:b w:val="false"/>
                <w:bCs w:val="false"/>
              </w:rPr>
              <w:t xml:space="preserve">Dados até 2024 fechados e definitivos; 2025 em diante atualizados diariamente — semanas recentes exigem cautela redobrada, já operacionalizada pela regra das oito semanas.</w:t>
            </w:r>
          </w:p>
        </w:tc>
      </w:tr>
      <w:tr>
        <w:tc>
          <w:tcPr>
            <w:tcW w:type="dxa" w:w="2000"/>
            <w:tcMar>
              <w:top w:type="dxa" w:w="60"/>
              <w:left w:type="dxa" w:w="100"/>
              <w:bottom w:type="dxa" w:w="60"/>
              <w:right w:type="dxa" w:w="100"/>
            </w:tcMar>
          </w:tcPr>
          <w:p>
            <w:pPr>
              <w:spacing w:after="40"/>
            </w:pPr>
            <w:r>
              <w:rPr>
                <w:b w:val="false"/>
                <w:bCs w:val="false"/>
              </w:rPr>
              <w:t xml:space="preserve">Acessibilidade (Accessibility)</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O dado é público, mas exige conhecimento técnico para ser acessado e interpretado — a lacuna que justifica o próprio projeto.</w:t>
            </w:r>
          </w:p>
        </w:tc>
      </w:tr>
      <w:tr>
        <w:tc>
          <w:tcPr>
            <w:tcW w:type="dxa" w:w="2000"/>
            <w:tcMar>
              <w:top w:type="dxa" w:w="60"/>
              <w:left w:type="dxa" w:w="100"/>
              <w:bottom w:type="dxa" w:w="60"/>
              <w:right w:type="dxa" w:w="100"/>
            </w:tcMar>
          </w:tcPr>
          <w:p>
            <w:pPr>
              <w:spacing w:after="40"/>
            </w:pPr>
            <w:r>
              <w:rPr>
                <w:b w:val="false"/>
                <w:bCs w:val="false"/>
              </w:rPr>
              <w:t xml:space="preserve">Conformidade (Compliance)</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Uso exclusivo de dados agregados por semana e localidade, em conformidade com o princípio de minimização de dados da LGPD (Lei nº 13.709/2018). Reforço (v4): a Introdução do TC2 agora liga explicitamente a própria ausência de campo de bairro no SIVEP-Gripe/SINAN a essa exigência de minimização — um avanço redacional real em relação à v3 deste anexo.</w:t>
            </w:r>
          </w:p>
        </w:tc>
      </w:tr>
      <w:tr>
        <w:tc>
          <w:tcPr>
            <w:tcW w:type="dxa" w:w="2000"/>
            <w:tcMar>
              <w:top w:type="dxa" w:w="60"/>
              <w:left w:type="dxa" w:w="100"/>
              <w:bottom w:type="dxa" w:w="60"/>
              <w:right w:type="dxa" w:w="100"/>
            </w:tcMar>
          </w:tcPr>
          <w:p>
            <w:pPr>
              <w:spacing w:after="40"/>
            </w:pPr>
            <w:r>
              <w:rPr>
                <w:b w:val="false"/>
                <w:bCs w:val="false"/>
              </w:rPr>
              <w:t xml:space="preserve">Confidencialidade (Confidentiality)</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Campos sensíveis da base completa (idade, raça/cor, comorbidades, evolução clínica) nunca chegam ao sistema — apenas o dado agregado. Nova ressalva (v4): a decisão de usar NM_UN_INTE (nome da unidade de saúde notificadora) como recorte de consulta no dashboard introduz uma granularidade territorialmente mais específica do que um bairro genérico — um hospital tem endereço único e publicamente conhecido. Isso não constitui dado pessoal, mas merece uma linha própria de discussão na futura subseção de Considerações Éticas do TC2, que hoje não existe. Ver também os controles técnicos de acesso e criptografia na Seção 5 (8.24) deste anexo.</w:t>
            </w:r>
          </w:p>
        </w:tc>
      </w:tr>
      <w:tr>
        <w:tc>
          <w:tcPr>
            <w:tcW w:type="dxa" w:w="2000"/>
            <w:tcMar>
              <w:top w:type="dxa" w:w="60"/>
              <w:left w:type="dxa" w:w="100"/>
              <w:bottom w:type="dxa" w:w="60"/>
              <w:right w:type="dxa" w:w="100"/>
            </w:tcMar>
          </w:tcPr>
          <w:p>
            <w:pPr>
              <w:spacing w:after="40"/>
            </w:pPr>
            <w:r>
              <w:rPr>
                <w:b w:val="false"/>
                <w:bCs w:val="false"/>
              </w:rPr>
              <w:t xml:space="preserve">Eficiência (Efficiency)</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Pipeline ETL em Pandas/NumPy processa o volume anual de registros de São Paulo (na faixa de 3 a 20 mil registros/ano) em tempo viável para reprocessamento.</w:t>
            </w:r>
          </w:p>
        </w:tc>
      </w:tr>
      <w:tr>
        <w:tc>
          <w:tcPr>
            <w:tcW w:type="dxa" w:w="2000"/>
            <w:tcMar>
              <w:top w:type="dxa" w:w="60"/>
              <w:left w:type="dxa" w:w="100"/>
              <w:bottom w:type="dxa" w:w="60"/>
              <w:right w:type="dxa" w:w="100"/>
            </w:tcMar>
          </w:tcPr>
          <w:p>
            <w:pPr>
              <w:spacing w:after="40"/>
            </w:pPr>
            <w:r>
              <w:rPr>
                <w:b w:val="false"/>
                <w:bCs w:val="false"/>
              </w:rPr>
              <w:t xml:space="preserve">Precisão (Precision)</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Granularidade semanal definida por trade-off entre volume disponível e horizonte de previsão. RESOLVIDO (v4, herdado da Definição Conceitual v11/v12): a segunda decisão de granularidade — geográfica — não é mais uma pendência em aberto entre bairro/região e o nível municipal. O SIVEP-Gripe/SINAN não disponibiliza campo de bairro; a solução adotada pelo grupo é usar NM_UN_INTE apenas na camada de consulta/visualização do dashboard, mantendo a modelagem preditiva estritamente municipal. A ação prática que falta é técnica, não decisória: o esquema de banco de dados do TC2 (Seção 4.9.3) ainda modela as tabelas bairro, regiao e bairro_predicao, que precisam ser removidas ou substituídas por uma estrutura equivalente para unidade de notificação.</w:t>
            </w:r>
          </w:p>
        </w:tc>
      </w:tr>
      <w:tr>
        <w:tc>
          <w:tcPr>
            <w:tcW w:type="dxa" w:w="2000"/>
            <w:tcMar>
              <w:top w:type="dxa" w:w="60"/>
              <w:left w:type="dxa" w:w="100"/>
              <w:bottom w:type="dxa" w:w="60"/>
              <w:right w:type="dxa" w:w="100"/>
            </w:tcMar>
          </w:tcPr>
          <w:p>
            <w:pPr>
              <w:spacing w:after="40"/>
            </w:pPr>
            <w:r>
              <w:rPr>
                <w:b w:val="false"/>
                <w:bCs w:val="false"/>
              </w:rPr>
              <w:t xml:space="preserve">Rastreabilidade (Traceability)</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Tabelas fonte_dados, arquivo_dados e log_processamento, já modeladas no DER do sistema, documentam a origem de cada dado. Nota: o TC2 já corrigiu o título da seção correspondente de "MER" para "DER" (Seção 4.8.4), mas o corpo do texto de apoio da Seção 4.6.3 ainda usa "Modelo de Entidade e Relacionamento (MER)", e o parágrafo introdutório de 4.8.4 cita entidades em nomenclatura ("periodoEpidemiologico", "tipoNotificação") que não existem no esquema efetivamente descrito em 4.9.3.</w:t>
            </w:r>
          </w:p>
        </w:tc>
      </w:tr>
      <w:tr>
        <w:tc>
          <w:tcPr>
            <w:tcW w:type="dxa" w:w="2000"/>
            <w:tcMar>
              <w:top w:type="dxa" w:w="60"/>
              <w:left w:type="dxa" w:w="100"/>
              <w:bottom w:type="dxa" w:w="60"/>
              <w:right w:type="dxa" w:w="100"/>
            </w:tcMar>
          </w:tcPr>
          <w:p>
            <w:pPr>
              <w:spacing w:after="40"/>
            </w:pPr>
            <w:r>
              <w:rPr>
                <w:b w:val="false"/>
                <w:bCs w:val="false"/>
              </w:rPr>
              <w:t xml:space="preserve">Compreensibilidade (Understandability)</w:t>
            </w:r>
          </w:p>
        </w:tc>
        <w:tc>
          <w:tcPr>
            <w:tcW w:type="dxa" w:w="1400"/>
            <w:tcMar>
              <w:top w:type="dxa" w:w="60"/>
              <w:left w:type="dxa" w:w="100"/>
              <w:bottom w:type="dxa" w:w="60"/>
              <w:right w:type="dxa" w:w="100"/>
            </w:tcMar>
          </w:tcPr>
          <w:p>
            <w:pPr>
              <w:spacing w:after="40"/>
            </w:pPr>
            <w:r>
              <w:rPr>
                <w:b w:val="false"/>
                <w:bCs w:val="false"/>
              </w:rPr>
              <w:t xml:space="preserve">Inerente + Sistêmica</w:t>
            </w:r>
          </w:p>
        </w:tc>
        <w:tc>
          <w:tcPr>
            <w:tcW w:type="dxa" w:w="6300"/>
            <w:tcMar>
              <w:top w:type="dxa" w:w="60"/>
              <w:left w:type="dxa" w:w="100"/>
              <w:bottom w:type="dxa" w:w="60"/>
              <w:right w:type="dxa" w:w="100"/>
            </w:tcMar>
          </w:tcPr>
          <w:p>
            <w:pPr>
              <w:spacing w:after="40"/>
            </w:pPr>
            <w:r>
              <w:rPr>
                <w:b w:val="false"/>
                <w:bCs w:val="false"/>
              </w:rPr>
              <w:t xml:space="preserve">Dicionário de dados mapeando campos como SG_UF, CO_MUN_RES, POS_PCRFLU e TP_FLU_PCR — já previsto como entregável obrigatório. Nota (v4): esse dicionário precisa, agora, também documentar NM_UN_INTE (não listado na Lista de Abreviaturas e Siglas do TC2) e deixar explícita a diferença entre o critério de confirmação documentado (Tabela 1) e o critério de fato usado no arquivo consolidado (PCR_FLUASU).</w:t>
            </w:r>
          </w:p>
        </w:tc>
      </w:tr>
      <w:tr>
        <w:tc>
          <w:tcPr>
            <w:tcW w:type="dxa" w:w="2000"/>
            <w:tcMar>
              <w:top w:type="dxa" w:w="60"/>
              <w:left w:type="dxa" w:w="100"/>
              <w:bottom w:type="dxa" w:w="60"/>
              <w:right w:type="dxa" w:w="100"/>
            </w:tcMar>
          </w:tcPr>
          <w:p>
            <w:pPr>
              <w:spacing w:after="40"/>
            </w:pPr>
            <w:r>
              <w:rPr>
                <w:b w:val="false"/>
                <w:bCs w:val="false"/>
              </w:rPr>
              <w:t xml:space="preserve">Disponibilidade (Availability)</w:t>
            </w:r>
          </w:p>
        </w:tc>
        <w:tc>
          <w:tcPr>
            <w:tcW w:type="dxa" w:w="1400"/>
            <w:tcMar>
              <w:top w:type="dxa" w:w="60"/>
              <w:left w:type="dxa" w:w="100"/>
              <w:bottom w:type="dxa" w:w="60"/>
              <w:right w:type="dxa" w:w="100"/>
            </w:tcMar>
          </w:tcPr>
          <w:p>
            <w:pPr>
              <w:spacing w:after="40"/>
            </w:pPr>
            <w:r>
              <w:rPr>
                <w:b w:val="false"/>
                <w:bCs w:val="false"/>
              </w:rPr>
              <w:t xml:space="preserve">Sistêmica</w:t>
            </w:r>
          </w:p>
        </w:tc>
        <w:tc>
          <w:tcPr>
            <w:tcW w:type="dxa" w:w="6300"/>
            <w:tcMar>
              <w:top w:type="dxa" w:w="60"/>
              <w:left w:type="dxa" w:w="100"/>
              <w:bottom w:type="dxa" w:w="60"/>
              <w:right w:type="dxa" w:w="100"/>
            </w:tcMar>
          </w:tcPr>
          <w:p>
            <w:pPr>
              <w:spacing w:after="40"/>
            </w:pPr>
            <w:r>
              <w:rPr>
                <w:b w:val="false"/>
                <w:bCs w:val="false"/>
              </w:rPr>
              <w:t xml:space="preserve">Base disponível continuamente via DATASUS/SIVEP-Gripe, mas sujeita a instabilidade da fonte externa — risco já registrado no requisito RF003.</w:t>
            </w:r>
          </w:p>
        </w:tc>
      </w:tr>
      <w:tr>
        <w:tc>
          <w:tcPr>
            <w:tcW w:type="dxa" w:w="2000"/>
            <w:tcMar>
              <w:top w:type="dxa" w:w="60"/>
              <w:left w:type="dxa" w:w="100"/>
              <w:bottom w:type="dxa" w:w="60"/>
              <w:right w:type="dxa" w:w="100"/>
            </w:tcMar>
          </w:tcPr>
          <w:p>
            <w:pPr>
              <w:spacing w:after="40"/>
            </w:pPr>
            <w:r>
              <w:rPr>
                <w:b w:val="false"/>
                <w:bCs w:val="false"/>
              </w:rPr>
              <w:t xml:space="preserve">Portabilidade (Portability)</w:t>
            </w:r>
          </w:p>
        </w:tc>
        <w:tc>
          <w:tcPr>
            <w:tcW w:type="dxa" w:w="1400"/>
            <w:tcMar>
              <w:top w:type="dxa" w:w="60"/>
              <w:left w:type="dxa" w:w="100"/>
              <w:bottom w:type="dxa" w:w="60"/>
              <w:right w:type="dxa" w:w="100"/>
            </w:tcMar>
          </w:tcPr>
          <w:p>
            <w:pPr>
              <w:spacing w:after="40"/>
            </w:pPr>
            <w:r>
              <w:rPr>
                <w:b w:val="false"/>
                <w:bCs w:val="false"/>
              </w:rPr>
              <w:t xml:space="preserve">Sistêmica</w:t>
            </w:r>
          </w:p>
        </w:tc>
        <w:tc>
          <w:tcPr>
            <w:tcW w:type="dxa" w:w="6300"/>
            <w:tcMar>
              <w:top w:type="dxa" w:w="60"/>
              <w:left w:type="dxa" w:w="100"/>
              <w:bottom w:type="dxa" w:w="60"/>
              <w:right w:type="dxa" w:w="100"/>
            </w:tcMar>
          </w:tcPr>
          <w:p>
            <w:pPr>
              <w:spacing w:after="40"/>
            </w:pPr>
            <w:r>
              <w:rPr>
                <w:b w:val="false"/>
                <w:bCs w:val="false"/>
              </w:rPr>
              <w:t xml:space="preserve">Dados extraídos originalmente em CSV ou DBF, convertidos para uso em scripts Python e posteriormente armazenados em PostgreSQL.</w:t>
            </w:r>
          </w:p>
        </w:tc>
      </w:tr>
      <w:tr>
        <w:tc>
          <w:tcPr>
            <w:tcW w:type="dxa" w:w="2000"/>
            <w:tcMar>
              <w:top w:type="dxa" w:w="60"/>
              <w:left w:type="dxa" w:w="100"/>
              <w:bottom w:type="dxa" w:w="60"/>
              <w:right w:type="dxa" w:w="100"/>
            </w:tcMar>
          </w:tcPr>
          <w:p>
            <w:pPr>
              <w:spacing w:after="40"/>
            </w:pPr>
            <w:r>
              <w:rPr>
                <w:b w:val="false"/>
                <w:bCs w:val="false"/>
              </w:rPr>
              <w:t xml:space="preserve">Capacidade de recuperação (Recoverability)</w:t>
            </w:r>
          </w:p>
        </w:tc>
        <w:tc>
          <w:tcPr>
            <w:tcW w:type="dxa" w:w="1400"/>
            <w:tcMar>
              <w:top w:type="dxa" w:w="60"/>
              <w:left w:type="dxa" w:w="100"/>
              <w:bottom w:type="dxa" w:w="60"/>
              <w:right w:type="dxa" w:w="100"/>
            </w:tcMar>
          </w:tcPr>
          <w:p>
            <w:pPr>
              <w:spacing w:after="40"/>
            </w:pPr>
            <w:r>
              <w:rPr>
                <w:b w:val="false"/>
                <w:bCs w:val="false"/>
              </w:rPr>
              <w:t xml:space="preserve">Sistêmica</w:t>
            </w:r>
          </w:p>
        </w:tc>
        <w:tc>
          <w:tcPr>
            <w:tcW w:type="dxa" w:w="6300"/>
            <w:tcMar>
              <w:top w:type="dxa" w:w="60"/>
              <w:left w:type="dxa" w:w="100"/>
              <w:bottom w:type="dxa" w:w="60"/>
              <w:right w:type="dxa" w:w="100"/>
            </w:tcMar>
          </w:tcPr>
          <w:p>
            <w:pPr>
              <w:spacing w:after="40"/>
            </w:pPr>
            <w:r>
              <w:rPr>
                <w:b w:val="false"/>
                <w:bCs w:val="false"/>
              </w:rPr>
              <w:t xml:space="preserve">Regra explícita de nunca sobrescrever a base bruta original, combinada com backup automático dos arquivos no Amazon S3 — ver também o controle de backup formal (8.13) na Seção 5 deste anexo.</w:t>
            </w:r>
          </w:p>
        </w:tc>
      </w:tr>
    </w:tbl>
    <w:p>
      <w:pPr>
        <w:spacing w:after="140"/>
      </w:pPr>
      <w:r>
        <w:t xml:space="preserve"/>
      </w:r>
    </w:p>
    <w:p>
      <w:pPr>
        <w:spacing w:after="140"/>
      </w:pPr>
      <w:r>
        <w:rPr>
          <w:i/>
          <w:iCs/>
        </w:rPr>
        <w:t xml:space="preserve">Nota de transposição: esta tabela completa (15 características) segue recomendada como apêndice, com um resumo condensado no corpo do Capítulo 4 (Material e Método) do TC2 — hoje na Seção 3.3 (DataSUS), não mais na numeração de capítulo 3 da Definição Conceitual. As três atualizações críticas desta v4 (Exatidão, Consistência, Precisão) precisam ser refletidas nesse resumo condensado antes de qualquer nova entrega.</w:t>
      </w:r>
    </w:p>
    <w:p>
      <w:pPr>
        <w:pStyle w:val="Heading1"/>
        <w:spacing w:after="160" w:before="320"/>
      </w:pPr>
      <w:r>
        <w:t xml:space="preserve">4. ISO/IEC 25059:2023 — Extensão de Qualidade para Sistemas de IA</w:t>
      </w:r>
    </w:p>
    <w:p>
      <w:pPr>
        <w:spacing w:after="140"/>
      </w:pPr>
      <w:r>
        <w:t xml:space="preserve">Norma da divisão de extensão da família SQuaRE. Não substitui a ISO/IEC 25010 — herda o modelo de 9 características já detalhado na Seção 2 — e acrescenta ou modifica subcaracterísticas específicas para sistemas de comportamento probabilístico, dependente de dados de treinamento e potencialmente adaptativo, o que descreve o modelo preditivo deste projeto.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00"/>
      </w:tblGrid>
      <w:tr>
        <w:tc>
          <w:tcPr>
            <w:tcW w:type="dxa" w:w="2400"/>
            <w:shd w:fill="D9D9D9" w:val="clear"/>
            <w:tcMar>
              <w:top w:type="dxa" w:w="60"/>
              <w:left w:type="dxa" w:w="100"/>
              <w:bottom w:type="dxa" w:w="60"/>
              <w:right w:type="dxa" w:w="100"/>
            </w:tcMar>
          </w:tcPr>
          <w:p>
            <w:pPr>
              <w:spacing w:after="40"/>
            </w:pPr>
            <w:r>
              <w:rPr>
                <w:b/>
                <w:bCs/>
              </w:rPr>
              <w:t xml:space="preserve">Subcaracterística</w:t>
            </w:r>
          </w:p>
        </w:tc>
        <w:tc>
          <w:tcPr>
            <w:tcW w:type="dxa" w:w="2400"/>
            <w:shd w:fill="D9D9D9" w:val="clear"/>
            <w:tcMar>
              <w:top w:type="dxa" w:w="60"/>
              <w:left w:type="dxa" w:w="100"/>
              <w:bottom w:type="dxa" w:w="60"/>
              <w:right w:type="dxa" w:w="100"/>
            </w:tcMar>
          </w:tcPr>
          <w:p>
            <w:pPr>
              <w:spacing w:after="40"/>
            </w:pPr>
            <w:r>
              <w:rPr>
                <w:b/>
                <w:bCs/>
              </w:rPr>
              <w:t xml:space="preserve">Onde se encaixa no modelo 25010</w:t>
            </w:r>
          </w:p>
        </w:tc>
        <w:tc>
          <w:tcPr>
            <w:tcW w:type="dxa" w:w="5000"/>
            <w:shd w:fill="D9D9D9" w:val="clear"/>
            <w:tcMar>
              <w:top w:type="dxa" w:w="60"/>
              <w:left w:type="dxa" w:w="100"/>
              <w:bottom w:type="dxa" w:w="60"/>
              <w:right w:type="dxa" w:w="100"/>
            </w:tcMar>
          </w:tcPr>
          <w:p>
            <w:pPr>
              <w:spacing w:after="40"/>
            </w:pPr>
            <w:r>
              <w:rPr>
                <w:b/>
                <w:bCs/>
              </w:rPr>
              <w:t xml:space="preserve">Aplicação ao modelo preditivo (Random Forest)</w:t>
            </w:r>
          </w:p>
        </w:tc>
      </w:tr>
      <w:tr>
        <w:tc>
          <w:tcPr>
            <w:tcW w:type="dxa" w:w="2400"/>
            <w:tcMar>
              <w:top w:type="dxa" w:w="60"/>
              <w:left w:type="dxa" w:w="100"/>
              <w:bottom w:type="dxa" w:w="60"/>
              <w:right w:type="dxa" w:w="100"/>
            </w:tcMar>
          </w:tcPr>
          <w:p>
            <w:pPr>
              <w:spacing w:after="40"/>
            </w:pPr>
            <w:r>
              <w:rPr>
                <w:b w:val="false"/>
                <w:bCs w:val="false"/>
              </w:rPr>
              <w:t xml:space="preserve">Adaptabilidade funcional</w:t>
            </w:r>
          </w:p>
        </w:tc>
        <w:tc>
          <w:tcPr>
            <w:tcW w:type="dxa" w:w="2400"/>
            <w:tcMar>
              <w:top w:type="dxa" w:w="60"/>
              <w:left w:type="dxa" w:w="100"/>
              <w:bottom w:type="dxa" w:w="60"/>
              <w:right w:type="dxa" w:w="100"/>
            </w:tcMar>
          </w:tcPr>
          <w:p>
            <w:pPr>
              <w:spacing w:after="40"/>
            </w:pPr>
            <w:r>
              <w:rPr>
                <w:b w:val="false"/>
                <w:bCs w:val="false"/>
              </w:rPr>
              <w:t xml:space="preserve">Nova, sob Adequação Funcional</w:t>
            </w:r>
          </w:p>
        </w:tc>
        <w:tc>
          <w:tcPr>
            <w:tcW w:type="dxa" w:w="5000"/>
            <w:tcMar>
              <w:top w:type="dxa" w:w="60"/>
              <w:left w:type="dxa" w:w="100"/>
              <w:bottom w:type="dxa" w:w="60"/>
              <w:right w:type="dxa" w:w="100"/>
            </w:tcMar>
          </w:tcPr>
          <w:p>
            <w:pPr>
              <w:spacing w:after="40"/>
            </w:pPr>
            <w:r>
              <w:rPr>
                <w:b w:val="false"/>
                <w:bCs w:val="false"/>
              </w:rPr>
              <w:t xml:space="preserve">Capacidade do modelo de acompanhar mudanças no padrão sazonal (concept drift). O projeto ainda não define uma estratégia de retreinamento periódico — pendência técnica a resolver.</w:t>
            </w:r>
          </w:p>
        </w:tc>
      </w:tr>
      <w:tr>
        <w:tc>
          <w:tcPr>
            <w:tcW w:type="dxa" w:w="2400"/>
            <w:tcMar>
              <w:top w:type="dxa" w:w="60"/>
              <w:left w:type="dxa" w:w="100"/>
              <w:bottom w:type="dxa" w:w="60"/>
              <w:right w:type="dxa" w:w="100"/>
            </w:tcMar>
          </w:tcPr>
          <w:p>
            <w:pPr>
              <w:spacing w:after="40"/>
            </w:pPr>
            <w:r>
              <w:rPr>
                <w:b w:val="false"/>
                <w:bCs w:val="false"/>
              </w:rPr>
              <w:t xml:space="preserve">Correção funcional (com ressalva)</w:t>
            </w:r>
          </w:p>
        </w:tc>
        <w:tc>
          <w:tcPr>
            <w:tcW w:type="dxa" w:w="2400"/>
            <w:tcMar>
              <w:top w:type="dxa" w:w="60"/>
              <w:left w:type="dxa" w:w="100"/>
              <w:bottom w:type="dxa" w:w="60"/>
              <w:right w:type="dxa" w:w="100"/>
            </w:tcMar>
          </w:tcPr>
          <w:p>
            <w:pPr>
              <w:spacing w:after="40"/>
            </w:pPr>
            <w:r>
              <w:rPr>
                <w:b w:val="false"/>
                <w:bCs w:val="false"/>
              </w:rPr>
              <w:t xml:space="preserve">Modificada, em Adequação Funcional</w:t>
            </w:r>
          </w:p>
        </w:tc>
        <w:tc>
          <w:tcPr>
            <w:tcW w:type="dxa" w:w="5000"/>
            <w:tcMar>
              <w:top w:type="dxa" w:w="60"/>
              <w:left w:type="dxa" w:w="100"/>
              <w:bottom w:type="dxa" w:w="60"/>
              <w:right w:type="dxa" w:w="100"/>
            </w:tcMar>
          </w:tcPr>
          <w:p>
            <w:pPr>
              <w:spacing w:after="40"/>
            </w:pPr>
            <w:r>
              <w:rPr>
                <w:b w:val="false"/>
                <w:bCs w:val="false"/>
              </w:rPr>
              <w:t xml:space="preserve">Um sistema probabilístico não apresenta correção funcional em todas as observações. MAE, RMSE e MAPE devem ser lidos como magnitude de erro esperada, não critério binário — deve ser declarado explicitamente no texto do TC2.</w:t>
            </w:r>
          </w:p>
        </w:tc>
      </w:tr>
      <w:tr>
        <w:tc>
          <w:tcPr>
            <w:tcW w:type="dxa" w:w="2400"/>
            <w:tcMar>
              <w:top w:type="dxa" w:w="60"/>
              <w:left w:type="dxa" w:w="100"/>
              <w:bottom w:type="dxa" w:w="60"/>
              <w:right w:type="dxa" w:w="100"/>
            </w:tcMar>
          </w:tcPr>
          <w:p>
            <w:pPr>
              <w:spacing w:after="40"/>
            </w:pPr>
            <w:r>
              <w:rPr>
                <w:b w:val="false"/>
                <w:bCs w:val="false"/>
              </w:rPr>
              <w:t xml:space="preserve">Robustez</w:t>
            </w:r>
          </w:p>
        </w:tc>
        <w:tc>
          <w:tcPr>
            <w:tcW w:type="dxa" w:w="2400"/>
            <w:tcMar>
              <w:top w:type="dxa" w:w="60"/>
              <w:left w:type="dxa" w:w="100"/>
              <w:bottom w:type="dxa" w:w="60"/>
              <w:right w:type="dxa" w:w="100"/>
            </w:tcMar>
          </w:tcPr>
          <w:p>
            <w:pPr>
              <w:spacing w:after="40"/>
            </w:pPr>
            <w:r>
              <w:rPr>
                <w:b w:val="false"/>
                <w:bCs w:val="false"/>
              </w:rPr>
              <w:t xml:space="preserve">Nova, sob Confiabilidade</w:t>
            </w:r>
          </w:p>
        </w:tc>
        <w:tc>
          <w:tcPr>
            <w:tcW w:type="dxa" w:w="5000"/>
            <w:tcMar>
              <w:top w:type="dxa" w:w="60"/>
              <w:left w:type="dxa" w:w="100"/>
              <w:bottom w:type="dxa" w:w="60"/>
              <w:right w:type="dxa" w:w="100"/>
            </w:tcMar>
          </w:tcPr>
          <w:p>
            <w:pPr>
              <w:spacing w:after="40"/>
            </w:pPr>
            <w:r>
              <w:rPr>
                <w:b w:val="false"/>
                <w:bCs w:val="false"/>
              </w:rPr>
              <w:t xml:space="preserve">Comportamento do modelo diante de semanas de contagem zero, outliers de migração de sistema (SINAN→SIVEP-Gripe) ou dados ausentes. Atualizado (v4): a granularidade por bairro no modelo preditivo está definitivamente descartada (nunca foi tecnicamente viável), então o risco de esparsidade extrema no nível de modelagem, discutido nas versões anteriores deste anexo, deixa de ser uma preocupação prática. Ressalva nova: se NM_UN_INTE vier a ser usado no dashboard para segmentar visualizações históricas por unidade de saúde (não pelo modelo, que segue municipal), unidades pequenas podem produzir séries de consulta dominadas por zeros — um risco de robustez de visualização, não de robustez do modelo, mas que merece o mesmo cuidado de comunicação ao usuário (RF001) hoje reservado às previsões (RF002).</w:t>
            </w:r>
          </w:p>
        </w:tc>
      </w:tr>
      <w:tr>
        <w:tc>
          <w:tcPr>
            <w:tcW w:type="dxa" w:w="2400"/>
            <w:tcMar>
              <w:top w:type="dxa" w:w="60"/>
              <w:left w:type="dxa" w:w="100"/>
              <w:bottom w:type="dxa" w:w="60"/>
              <w:right w:type="dxa" w:w="100"/>
            </w:tcMar>
          </w:tcPr>
          <w:p>
            <w:pPr>
              <w:spacing w:after="40"/>
            </w:pPr>
            <w:r>
              <w:rPr>
                <w:b w:val="false"/>
                <w:bCs w:val="false"/>
              </w:rPr>
              <w:t xml:space="preserve">Transparência</w:t>
            </w:r>
          </w:p>
        </w:tc>
        <w:tc>
          <w:tcPr>
            <w:tcW w:type="dxa" w:w="2400"/>
            <w:tcMar>
              <w:top w:type="dxa" w:w="60"/>
              <w:left w:type="dxa" w:w="100"/>
              <w:bottom w:type="dxa" w:w="60"/>
              <w:right w:type="dxa" w:w="100"/>
            </w:tcMar>
          </w:tcPr>
          <w:p>
            <w:pPr>
              <w:spacing w:after="40"/>
            </w:pPr>
            <w:r>
              <w:rPr>
                <w:b w:val="false"/>
                <w:bCs w:val="false"/>
              </w:rPr>
              <w:t xml:space="preserve">Nova, sob Capacidade de Interação</w:t>
            </w:r>
          </w:p>
        </w:tc>
        <w:tc>
          <w:tcPr>
            <w:tcW w:type="dxa" w:w="5000"/>
            <w:tcMar>
              <w:top w:type="dxa" w:w="60"/>
              <w:left w:type="dxa" w:w="100"/>
              <w:bottom w:type="dxa" w:w="60"/>
              <w:right w:type="dxa" w:w="100"/>
            </w:tcMar>
          </w:tcPr>
          <w:p>
            <w:pPr>
              <w:spacing w:after="40"/>
            </w:pPr>
            <w:r>
              <w:rPr>
                <w:b w:val="false"/>
                <w:bCs w:val="false"/>
              </w:rPr>
              <w:t xml:space="preserve">Explicabilidade mínima do modelo (ex.: importância relativa das variáveis no Random Forest) comunicada ao gestor de saúde pública no dashboard.</w:t>
            </w:r>
          </w:p>
        </w:tc>
      </w:tr>
      <w:tr>
        <w:tc>
          <w:tcPr>
            <w:tcW w:type="dxa" w:w="2400"/>
            <w:tcMar>
              <w:top w:type="dxa" w:w="60"/>
              <w:left w:type="dxa" w:w="100"/>
              <w:bottom w:type="dxa" w:w="60"/>
              <w:right w:type="dxa" w:w="100"/>
            </w:tcMar>
          </w:tcPr>
          <w:p>
            <w:pPr>
              <w:spacing w:after="40"/>
            </w:pPr>
            <w:r>
              <w:rPr>
                <w:b w:val="false"/>
                <w:bCs w:val="false"/>
              </w:rPr>
              <w:t xml:space="preserve">Controlabilidade pelo usuário</w:t>
            </w:r>
          </w:p>
        </w:tc>
        <w:tc>
          <w:tcPr>
            <w:tcW w:type="dxa" w:w="2400"/>
            <w:tcMar>
              <w:top w:type="dxa" w:w="60"/>
              <w:left w:type="dxa" w:w="100"/>
              <w:bottom w:type="dxa" w:w="60"/>
              <w:right w:type="dxa" w:w="100"/>
            </w:tcMar>
          </w:tcPr>
          <w:p>
            <w:pPr>
              <w:spacing w:after="40"/>
            </w:pPr>
            <w:r>
              <w:rPr>
                <w:b w:val="false"/>
                <w:bCs w:val="false"/>
              </w:rPr>
              <w:t xml:space="preserve">Nova, sob Capacidade de Interação</w:t>
            </w:r>
          </w:p>
        </w:tc>
        <w:tc>
          <w:tcPr>
            <w:tcW w:type="dxa" w:w="5000"/>
            <w:tcMar>
              <w:top w:type="dxa" w:w="60"/>
              <w:left w:type="dxa" w:w="100"/>
              <w:bottom w:type="dxa" w:w="60"/>
              <w:right w:type="dxa" w:w="100"/>
            </w:tcMar>
          </w:tcPr>
          <w:p>
            <w:pPr>
              <w:spacing w:after="40"/>
            </w:pPr>
            <w:r>
              <w:rPr>
                <w:b w:val="false"/>
                <w:bCs w:val="false"/>
              </w:rPr>
              <w:t xml:space="preserve">Grau em que o usuário pode intervir sobre a previsão. O sistema é hoje somente leitura para previsões — aceitável para um protótipo acadêmico, mas precisa estar declarado como limitação de escopo.</w:t>
            </w:r>
          </w:p>
        </w:tc>
      </w:tr>
    </w:tbl>
    <w:p>
      <w:pPr>
        <w:spacing w:after="140"/>
      </w:pPr>
      <w:r>
        <w:t xml:space="preserve"/>
      </w:r>
    </w:p>
    <w:p>
      <w:pPr>
        <w:spacing w:after="140"/>
      </w:pPr>
      <w:r>
        <w:rPr>
          <w:i/>
          <w:iCs/>
        </w:rPr>
        <w:t xml:space="preserve">Nota de transposição: assumindo Random Forest como modelo preditivo definitivo, conforme decisão fechada desde a Definição Conceitual v6 e confirmada até a v12. O modelo efetivamente descrito como integrado ao backend no TC2 é, sem ambiguidade, o Random Forest — nos campos "Ação" de RF001 a RF004, na Seção 4.2 (Hipótese), na Seção 4.5 (Ferramentas) e na Seção 4.6.6 (Desenvolvimento dos Modelos Preditivos). Sem mudança nesta v4: os campos "Observações" de RF002 e RF004, e a Seção 3.5 (Trabalhos Relacionados) do TC2, ainda descrevem o MMAING (BORGES, Dérick et al., 2025) em detalhe e de forma favorável, sem a frase de contraste esclarecendo que o MMAING é um modelo de detecção precoce de surto, não de previsão numérica de incidência — portanto não diretamente comparável ao problema de regressão deste projeto.</w:t>
      </w:r>
    </w:p>
    <w:p>
      <w:pPr>
        <w:pStyle w:val="Heading1"/>
        <w:spacing w:after="160" w:before="320"/>
      </w:pPr>
      <w:r>
        <w:t xml:space="preserve">5. ISO/IEC 27002:2022 — Controles de Segurança da Informação</w:t>
      </w:r>
    </w:p>
    <w:p>
      <w:pPr>
        <w:pStyle w:val="Heading2"/>
        <w:spacing w:after="140" w:before="260"/>
      </w:pPr>
      <w:r>
        <w:t xml:space="preserve">5.1 Por que esta norma, e por que não a ISO/IEC 27001 diretamente</w:t>
      </w:r>
    </w:p>
    <w:p>
      <w:pPr>
        <w:spacing w:after="140"/>
      </w:pPr>
      <w:r>
        <w:t xml:space="preserve">A família ISO/IEC 27000 trata de gestão de segurança da informação — escopo diferente das três normas SQuaRE tratadas nas Seções 2 a 4. A ISO/IEC 27001 é a norma certificável da família, exigindo um Sistema de Gestão de Segurança da Informação (SGSI) completo — desproporcional a um protótipo acadêmico de TCC.</w:t>
      </w:r>
    </w:p>
    <w:p>
      <w:pPr>
        <w:spacing w:after="140"/>
      </w:pPr>
      <w:r>
        <w:t xml:space="preserve">Este anexo recorre à ISO/IEC 27002:2022 — o catálogo de referência de controles que a própria ISO/IEC 27001 usa como Anexo A, reorganizado em 93 controles sob quatro temas: Organizacionais, Pessoas, Físicos e Tecnológicos. A tabela abaixo seleciona os controles diretamente aplicáveis à arquitetura descrita na Seção 4.9 do TC2 (Next.js, FastAPI, PostgreSQL/RDS, EC2, S3, modelo serializado em Joblib) — usados como boas práticas de referência, não como declaração de conformidade formal.</w:t>
      </w:r>
    </w:p>
    <w:p>
      <w:pPr>
        <w:pStyle w:val="Heading2"/>
        <w:spacing w:after="140" w:before="260"/>
      </w:pPr>
      <w:r>
        <w:t xml:space="preserve">5.2 Controles Selecionados e Aplicação ao Projeto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2600"/>
      </w:tblGrid>
      <w:tr>
        <w:tc>
          <w:tcPr>
            <w:tcW w:type="dxa" w:w="1800"/>
            <w:shd w:fill="D9D9D9" w:val="clear"/>
            <w:tcMar>
              <w:top w:type="dxa" w:w="60"/>
              <w:left w:type="dxa" w:w="100"/>
              <w:bottom w:type="dxa" w:w="60"/>
              <w:right w:type="dxa" w:w="100"/>
            </w:tcMar>
          </w:tcPr>
          <w:p>
            <w:pPr>
              <w:spacing w:after="40"/>
            </w:pPr>
            <w:r>
              <w:rPr>
                <w:b/>
                <w:bCs/>
              </w:rPr>
              <w:t xml:space="preserve">Controle</w:t>
            </w:r>
          </w:p>
        </w:tc>
        <w:tc>
          <w:tcPr>
            <w:tcW w:type="dxa" w:w="2600"/>
            <w:shd w:fill="D9D9D9" w:val="clear"/>
            <w:tcMar>
              <w:top w:type="dxa" w:w="60"/>
              <w:left w:type="dxa" w:w="100"/>
              <w:bottom w:type="dxa" w:w="60"/>
              <w:right w:type="dxa" w:w="100"/>
            </w:tcMar>
          </w:tcPr>
          <w:p>
            <w:pPr>
              <w:spacing w:after="40"/>
            </w:pPr>
            <w:r>
              <w:rPr>
                <w:b/>
                <w:bCs/>
              </w:rPr>
              <w:t xml:space="preserve">O que exige</w:t>
            </w:r>
          </w:p>
        </w:tc>
        <w:tc>
          <w:tcPr>
            <w:tcW w:type="dxa" w:w="2800"/>
            <w:shd w:fill="D9D9D9" w:val="clear"/>
            <w:tcMar>
              <w:top w:type="dxa" w:w="60"/>
              <w:left w:type="dxa" w:w="100"/>
              <w:bottom w:type="dxa" w:w="60"/>
              <w:right w:type="dxa" w:w="100"/>
            </w:tcMar>
          </w:tcPr>
          <w:p>
            <w:pPr>
              <w:spacing w:after="40"/>
            </w:pPr>
            <w:r>
              <w:rPr>
                <w:b/>
                <w:bCs/>
              </w:rPr>
              <w:t xml:space="preserve">Aplicação neste projeto</w:t>
            </w:r>
          </w:p>
        </w:tc>
        <w:tc>
          <w:tcPr>
            <w:tcW w:type="dxa" w:w="2600"/>
            <w:shd w:fill="D9D9D9" w:val="clear"/>
            <w:tcMar>
              <w:top w:type="dxa" w:w="60"/>
              <w:left w:type="dxa" w:w="100"/>
              <w:bottom w:type="dxa" w:w="60"/>
              <w:right w:type="dxa" w:w="100"/>
            </w:tcMar>
          </w:tcPr>
          <w:p>
            <w:pPr>
              <w:spacing w:after="40"/>
            </w:pPr>
            <w:r>
              <w:rPr>
                <w:b/>
                <w:bCs/>
              </w:rPr>
              <w:t xml:space="preserve">Status confirmado no TC2</w:t>
            </w:r>
          </w:p>
        </w:tc>
      </w:tr>
      <w:tr>
        <w:tc>
          <w:tcPr>
            <w:tcW w:type="dxa" w:w="1800"/>
            <w:tcMar>
              <w:top w:type="dxa" w:w="60"/>
              <w:left w:type="dxa" w:w="100"/>
              <w:bottom w:type="dxa" w:w="60"/>
              <w:right w:type="dxa" w:w="100"/>
            </w:tcMar>
          </w:tcPr>
          <w:p>
            <w:pPr>
              <w:spacing w:after="40"/>
            </w:pPr>
            <w:r>
              <w:rPr>
                <w:b w:val="false"/>
                <w:bCs w:val="false"/>
              </w:rPr>
              <w:t xml:space="preserve">5.15 — Controle de acesso</w:t>
            </w:r>
          </w:p>
        </w:tc>
        <w:tc>
          <w:tcPr>
            <w:tcW w:type="dxa" w:w="2600"/>
            <w:tcMar>
              <w:top w:type="dxa" w:w="60"/>
              <w:left w:type="dxa" w:w="100"/>
              <w:bottom w:type="dxa" w:w="60"/>
              <w:right w:type="dxa" w:w="100"/>
            </w:tcMar>
          </w:tcPr>
          <w:p>
            <w:pPr>
              <w:spacing w:after="40"/>
            </w:pPr>
            <w:r>
              <w:rPr>
                <w:b w:val="false"/>
                <w:bCs w:val="false"/>
              </w:rPr>
              <w:t xml:space="preserve">Definir e aplicar regras para restringir acesso lógico a sistemas e dados, com base em papéis</w:t>
            </w:r>
          </w:p>
        </w:tc>
        <w:tc>
          <w:tcPr>
            <w:tcW w:type="dxa" w:w="2800"/>
            <w:tcMar>
              <w:top w:type="dxa" w:w="60"/>
              <w:left w:type="dxa" w:w="100"/>
              <w:bottom w:type="dxa" w:w="60"/>
              <w:right w:type="dxa" w:w="100"/>
            </w:tcMar>
          </w:tcPr>
          <w:p>
            <w:pPr>
              <w:spacing w:after="40"/>
            </w:pPr>
            <w:r>
              <w:rPr>
                <w:b w:val="false"/>
                <w:bCs w:val="false"/>
              </w:rPr>
              <w:t xml:space="preserve">Diferenciar o acesso do "Usuário" (leitura pública) do acesso da "Equipe Técnica" (rotas administrativas, RF003/RF004)</w:t>
            </w:r>
          </w:p>
        </w:tc>
        <w:tc>
          <w:tcPr>
            <w:tcW w:type="dxa" w:w="2600"/>
            <w:tcMar>
              <w:top w:type="dxa" w:w="60"/>
              <w:left w:type="dxa" w:w="100"/>
              <w:bottom w:type="dxa" w:w="60"/>
              <w:right w:type="dxa" w:w="100"/>
            </w:tcMar>
          </w:tcPr>
          <w:p>
            <w:pPr>
              <w:spacing w:after="40"/>
            </w:pPr>
            <w:r>
              <w:rPr>
                <w:b w:val="false"/>
                <w:bCs w:val="false"/>
              </w:rPr>
              <w:t xml:space="preserve">Pendente — nenhum mecanismo concreto descrito na Seção 4.9</w:t>
            </w:r>
          </w:p>
        </w:tc>
      </w:tr>
      <w:tr>
        <w:tc>
          <w:tcPr>
            <w:tcW w:type="dxa" w:w="1800"/>
            <w:tcMar>
              <w:top w:type="dxa" w:w="60"/>
              <w:left w:type="dxa" w:w="100"/>
              <w:bottom w:type="dxa" w:w="60"/>
              <w:right w:type="dxa" w:w="100"/>
            </w:tcMar>
          </w:tcPr>
          <w:p>
            <w:pPr>
              <w:spacing w:after="40"/>
            </w:pPr>
            <w:r>
              <w:rPr>
                <w:b w:val="false"/>
                <w:bCs w:val="false"/>
              </w:rPr>
              <w:t xml:space="preserve">5.23 — Segurança para uso de serviços em nuvem</w:t>
            </w:r>
          </w:p>
        </w:tc>
        <w:tc>
          <w:tcPr>
            <w:tcW w:type="dxa" w:w="2600"/>
            <w:tcMar>
              <w:top w:type="dxa" w:w="60"/>
              <w:left w:type="dxa" w:w="100"/>
              <w:bottom w:type="dxa" w:w="60"/>
              <w:right w:type="dxa" w:w="100"/>
            </w:tcMar>
          </w:tcPr>
          <w:p>
            <w:pPr>
              <w:spacing w:after="40"/>
            </w:pPr>
            <w:r>
              <w:rPr>
                <w:b w:val="false"/>
                <w:bCs w:val="false"/>
              </w:rPr>
              <w:t xml:space="preserve">Definir a responsabilidade compartilhada entre provedor de nuvem e equipe</w:t>
            </w:r>
          </w:p>
        </w:tc>
        <w:tc>
          <w:tcPr>
            <w:tcW w:type="dxa" w:w="2800"/>
            <w:tcMar>
              <w:top w:type="dxa" w:w="60"/>
              <w:left w:type="dxa" w:w="100"/>
              <w:bottom w:type="dxa" w:w="60"/>
              <w:right w:type="dxa" w:w="100"/>
            </w:tcMar>
          </w:tcPr>
          <w:p>
            <w:pPr>
              <w:spacing w:after="40"/>
            </w:pPr>
            <w:r>
              <w:rPr>
                <w:b w:val="false"/>
                <w:bCs w:val="false"/>
              </w:rPr>
              <w:t xml:space="preserve">Documentar, para EC2/RDS/S3, o que é responsabilidade da AWS e o que é do grupo (IAM, security groups, criptografia)</w:t>
            </w:r>
          </w:p>
        </w:tc>
        <w:tc>
          <w:tcPr>
            <w:tcW w:type="dxa" w:w="2600"/>
            <w:tcMar>
              <w:top w:type="dxa" w:w="60"/>
              <w:left w:type="dxa" w:w="100"/>
              <w:bottom w:type="dxa" w:w="60"/>
              <w:right w:type="dxa" w:w="100"/>
            </w:tcMar>
          </w:tcPr>
          <w:p>
            <w:pPr>
              <w:spacing w:after="40"/>
            </w:pPr>
            <w:r>
              <w:rPr>
                <w:b w:val="false"/>
                <w:bCs w:val="false"/>
              </w:rPr>
              <w:t xml:space="preserve">Pendente — 4.9.5 descreve a escolha dos serviços, mas não essa divisão de responsabilidade</w:t>
            </w:r>
          </w:p>
        </w:tc>
      </w:tr>
      <w:tr>
        <w:tc>
          <w:tcPr>
            <w:tcW w:type="dxa" w:w="1800"/>
            <w:tcMar>
              <w:top w:type="dxa" w:w="60"/>
              <w:left w:type="dxa" w:w="100"/>
              <w:bottom w:type="dxa" w:w="60"/>
              <w:right w:type="dxa" w:w="100"/>
            </w:tcMar>
          </w:tcPr>
          <w:p>
            <w:pPr>
              <w:spacing w:after="40"/>
            </w:pPr>
            <w:r>
              <w:rPr>
                <w:b w:val="false"/>
                <w:bCs w:val="false"/>
              </w:rPr>
              <w:t xml:space="preserve">8.2 / 8.3 — Acesso privilegiado / Restrição de acesso</w:t>
            </w:r>
          </w:p>
        </w:tc>
        <w:tc>
          <w:tcPr>
            <w:tcW w:type="dxa" w:w="2600"/>
            <w:tcMar>
              <w:top w:type="dxa" w:w="60"/>
              <w:left w:type="dxa" w:w="100"/>
              <w:bottom w:type="dxa" w:w="60"/>
              <w:right w:type="dxa" w:w="100"/>
            </w:tcMar>
          </w:tcPr>
          <w:p>
            <w:pPr>
              <w:spacing w:after="40"/>
            </w:pPr>
            <w:r>
              <w:rPr>
                <w:b w:val="false"/>
                <w:bCs w:val="false"/>
              </w:rPr>
              <w:t xml:space="preserve">Restringir e revisar periodicamente quem tem acesso de escrita a sistemas de produção</w:t>
            </w:r>
          </w:p>
        </w:tc>
        <w:tc>
          <w:tcPr>
            <w:tcW w:type="dxa" w:w="2800"/>
            <w:tcMar>
              <w:top w:type="dxa" w:w="60"/>
              <w:left w:type="dxa" w:w="100"/>
              <w:bottom w:type="dxa" w:w="60"/>
              <w:right w:type="dxa" w:w="100"/>
            </w:tcMar>
          </w:tcPr>
          <w:p>
            <w:pPr>
              <w:spacing w:after="40"/>
            </w:pPr>
            <w:r>
              <w:rPr>
                <w:b w:val="false"/>
                <w:bCs w:val="false"/>
              </w:rPr>
              <w:t xml:space="preserve">Definir quem tem acesso ao RDS de produção e às credenciais da AWS</w:t>
            </w:r>
          </w:p>
        </w:tc>
        <w:tc>
          <w:tcPr>
            <w:tcW w:type="dxa" w:w="2600"/>
            <w:tcMar>
              <w:top w:type="dxa" w:w="60"/>
              <w:left w:type="dxa" w:w="100"/>
              <w:bottom w:type="dxa" w:w="60"/>
              <w:right w:type="dxa" w:w="100"/>
            </w:tcMar>
          </w:tcPr>
          <w:p>
            <w:pPr>
              <w:spacing w:after="40"/>
            </w:pPr>
            <w:r>
              <w:rPr>
                <w:b w:val="false"/>
                <w:bCs w:val="false"/>
              </w:rPr>
              <w:t xml:space="preserve">Pendente — não documentado</w:t>
            </w:r>
          </w:p>
        </w:tc>
      </w:tr>
      <w:tr>
        <w:tc>
          <w:tcPr>
            <w:tcW w:type="dxa" w:w="1800"/>
            <w:tcMar>
              <w:top w:type="dxa" w:w="60"/>
              <w:left w:type="dxa" w:w="100"/>
              <w:bottom w:type="dxa" w:w="60"/>
              <w:right w:type="dxa" w:w="100"/>
            </w:tcMar>
          </w:tcPr>
          <w:p>
            <w:pPr>
              <w:spacing w:after="40"/>
            </w:pPr>
            <w:r>
              <w:rPr>
                <w:b w:val="false"/>
                <w:bCs w:val="false"/>
              </w:rPr>
              <w:t xml:space="preserve">8.5 — Autenticação segura</w:t>
            </w:r>
          </w:p>
        </w:tc>
        <w:tc>
          <w:tcPr>
            <w:tcW w:type="dxa" w:w="2600"/>
            <w:tcMar>
              <w:top w:type="dxa" w:w="60"/>
              <w:left w:type="dxa" w:w="100"/>
              <w:bottom w:type="dxa" w:w="60"/>
              <w:right w:type="dxa" w:w="100"/>
            </w:tcMar>
          </w:tcPr>
          <w:p>
            <w:pPr>
              <w:spacing w:after="40"/>
            </w:pPr>
            <w:r>
              <w:rPr>
                <w:b w:val="false"/>
                <w:bCs w:val="false"/>
              </w:rPr>
              <w:t xml:space="preserve">Usar mecanismos de autenticação robustos, não implementações caseiras</w:t>
            </w:r>
          </w:p>
        </w:tc>
        <w:tc>
          <w:tcPr>
            <w:tcW w:type="dxa" w:w="2800"/>
            <w:tcMar>
              <w:top w:type="dxa" w:w="60"/>
              <w:left w:type="dxa" w:w="100"/>
              <w:bottom w:type="dxa" w:w="60"/>
              <w:right w:type="dxa" w:w="100"/>
            </w:tcMar>
          </w:tcPr>
          <w:p>
            <w:pPr>
              <w:spacing w:after="40"/>
            </w:pPr>
            <w:r>
              <w:rPr>
                <w:b w:val="false"/>
                <w:bCs w:val="false"/>
              </w:rPr>
              <w:t xml:space="preserve">Se rotas administrativas forem implementadas, usar mecanismo padrão (ex.: JWT)</w:t>
            </w:r>
          </w:p>
        </w:tc>
        <w:tc>
          <w:tcPr>
            <w:tcW w:type="dxa" w:w="2600"/>
            <w:tcMar>
              <w:top w:type="dxa" w:w="60"/>
              <w:left w:type="dxa" w:w="100"/>
              <w:bottom w:type="dxa" w:w="60"/>
              <w:right w:type="dxa" w:w="100"/>
            </w:tcMar>
          </w:tcPr>
          <w:p>
            <w:pPr>
              <w:spacing w:after="40"/>
            </w:pPr>
            <w:r>
              <w:rPr>
                <w:b w:val="false"/>
                <w:bCs w:val="false"/>
              </w:rPr>
              <w:t xml:space="preserve">Pendente — depende da decisão de 5.15</w:t>
            </w:r>
          </w:p>
        </w:tc>
      </w:tr>
      <w:tr>
        <w:tc>
          <w:tcPr>
            <w:tcW w:type="dxa" w:w="1800"/>
            <w:tcMar>
              <w:top w:type="dxa" w:w="60"/>
              <w:left w:type="dxa" w:w="100"/>
              <w:bottom w:type="dxa" w:w="60"/>
              <w:right w:type="dxa" w:w="100"/>
            </w:tcMar>
          </w:tcPr>
          <w:p>
            <w:pPr>
              <w:spacing w:after="40"/>
            </w:pPr>
            <w:r>
              <w:rPr>
                <w:b w:val="false"/>
                <w:bCs w:val="false"/>
              </w:rPr>
              <w:t xml:space="preserve">8.8 — Gestão de vulnerabilidades técnicas</w:t>
            </w:r>
          </w:p>
        </w:tc>
        <w:tc>
          <w:tcPr>
            <w:tcW w:type="dxa" w:w="2600"/>
            <w:tcMar>
              <w:top w:type="dxa" w:w="60"/>
              <w:left w:type="dxa" w:w="100"/>
              <w:bottom w:type="dxa" w:w="60"/>
              <w:right w:type="dxa" w:w="100"/>
            </w:tcMar>
          </w:tcPr>
          <w:p>
            <w:pPr>
              <w:spacing w:after="40"/>
            </w:pPr>
            <w:r>
              <w:rPr>
                <w:b w:val="false"/>
                <w:bCs w:val="false"/>
              </w:rPr>
              <w:t xml:space="preserve">Identificar e corrigir vulnerabilidades conhecidas em dependências</w:t>
            </w:r>
          </w:p>
        </w:tc>
        <w:tc>
          <w:tcPr>
            <w:tcW w:type="dxa" w:w="2800"/>
            <w:tcMar>
              <w:top w:type="dxa" w:w="60"/>
              <w:left w:type="dxa" w:w="100"/>
              <w:bottom w:type="dxa" w:w="60"/>
              <w:right w:type="dxa" w:w="100"/>
            </w:tcMar>
          </w:tcPr>
          <w:p>
            <w:pPr>
              <w:spacing w:after="40"/>
            </w:pPr>
            <w:r>
              <w:rPr>
                <w:b w:val="false"/>
                <w:bCs w:val="false"/>
              </w:rPr>
              <w:t xml:space="preserve">Habilitar verificação automática (ex.: Dependabot) para dependências Python e JavaScript</w:t>
            </w:r>
          </w:p>
        </w:tc>
        <w:tc>
          <w:tcPr>
            <w:tcW w:type="dxa" w:w="2600"/>
            <w:tcMar>
              <w:top w:type="dxa" w:w="60"/>
              <w:left w:type="dxa" w:w="100"/>
              <w:bottom w:type="dxa" w:w="60"/>
              <w:right w:type="dxa" w:w="100"/>
            </w:tcMar>
          </w:tcPr>
          <w:p>
            <w:pPr>
              <w:spacing w:after="40"/>
            </w:pPr>
            <w:r>
              <w:rPr>
                <w:b w:val="false"/>
                <w:bCs w:val="false"/>
              </w:rPr>
              <w:t xml:space="preserve">Pendente</w:t>
            </w:r>
          </w:p>
        </w:tc>
      </w:tr>
      <w:tr>
        <w:tc>
          <w:tcPr>
            <w:tcW w:type="dxa" w:w="1800"/>
            <w:tcMar>
              <w:top w:type="dxa" w:w="60"/>
              <w:left w:type="dxa" w:w="100"/>
              <w:bottom w:type="dxa" w:w="60"/>
              <w:right w:type="dxa" w:w="100"/>
            </w:tcMar>
          </w:tcPr>
          <w:p>
            <w:pPr>
              <w:spacing w:after="40"/>
            </w:pPr>
            <w:r>
              <w:rPr>
                <w:b w:val="false"/>
                <w:bCs w:val="false"/>
              </w:rPr>
              <w:t xml:space="preserve">8.13 — Cópia de segurança (backup)</w:t>
            </w:r>
          </w:p>
        </w:tc>
        <w:tc>
          <w:tcPr>
            <w:tcW w:type="dxa" w:w="2600"/>
            <w:tcMar>
              <w:top w:type="dxa" w:w="60"/>
              <w:left w:type="dxa" w:w="100"/>
              <w:bottom w:type="dxa" w:w="60"/>
              <w:right w:type="dxa" w:w="100"/>
            </w:tcMar>
          </w:tcPr>
          <w:p>
            <w:pPr>
              <w:spacing w:after="40"/>
            </w:pPr>
            <w:r>
              <w:rPr>
                <w:b w:val="false"/>
                <w:bCs w:val="false"/>
              </w:rPr>
              <w:t xml:space="preserve">Definir e testar periodicamente uma política de backup</w:t>
            </w:r>
          </w:p>
        </w:tc>
        <w:tc>
          <w:tcPr>
            <w:tcW w:type="dxa" w:w="2800"/>
            <w:tcMar>
              <w:top w:type="dxa" w:w="60"/>
              <w:left w:type="dxa" w:w="100"/>
              <w:bottom w:type="dxa" w:w="60"/>
              <w:right w:type="dxa" w:w="100"/>
            </w:tcMar>
          </w:tcPr>
          <w:p>
            <w:pPr>
              <w:spacing w:after="40"/>
            </w:pPr>
            <w:r>
              <w:rPr>
                <w:b w:val="false"/>
                <w:bCs w:val="false"/>
              </w:rPr>
              <w:t xml:space="preserve">RDS já oferece backup automático nativo; falta documentar retenção e testar restore</w:t>
            </w:r>
          </w:p>
        </w:tc>
        <w:tc>
          <w:tcPr>
            <w:tcW w:type="dxa" w:w="2600"/>
            <w:tcMar>
              <w:top w:type="dxa" w:w="60"/>
              <w:left w:type="dxa" w:w="100"/>
              <w:bottom w:type="dxa" w:w="60"/>
              <w:right w:type="dxa" w:w="100"/>
            </w:tcMar>
          </w:tcPr>
          <w:p>
            <w:pPr>
              <w:spacing w:after="40"/>
            </w:pPr>
            <w:r>
              <w:rPr>
                <w:b w:val="false"/>
                <w:bCs w:val="false"/>
              </w:rPr>
              <w:t xml:space="preserve">Parcialmente coberto</w:t>
            </w:r>
          </w:p>
        </w:tc>
      </w:tr>
      <w:tr>
        <w:tc>
          <w:tcPr>
            <w:tcW w:type="dxa" w:w="1800"/>
            <w:tcMar>
              <w:top w:type="dxa" w:w="60"/>
              <w:left w:type="dxa" w:w="100"/>
              <w:bottom w:type="dxa" w:w="60"/>
              <w:right w:type="dxa" w:w="100"/>
            </w:tcMar>
          </w:tcPr>
          <w:p>
            <w:pPr>
              <w:spacing w:after="40"/>
            </w:pPr>
            <w:r>
              <w:rPr>
                <w:b w:val="false"/>
                <w:bCs w:val="false"/>
              </w:rPr>
              <w:t xml:space="preserve">8.15 / 8.16 — Registro de eventos e monitoramento</w:t>
            </w:r>
          </w:p>
        </w:tc>
        <w:tc>
          <w:tcPr>
            <w:tcW w:type="dxa" w:w="2600"/>
            <w:tcMar>
              <w:top w:type="dxa" w:w="60"/>
              <w:left w:type="dxa" w:w="100"/>
              <w:bottom w:type="dxa" w:w="60"/>
              <w:right w:type="dxa" w:w="100"/>
            </w:tcMar>
          </w:tcPr>
          <w:p>
            <w:pPr>
              <w:spacing w:after="40"/>
            </w:pPr>
            <w:r>
              <w:rPr>
                <w:b w:val="false"/>
                <w:bCs w:val="false"/>
              </w:rPr>
              <w:t xml:space="preserve">Registrar e revisar eventos de segurança e operação</w:t>
            </w:r>
          </w:p>
        </w:tc>
        <w:tc>
          <w:tcPr>
            <w:tcW w:type="dxa" w:w="2800"/>
            <w:tcMar>
              <w:top w:type="dxa" w:w="60"/>
              <w:left w:type="dxa" w:w="100"/>
              <w:bottom w:type="dxa" w:w="60"/>
              <w:right w:type="dxa" w:w="100"/>
            </w:tcMar>
          </w:tcPr>
          <w:p>
            <w:pPr>
              <w:spacing w:after="40"/>
            </w:pPr>
            <w:r>
              <w:rPr>
                <w:b w:val="false"/>
                <w:bCs w:val="false"/>
              </w:rPr>
              <w:t xml:space="preserve">log_processamento já registra eventos de aplicação; falta decidir logs de infraestrutura (CloudTrail) e ferramenta de monitoramento</w:t>
            </w:r>
          </w:p>
        </w:tc>
        <w:tc>
          <w:tcPr>
            <w:tcW w:type="dxa" w:w="2600"/>
            <w:tcMar>
              <w:top w:type="dxa" w:w="60"/>
              <w:left w:type="dxa" w:w="100"/>
              <w:bottom w:type="dxa" w:w="60"/>
              <w:right w:type="dxa" w:w="100"/>
            </w:tcMar>
          </w:tcPr>
          <w:p>
            <w:pPr>
              <w:spacing w:after="40"/>
            </w:pPr>
            <w:r>
              <w:rPr>
                <w:b w:val="false"/>
                <w:bCs w:val="false"/>
              </w:rPr>
              <w:t xml:space="preserve">Parcialmente coberto</w:t>
            </w:r>
          </w:p>
        </w:tc>
      </w:tr>
      <w:tr>
        <w:tc>
          <w:tcPr>
            <w:tcW w:type="dxa" w:w="1800"/>
            <w:tcMar>
              <w:top w:type="dxa" w:w="60"/>
              <w:left w:type="dxa" w:w="100"/>
              <w:bottom w:type="dxa" w:w="60"/>
              <w:right w:type="dxa" w:w="100"/>
            </w:tcMar>
          </w:tcPr>
          <w:p>
            <w:pPr>
              <w:spacing w:after="40"/>
            </w:pPr>
            <w:r>
              <w:rPr>
                <w:b w:val="false"/>
                <w:bCs w:val="false"/>
              </w:rPr>
              <w:t xml:space="preserve">8.24 — Uso de criptografia</w:t>
            </w:r>
          </w:p>
        </w:tc>
        <w:tc>
          <w:tcPr>
            <w:tcW w:type="dxa" w:w="2600"/>
            <w:tcMar>
              <w:top w:type="dxa" w:w="60"/>
              <w:left w:type="dxa" w:w="100"/>
              <w:bottom w:type="dxa" w:w="60"/>
              <w:right w:type="dxa" w:w="100"/>
            </w:tcMar>
          </w:tcPr>
          <w:p>
            <w:pPr>
              <w:spacing w:after="40"/>
            </w:pPr>
            <w:r>
              <w:rPr>
                <w:b w:val="false"/>
                <w:bCs w:val="false"/>
              </w:rPr>
              <w:t xml:space="preserve">Proteger confidencialidade e integridade em trânsito e em repouso</w:t>
            </w:r>
          </w:p>
        </w:tc>
        <w:tc>
          <w:tcPr>
            <w:tcW w:type="dxa" w:w="2800"/>
            <w:tcMar>
              <w:top w:type="dxa" w:w="60"/>
              <w:left w:type="dxa" w:w="100"/>
              <w:bottom w:type="dxa" w:w="60"/>
              <w:right w:type="dxa" w:w="100"/>
            </w:tcMar>
          </w:tcPr>
          <w:p>
            <w:pPr>
              <w:spacing w:after="40"/>
            </w:pPr>
            <w:r>
              <w:rPr>
                <w:b w:val="false"/>
                <w:bCs w:val="false"/>
              </w:rPr>
              <w:t xml:space="preserve">Confirmar criptografia em repouso no RDS/S3 e HTTPS em toda comunicação com a API</w:t>
            </w:r>
          </w:p>
        </w:tc>
        <w:tc>
          <w:tcPr>
            <w:tcW w:type="dxa" w:w="2600"/>
            <w:tcMar>
              <w:top w:type="dxa" w:w="60"/>
              <w:left w:type="dxa" w:w="100"/>
              <w:bottom w:type="dxa" w:w="60"/>
              <w:right w:type="dxa" w:w="100"/>
            </w:tcMar>
          </w:tcPr>
          <w:p>
            <w:pPr>
              <w:spacing w:after="40"/>
            </w:pPr>
            <w:r>
              <w:rPr>
                <w:b w:val="false"/>
                <w:bCs w:val="false"/>
              </w:rPr>
              <w:t xml:space="preserve">Pendente de confirmação</w:t>
            </w:r>
          </w:p>
        </w:tc>
      </w:tr>
      <w:tr>
        <w:tc>
          <w:tcPr>
            <w:tcW w:type="dxa" w:w="1800"/>
            <w:tcMar>
              <w:top w:type="dxa" w:w="60"/>
              <w:left w:type="dxa" w:w="100"/>
              <w:bottom w:type="dxa" w:w="60"/>
              <w:right w:type="dxa" w:w="100"/>
            </w:tcMar>
          </w:tcPr>
          <w:p>
            <w:pPr>
              <w:spacing w:after="40"/>
            </w:pPr>
            <w:r>
              <w:rPr>
                <w:b w:val="false"/>
                <w:bCs w:val="false"/>
              </w:rPr>
              <w:t xml:space="preserve">8.25 — Ciclo de vida de desenvolvimento seguro</w:t>
            </w:r>
          </w:p>
        </w:tc>
        <w:tc>
          <w:tcPr>
            <w:tcW w:type="dxa" w:w="2600"/>
            <w:tcMar>
              <w:top w:type="dxa" w:w="60"/>
              <w:left w:type="dxa" w:w="100"/>
              <w:bottom w:type="dxa" w:w="60"/>
              <w:right w:type="dxa" w:w="100"/>
            </w:tcMar>
          </w:tcPr>
          <w:p>
            <w:pPr>
              <w:spacing w:after="40"/>
            </w:pPr>
            <w:r>
              <w:rPr>
                <w:b w:val="false"/>
                <w:bCs w:val="false"/>
              </w:rPr>
              <w:t xml:space="preserve">Incorporar verificações de segurança ao processo de desenvolvimento</w:t>
            </w:r>
          </w:p>
        </w:tc>
        <w:tc>
          <w:tcPr>
            <w:tcW w:type="dxa" w:w="2800"/>
            <w:tcMar>
              <w:top w:type="dxa" w:w="60"/>
              <w:left w:type="dxa" w:w="100"/>
              <w:bottom w:type="dxa" w:w="60"/>
              <w:right w:type="dxa" w:w="100"/>
            </w:tcMar>
          </w:tcPr>
          <w:p>
            <w:pPr>
              <w:spacing w:after="40"/>
            </w:pPr>
            <w:r>
              <w:rPr>
                <w:b w:val="false"/>
                <w:bCs w:val="false"/>
              </w:rPr>
              <w:t xml:space="preserve">Pytest já cobre testes funcionais; nenhuma verificação de segurança incorporada</w:t>
            </w:r>
          </w:p>
        </w:tc>
        <w:tc>
          <w:tcPr>
            <w:tcW w:type="dxa" w:w="2600"/>
            <w:tcMar>
              <w:top w:type="dxa" w:w="60"/>
              <w:left w:type="dxa" w:w="100"/>
              <w:bottom w:type="dxa" w:w="60"/>
              <w:right w:type="dxa" w:w="100"/>
            </w:tcMar>
          </w:tcPr>
          <w:p>
            <w:pPr>
              <w:spacing w:after="40"/>
            </w:pPr>
            <w:r>
              <w:rPr>
                <w:b w:val="false"/>
                <w:bCs w:val="false"/>
              </w:rPr>
              <w:t xml:space="preserve">Pendente — mesma pendência de CI/CD</w:t>
            </w:r>
          </w:p>
        </w:tc>
      </w:tr>
      <w:tr>
        <w:tc>
          <w:tcPr>
            <w:tcW w:type="dxa" w:w="1800"/>
            <w:tcMar>
              <w:top w:type="dxa" w:w="60"/>
              <w:left w:type="dxa" w:w="100"/>
              <w:bottom w:type="dxa" w:w="60"/>
              <w:right w:type="dxa" w:w="100"/>
            </w:tcMar>
          </w:tcPr>
          <w:p>
            <w:pPr>
              <w:spacing w:after="40"/>
            </w:pPr>
            <w:r>
              <w:rPr>
                <w:b w:val="false"/>
                <w:bCs w:val="false"/>
              </w:rPr>
              <w:t xml:space="preserve">8.32 — Gestão de mudanças</w:t>
            </w:r>
          </w:p>
        </w:tc>
        <w:tc>
          <w:tcPr>
            <w:tcW w:type="dxa" w:w="2600"/>
            <w:tcMar>
              <w:top w:type="dxa" w:w="60"/>
              <w:left w:type="dxa" w:w="100"/>
              <w:bottom w:type="dxa" w:w="60"/>
              <w:right w:type="dxa" w:w="100"/>
            </w:tcMar>
          </w:tcPr>
          <w:p>
            <w:pPr>
              <w:spacing w:after="40"/>
            </w:pPr>
            <w:r>
              <w:rPr>
                <w:b w:val="false"/>
                <w:bCs w:val="false"/>
              </w:rPr>
              <w:t xml:space="preserve">Aplicar processo mínimo e documentado para mudanças em produção</w:t>
            </w:r>
          </w:p>
        </w:tc>
        <w:tc>
          <w:tcPr>
            <w:tcW w:type="dxa" w:w="2800"/>
            <w:tcMar>
              <w:top w:type="dxa" w:w="60"/>
              <w:left w:type="dxa" w:w="100"/>
              <w:bottom w:type="dxa" w:w="60"/>
              <w:right w:type="dxa" w:w="100"/>
            </w:tcMar>
          </w:tcPr>
          <w:p>
            <w:pPr>
              <w:spacing w:after="40"/>
            </w:pPr>
            <w:r>
              <w:rPr>
                <w:b w:val="false"/>
                <w:bCs w:val="false"/>
              </w:rPr>
              <w:t xml:space="preserve">Trocar o modelo .joblib em produção deveria seguir convenção de versão + registro ativo</w:t>
            </w:r>
          </w:p>
        </w:tc>
        <w:tc>
          <w:tcPr>
            <w:tcW w:type="dxa" w:w="2600"/>
            <w:tcMar>
              <w:top w:type="dxa" w:w="60"/>
              <w:left w:type="dxa" w:w="100"/>
              <w:bottom w:type="dxa" w:w="60"/>
              <w:right w:type="dxa" w:w="100"/>
            </w:tcMar>
          </w:tcPr>
          <w:p>
            <w:pPr>
              <w:spacing w:after="40"/>
            </w:pPr>
            <w:r>
              <w:rPr>
                <w:b w:val="false"/>
                <w:bCs w:val="false"/>
              </w:rPr>
              <w:t xml:space="preserve">Parcialmente coberto — campo "versao" existe, processo de troca não</w:t>
            </w:r>
          </w:p>
        </w:tc>
      </w:tr>
    </w:tbl>
    <w:p>
      <w:pPr>
        <w:spacing w:after="140"/>
      </w:pPr>
      <w:r>
        <w:t xml:space="preserve"/>
      </w:r>
    </w:p>
    <w:p>
      <w:pPr>
        <w:pStyle w:val="Heading2"/>
        <w:spacing w:after="140" w:before="260"/>
      </w:pPr>
      <w:r>
        <w:t xml:space="preserve">5.3 Nota sobre Privacidade: ISO/IEC 27701</w:t>
      </w:r>
    </w:p>
    <w:p>
      <w:pPr>
        <w:spacing w:after="140"/>
      </w:pPr>
      <w:r>
        <w:t xml:space="preserve">A ISO/IEC 27701:2019 é extensão da ISO/IEC 27001/27002 para gestão de informações de privacidade, conectando-se diretamente à LGPD. Este anexo não constrói uma tabela de controles da 27701, pelo mesmo motivo pelo qual não persegue certificação plena na 27001 — seria desproporcional a um protótipo acadêmico. Registra-se aqui apenas como referência normativa disponível, caso o grupo queira formalizar mais a discussão de LGPD hoje presente apenas na característica Confidencialidade (Seção 3) e na futura subseção de Considerações Éticas do TC2, ainda inexistente.</w:t>
      </w:r>
    </w:p>
    <w:p>
      <w:pPr>
        <w:spacing w:after="140"/>
      </w:pPr>
      <w:r>
        <w:rPr>
          <w:i/>
          <w:iCs/>
        </w:rPr>
        <w:t xml:space="preserve">Nota de transposição: a Seção 5 completa (5.1 a 5.3) é o conteúdo destinado a preencher a lacuna de segurança da Seção 4.9 do TC2. Referência de destino atualizada nesta v4 (era "Capítulo 5" nas versões 1 a 3).</w:t>
      </w:r>
    </w:p>
    <w:p>
      <w:pPr>
        <w:pStyle w:val="Heading1"/>
        <w:spacing w:after="160" w:before="320"/>
      </w:pPr>
      <w:r>
        <w:t xml:space="preserve">6. Observações Finais e Pendências</w:t>
      </w:r>
    </w:p>
    <w:p>
      <w:pPr>
        <w:pStyle w:val="ListParagraph"/>
        <w:numPr>
          <w:ilvl w:val="0"/>
          <w:numId w:val="1"/>
        </w:numPr>
        <w:spacing w:after="80"/>
      </w:pPr>
      <w:r>
        <w:t xml:space="preserve">Este anexo cobre o modelo de qualidade de produto (ISO/IEC 25010), o modelo de qualidade de dados (ISO/IEC 25012), a extensão para sistemas de IA (ISO/IEC 25059) e um conjunto selecionado de controles de segurança da informação (ISO/IEC 27002), com nota sobre a extensão de privacidade (ISO/IEC 27701). Não cobre o modelo de qualidade em uso (ISO/IEC 25019:2023), o processo formal de avaliação (ISO/IEC 25040), nem uma implantação certificável de SGSI (ISO/IEC 27001) — nenhum desses é proporcional ao escopo de um TCC.</w:t>
      </w:r>
    </w:p>
    <w:p>
      <w:pPr>
        <w:pStyle w:val="ListParagraph"/>
        <w:numPr>
          <w:ilvl w:val="0"/>
          <w:numId w:val="1"/>
        </w:numPr>
        <w:spacing w:after="80"/>
      </w:pPr>
      <w:r>
        <w:t xml:space="preserve">A divergência entre MMAING e Random Forest segue, sem mudança desde a v3, resolvida nos campos operacionais do TC2 (Ação de RF002/RF004, Seção 4.2). O que resta é a frase de contraste explícito ainda ausente nos campos "Observações" de RF002/RF004 e na Seção 3.5 (Trabalhos Relacionados) — ver Definição Conceitual v12, Seção 6.</w:t>
      </w:r>
    </w:p>
    <w:p>
      <w:pPr>
        <w:pStyle w:val="ListParagraph"/>
        <w:numPr>
          <w:ilvl w:val="0"/>
          <w:numId w:val="1"/>
        </w:numPr>
        <w:spacing w:after="80"/>
      </w:pPr>
      <w:r>
        <w:t xml:space="preserve">RESOLVIDO NESTA V4 (decisão, não ação prática): a granularidade geográfica por bairro/região não é mais uma pendência de decisão — o SIVEP-Gripe/SINAN não disponibiliza esse campo, e o grupo já decidiu, na Introdução do TC2, usar NM_UN_INTE apenas na camada de consulta do dashboard, mantendo a modelagem municipal. O que permanece pendente é a ação prática: as tabelas bairro, regiao e bairro_predicao no esquema de banco de dados da Seção 4.9.3 do TC2 ainda não foram removidas nem substituídas por uma estrutura para unidade de notificação, e os Requisitos Funcionais (RF001, RF002, RF004) e as Etapas do Projeto (4.6.2 a 4.6.5) ainda descrevem filtro por "bairro".</w:t>
      </w:r>
    </w:p>
    <w:p>
      <w:pPr>
        <w:pStyle w:val="ListParagraph"/>
        <w:numPr>
          <w:ilvl w:val="0"/>
          <w:numId w:val="1"/>
        </w:numPr>
        <w:spacing w:after="80"/>
      </w:pPr>
      <w:r>
        <w:t xml:space="preserve">NOVO E CRÍTICO NESTA V4: o critério de confirmação laboratorial documentado na Tabela 1 do TC2 (Seção 3.3, CLASSI_FIN/PCR_RESUL/POS_PCRFLU/TP_FLU_PCR/POS_AN_FLU/TP_FLU_AN) não corresponde aos campos efetivamente presentes no arquivo de dados consolidado do grupo, que usa apenas o campo de subtipo PCR_FLUASU, com codificação antiga de 6 categorias presente inclusive em registros de 2022 a 2026. Isso afeta diretamente as características de Exatidão e Consistência (Seção 3 deste anexo) e precisa ser resolvido — por re-extração dos dados com os campos corretos, ou por atualização formal da Tabela 1 do TC2 para descrever o critério efetivamente usado, com a ressalva de subestimação correspondente — antes que qualquer número de "casos confirmados" do projeto seja tratado como definitivo.</w:t>
      </w:r>
    </w:p>
    <w:p>
      <w:pPr>
        <w:pStyle w:val="ListParagraph"/>
        <w:numPr>
          <w:ilvl w:val="0"/>
          <w:numId w:val="1"/>
        </w:numPr>
        <w:spacing w:after="80"/>
      </w:pPr>
      <w:r>
        <w:t xml:space="preserve">Nenhuma das tabelas deste anexo substitui os requisitos funcionais (RF001–RF004) já definidos no projeto — elas complementam os requisitos funcionais com requisitos não funcionais (atributos de qualidade e controles de segurança), um tipo de requisito formalmente distinto.</w:t>
      </w:r>
    </w:p>
    <w:p>
      <w:pPr>
        <w:pStyle w:val="ListParagraph"/>
        <w:numPr>
          <w:ilvl w:val="0"/>
          <w:numId w:val="1"/>
        </w:numPr>
        <w:spacing w:after="80"/>
      </w:pPr>
      <w:r>
        <w:t xml:space="preserve">A revisão em consulta pública da ISO/IEC 25059 (Draft International Standard, votação encerrada em março de 2026) não foi incorporada a este anexo por ainda não ter status de norma publicada — deve ser revisitada caso seja publicada antes da defesa do TCC.</w:t>
      </w:r>
    </w:p>
    <w:p>
      <w:pPr>
        <w:pStyle w:val="ListParagraph"/>
        <w:numPr>
          <w:ilvl w:val="0"/>
          <w:numId w:val="1"/>
        </w:numPr>
        <w:spacing w:after="80"/>
      </w:pPr>
      <w:r>
        <w:t xml:space="preserve">A incorporação da Seção 5 (ISO/IEC 27002) a este anexo não substitui a necessidade de o grupo efetivamente tomar as decisões técnicas listadas na tabela 5.2 — o anexo aponta o quê decidir e com que referência normativa, não decide por conta própria em nome do grupo.</w:t>
      </w:r>
    </w:p>
    <w:p>
      <w:pPr>
        <w:spacing w:after="140"/>
      </w:pPr>
      <w:r>
        <w:t xml:space="preserve"/>
      </w:r>
    </w:p>
    <w:p>
      <w:pPr>
        <w:pStyle w:val="Heading2"/>
        <w:spacing w:after="140" w:before="260"/>
      </w:pPr>
      <w:r>
        <w:t xml:space="preserve">Referências</w:t>
      </w:r>
    </w:p>
    <w:p>
      <w:pPr>
        <w:spacing w:after="140"/>
      </w:pPr>
      <w:r>
        <w:t xml:space="preserve">INTERNATIONAL ORGANIZATION FOR STANDARDIZATION; INTERNATIONAL ELECTROTECHNICAL COMMISSION. ISO/IEC 25010:2023 — Systems and software engineering — Systems and software Quality Requirements and Evaluation (SQuaRE) — Product quality model. Geneva: ISO/IEC, 2023.</w:t>
      </w:r>
    </w:p>
    <w:p>
      <w:pPr>
        <w:spacing w:after="140"/>
      </w:pPr>
      <w:r>
        <w:t xml:space="preserve">INTERNATIONAL ORGANIZATION FOR STANDARDIZATION; INTERNATIONAL ELECTROTECHNICAL COMMISSION. ISO/IEC 25012:2008 — Software engineering — Software product Quality Requirements and Evaluation (SQuaRE) — Data quality model. Geneva: ISO/IEC, 2008.</w:t>
      </w:r>
    </w:p>
    <w:p>
      <w:pPr>
        <w:spacing w:after="140"/>
      </w:pPr>
      <w:r>
        <w:t xml:space="preserve">INTERNATIONAL ORGANIZATION FOR STANDARDIZATION; INTERNATIONAL ELECTROTECHNICAL COMMISSION. ISO/IEC 25059:2023 — Software engineering — Systems and software Quality Requirements and Evaluation (SQuaRE) — Quality model for AI systems. Geneva: ISO/IEC JTC 1/SC 42, 2023.</w:t>
      </w:r>
    </w:p>
    <w:p>
      <w:pPr>
        <w:spacing w:after="140"/>
      </w:pPr>
      <w:r>
        <w:t xml:space="preserve">INTERNATIONAL ORGANIZATION FOR STANDARDIZATION; INTERNATIONAL ELECTROTECHNICAL COMMISSION. ISO/IEC 27002:2022 — Information security, cybersecurity and privacy protection — Information security controls. Geneva: ISO/IEC, 2022.</w:t>
      </w:r>
    </w:p>
    <w:p>
      <w:pPr>
        <w:spacing w:after="140"/>
      </w:pPr>
      <w:r>
        <w:t xml:space="preserve">INTERNATIONAL ORGANIZATION FOR STANDARDIZATION; INTERNATIONAL ELECTROTECHNICAL COMMISSION. ISO/IEC 27701:2019 — Security techniques — Extension to ISO/IEC 27001 and ISO/IEC 27002 for privacy information management — Requirements and guidelines. Geneva: ISO/IEC, 2019.</w:t>
      </w:r>
    </w:p>
    <w:p>
      <w:pPr>
        <w:spacing w:after="140"/>
      </w:pPr>
      <w:r>
        <w:t xml:space="preserve">BORGES, Dérick et al. Combining machine learning and dynamic system techniques to early detection of respiratory outbreaks in routinely collected primary healthcare records. BMC Medical Research Methodology, Salvador, v. 25, n. 99, p. 1-20, 2025. Disponível em: https://link.springer.com/article/10.1186/s12874-025-02542-0. Acesso em: 14 abr.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2026-09-27T10:19:06.227Z</dcterms:created>
  <dcterms:modified xsi:type="dcterms:W3CDTF">2026-09-27T10:19:06.237Z</dcterms:modified>
</cp:coreProperties>
</file>

<file path=docProps/custom.xml><?xml version="1.0" encoding="utf-8"?>
<Properties xmlns="http://schemas.openxmlformats.org/officeDocument/2006/custom-properties" xmlns:vt="http://schemas.openxmlformats.org/officeDocument/2006/docPropsVTypes"/>
</file>