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pPr>
      <w:r>
        <w:rPr>
          <w:i/>
          <w:iCs/>
        </w:rPr>
        <w:t xml:space="preserve">Definição Conceitual do Projeto — v12</w:t>
      </w:r>
    </w:p>
    <w:p>
      <w:pPr>
        <w:spacing w:after="100" w:before="200"/>
        <w:jc w:val="center"/>
      </w:pPr>
      <w:r>
        <w:rPr>
          <w:b/>
          <w:bCs/>
        </w:rPr>
        <w:t xml:space="preserve">DEFINIÇÃO CONCEITUAL DO PROJETO</w:t>
      </w:r>
    </w:p>
    <w:p>
      <w:pPr>
        <w:spacing w:after="100"/>
        <w:jc w:val="center"/>
      </w:pPr>
      <w:r>
        <w:rPr>
          <w:b/>
          <w:bCs/>
        </w:rPr>
        <w:t xml:space="preserve">Análise Preditiva de Influenza A no Município de São Paulo com Inteligência Artificial</w:t>
      </w:r>
    </w:p>
    <w:p>
      <w:pPr>
        <w:spacing w:after="140"/>
        <w:jc w:val="center"/>
      </w:pPr>
      <w:r>
        <w:rPr>
          <w:i/>
          <w:iCs/>
        </w:rPr>
        <w:t xml:space="preserve">Base de dados: SIVEP-Gripe / SRAG (subsistema DATASUS); dados harmonizados SINAN 2009–2018.</w:t>
      </w:r>
    </w:p>
    <w:p>
      <w:pPr>
        <w:spacing w:after="140"/>
        <w:jc w:val="center"/>
      </w:pPr>
      <w:r>
        <w:rPr>
          <w:i/>
          <w:iCs/>
        </w:rPr>
        <w:t xml:space="preserve">Documento de apoio interno — insumo para Introdução, Justificativa, Revisão Bibliográfica, Delimitações, Metodologia, Considerações Éticas e Documentação Técnica da Arquitetura do documento principal (TCC C D H M). Esta v12 é a primeira revisão feita a partir do arquivo TCC_-_C_D_H_M_(TC2).docx, cuja Introdução foi integralmente reescrita e é hoje o capítulo mais atualizado do documento principal — o restante do texto (Objetivos, Revisão de Literatura, Material e Método, Documentação da Arquitetura) ainda não foi ajustado à mesma decisão de escopo.</w:t>
      </w:r>
    </w:p>
    <w:p>
      <w:pPr>
        <w:pStyle w:val="Heading1"/>
        <w:spacing w:after="160" w:before="320"/>
      </w:pPr>
      <w:r>
        <w:t xml:space="preserve">Histórico de Versões</w:t>
      </w:r>
    </w:p>
    <w:p>
      <w:pPr>
        <w:spacing w:after="140"/>
      </w:pPr>
      <w:r>
        <w:t xml:space="preserve">As versões 1 a 11 estão resumidas na tabela abaixo por fidelidade histórica; o detalhamento integral de cada uma permanece no arquivo da v11. A Versão 12, discriminada em seguida, é a única desenvolvida na íntegra neste documento.</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6600"/>
      </w:tblGrid>
      <w:tr>
        <w:tc>
          <w:tcPr>
            <w:tcW w:type="dxa" w:w="1300"/>
            <w:shd w:fill="D9D9D9" w:val="clear"/>
            <w:tcMar>
              <w:top w:type="dxa" w:w="60"/>
              <w:left w:type="dxa" w:w="100"/>
              <w:bottom w:type="dxa" w:w="60"/>
              <w:right w:type="dxa" w:w="100"/>
            </w:tcMar>
          </w:tcPr>
          <w:p>
            <w:pPr>
              <w:spacing w:after="40"/>
            </w:pPr>
            <w:r>
              <w:rPr>
                <w:b/>
                <w:bCs/>
              </w:rPr>
              <w:t xml:space="preserve">Versão</w:t>
            </w:r>
          </w:p>
        </w:tc>
        <w:tc>
          <w:tcPr>
            <w:tcW w:type="dxa" w:w="2400"/>
            <w:shd w:fill="D9D9D9" w:val="clear"/>
            <w:tcMar>
              <w:top w:type="dxa" w:w="60"/>
              <w:left w:type="dxa" w:w="100"/>
              <w:bottom w:type="dxa" w:w="60"/>
              <w:right w:type="dxa" w:w="100"/>
            </w:tcMar>
          </w:tcPr>
          <w:p>
            <w:pPr>
              <w:spacing w:after="40"/>
            </w:pPr>
            <w:r>
              <w:rPr>
                <w:b/>
                <w:bCs/>
              </w:rPr>
              <w:t xml:space="preserve">Data</w:t>
            </w:r>
          </w:p>
        </w:tc>
        <w:tc>
          <w:tcPr>
            <w:tcW w:type="dxa" w:w="6600"/>
            <w:shd w:fill="D9D9D9" w:val="clear"/>
            <w:tcMar>
              <w:top w:type="dxa" w:w="60"/>
              <w:left w:type="dxa" w:w="100"/>
              <w:bottom w:type="dxa" w:w="60"/>
              <w:right w:type="dxa" w:w="100"/>
            </w:tcMar>
          </w:tcPr>
          <w:p>
            <w:pPr>
              <w:spacing w:after="40"/>
            </w:pPr>
            <w:r>
              <w:rPr>
                <w:b/>
                <w:bCs/>
              </w:rPr>
              <w:t xml:space="preserve">Resumo de uma linha</w:t>
            </w:r>
          </w:p>
        </w:tc>
      </w:tr>
      <w:tr>
        <w:tc>
          <w:tcPr>
            <w:tcW w:type="dxa" w:w="1300"/>
            <w:tcMar>
              <w:top w:type="dxa" w:w="60"/>
              <w:left w:type="dxa" w:w="100"/>
              <w:bottom w:type="dxa" w:w="60"/>
              <w:right w:type="dxa" w:w="100"/>
            </w:tcMar>
          </w:tcPr>
          <w:p>
            <w:pPr>
              <w:spacing w:after="40"/>
            </w:pPr>
            <w:r>
              <w:rPr>
                <w:b w:val="false"/>
                <w:bCs w:val="false"/>
              </w:rPr>
              <w:t xml:space="preserve">1–5</w:t>
            </w:r>
          </w:p>
        </w:tc>
        <w:tc>
          <w:tcPr>
            <w:tcW w:type="dxa" w:w="2400"/>
            <w:tcMar>
              <w:top w:type="dxa" w:w="60"/>
              <w:left w:type="dxa" w:w="100"/>
              <w:bottom w:type="dxa" w:w="60"/>
              <w:right w:type="dxa" w:w="100"/>
            </w:tcMar>
          </w:tcPr>
          <w:p>
            <w:pPr>
              <w:spacing w:after="40"/>
            </w:pPr>
            <w:r>
              <w:rPr>
                <w:b w:val="false"/>
                <w:bCs w:val="false"/>
              </w:rPr>
              <w:t xml:space="preserve">até 06/08/2026</w:t>
            </w:r>
          </w:p>
        </w:tc>
        <w:tc>
          <w:tcPr>
            <w:tcW w:type="dxa" w:w="6600"/>
            <w:tcMar>
              <w:top w:type="dxa" w:w="60"/>
              <w:left w:type="dxa" w:w="100"/>
              <w:bottom w:type="dxa" w:w="60"/>
              <w:right w:type="dxa" w:w="100"/>
            </w:tcMar>
          </w:tcPr>
          <w:p>
            <w:pPr>
              <w:spacing w:after="40"/>
            </w:pPr>
            <w:r>
              <w:rPr>
                <w:b w:val="false"/>
                <w:bCs w:val="false"/>
              </w:rPr>
              <w:t xml:space="preserve">Primeiras versões: levantamento inicial de escopo, trabalhos correlatos, comparação de modelos e cuidados de qualidade de dados.</w:t>
            </w:r>
          </w:p>
        </w:tc>
      </w:tr>
      <w:tr>
        <w:tc>
          <w:tcPr>
            <w:tcW w:type="dxa" w:w="1300"/>
            <w:tcMar>
              <w:top w:type="dxa" w:w="60"/>
              <w:left w:type="dxa" w:w="100"/>
              <w:bottom w:type="dxa" w:w="60"/>
              <w:right w:type="dxa" w:w="100"/>
            </w:tcMar>
          </w:tcPr>
          <w:p>
            <w:pPr>
              <w:spacing w:after="40"/>
            </w:pPr>
            <w:r>
              <w:rPr>
                <w:b w:val="false"/>
                <w:bCs w:val="false"/>
              </w:rPr>
              <w:t xml:space="preserve">6</w:t>
            </w:r>
          </w:p>
        </w:tc>
        <w:tc>
          <w:tcPr>
            <w:tcW w:type="dxa" w:w="2400"/>
            <w:tcMar>
              <w:top w:type="dxa" w:w="60"/>
              <w:left w:type="dxa" w:w="100"/>
              <w:bottom w:type="dxa" w:w="60"/>
              <w:right w:type="dxa" w:w="100"/>
            </w:tcMar>
          </w:tcPr>
          <w:p>
            <w:pPr>
              <w:spacing w:after="40"/>
            </w:pPr>
            <w:r>
              <w:rPr>
                <w:b w:val="false"/>
                <w:bCs w:val="false"/>
              </w:rPr>
              <w:t xml:space="preserve">28/07/2026</w:t>
            </w:r>
          </w:p>
        </w:tc>
        <w:tc>
          <w:tcPr>
            <w:tcW w:type="dxa" w:w="6600"/>
            <w:tcMar>
              <w:top w:type="dxa" w:w="60"/>
              <w:left w:type="dxa" w:w="100"/>
              <w:bottom w:type="dxa" w:w="60"/>
              <w:right w:type="dxa" w:w="100"/>
            </w:tcMar>
          </w:tcPr>
          <w:p>
            <w:pPr>
              <w:spacing w:after="40"/>
            </w:pPr>
            <w:r>
              <w:rPr>
                <w:b w:val="false"/>
                <w:bCs w:val="false"/>
              </w:rPr>
              <w:t xml:space="preserve">Fecha Random Forest como modelo principal; incorpora 2009–2018 (SINAN); cria a tabela Objetivo × Entregável × Critério.</w:t>
            </w:r>
          </w:p>
        </w:tc>
      </w:tr>
      <w:tr>
        <w:tc>
          <w:tcPr>
            <w:tcW w:type="dxa" w:w="1300"/>
            <w:tcMar>
              <w:top w:type="dxa" w:w="60"/>
              <w:left w:type="dxa" w:w="100"/>
              <w:bottom w:type="dxa" w:w="60"/>
              <w:right w:type="dxa" w:w="100"/>
            </w:tcMar>
          </w:tcPr>
          <w:p>
            <w:pPr>
              <w:spacing w:after="40"/>
            </w:pPr>
            <w:r>
              <w:rPr>
                <w:b w:val="false"/>
                <w:bCs w:val="false"/>
              </w:rPr>
              <w:t xml:space="preserve">7</w:t>
            </w:r>
          </w:p>
        </w:tc>
        <w:tc>
          <w:tcPr>
            <w:tcW w:type="dxa" w:w="2400"/>
            <w:tcMar>
              <w:top w:type="dxa" w:w="60"/>
              <w:left w:type="dxa" w:w="100"/>
              <w:bottom w:type="dxa" w:w="60"/>
              <w:right w:type="dxa" w:w="100"/>
            </w:tcMar>
          </w:tcPr>
          <w:p>
            <w:pPr>
              <w:spacing w:after="40"/>
            </w:pPr>
            <w:r>
              <w:rPr>
                <w:b w:val="false"/>
                <w:bCs w:val="false"/>
              </w:rPr>
              <w:t xml:space="preserve">10/08/2026</w:t>
            </w:r>
          </w:p>
        </w:tc>
        <w:tc>
          <w:tcPr>
            <w:tcW w:type="dxa" w:w="6600"/>
            <w:tcMar>
              <w:top w:type="dxa" w:w="60"/>
              <w:left w:type="dxa" w:w="100"/>
              <w:bottom w:type="dxa" w:w="60"/>
              <w:right w:type="dxa" w:w="100"/>
            </w:tcMar>
          </w:tcPr>
          <w:p>
            <w:pPr>
              <w:spacing w:after="40"/>
            </w:pPr>
            <w:r>
              <w:rPr>
                <w:b w:val="false"/>
                <w:bCs w:val="false"/>
              </w:rPr>
              <w:t xml:space="preserve">Expande a Arquitetura com tabela de Atributos de Qualidade (ISO/IEC 25010).</w:t>
            </w:r>
          </w:p>
        </w:tc>
      </w:tr>
      <w:tr>
        <w:tc>
          <w:tcPr>
            <w:tcW w:type="dxa" w:w="1300"/>
            <w:tcMar>
              <w:top w:type="dxa" w:w="60"/>
              <w:left w:type="dxa" w:w="100"/>
              <w:bottom w:type="dxa" w:w="60"/>
              <w:right w:type="dxa" w:w="100"/>
            </w:tcMar>
          </w:tcPr>
          <w:p>
            <w:pPr>
              <w:spacing w:after="40"/>
            </w:pPr>
            <w:r>
              <w:rPr>
                <w:b w:val="false"/>
                <w:bCs w:val="false"/>
              </w:rPr>
              <w:t xml:space="preserve">8</w:t>
            </w:r>
          </w:p>
        </w:tc>
        <w:tc>
          <w:tcPr>
            <w:tcW w:type="dxa" w:w="2400"/>
            <w:tcMar>
              <w:top w:type="dxa" w:w="60"/>
              <w:left w:type="dxa" w:w="100"/>
              <w:bottom w:type="dxa" w:w="60"/>
              <w:right w:type="dxa" w:w="100"/>
            </w:tcMar>
          </w:tcPr>
          <w:p>
            <w:pPr>
              <w:spacing w:after="40"/>
            </w:pPr>
            <w:r>
              <w:rPr>
                <w:b w:val="false"/>
                <w:bCs w:val="false"/>
              </w:rPr>
              <w:t xml:space="preserve">14/08/2026</w:t>
            </w:r>
          </w:p>
        </w:tc>
        <w:tc>
          <w:tcPr>
            <w:tcW w:type="dxa" w:w="6600"/>
            <w:tcMar>
              <w:top w:type="dxa" w:w="60"/>
              <w:left w:type="dxa" w:w="100"/>
              <w:bottom w:type="dxa" w:w="60"/>
              <w:right w:type="dxa" w:w="100"/>
            </w:tcMar>
          </w:tcPr>
          <w:p>
            <w:pPr>
              <w:spacing w:after="40"/>
            </w:pPr>
            <w:r>
              <w:rPr>
                <w:b w:val="false"/>
                <w:bCs w:val="false"/>
              </w:rPr>
              <w:t xml:space="preserve">Incorpora o Anexo de Qualidade (ISO/IEC 25010/25012/25059); registra a divergência MMAING × Random Forest ainda espalhada pelo TC1 da época.</w:t>
            </w:r>
          </w:p>
        </w:tc>
      </w:tr>
      <w:tr>
        <w:tc>
          <w:tcPr>
            <w:tcW w:type="dxa" w:w="1300"/>
            <w:tcMar>
              <w:top w:type="dxa" w:w="60"/>
              <w:left w:type="dxa" w:w="100"/>
              <w:bottom w:type="dxa" w:w="60"/>
              <w:right w:type="dxa" w:w="100"/>
            </w:tcMar>
          </w:tcPr>
          <w:p>
            <w:pPr>
              <w:spacing w:after="40"/>
            </w:pPr>
            <w:r>
              <w:rPr>
                <w:b w:val="false"/>
                <w:bCs w:val="false"/>
              </w:rPr>
              <w:t xml:space="preserve">9</w:t>
            </w:r>
          </w:p>
        </w:tc>
        <w:tc>
          <w:tcPr>
            <w:tcW w:type="dxa" w:w="2400"/>
            <w:tcMar>
              <w:top w:type="dxa" w:w="60"/>
              <w:left w:type="dxa" w:w="100"/>
              <w:bottom w:type="dxa" w:w="60"/>
              <w:right w:type="dxa" w:w="100"/>
            </w:tcMar>
          </w:tcPr>
          <w:p>
            <w:pPr>
              <w:spacing w:after="40"/>
            </w:pPr>
            <w:r>
              <w:rPr>
                <w:b w:val="false"/>
                <w:bCs w:val="false"/>
              </w:rPr>
              <w:t xml:space="preserve">16/08/2026</w:t>
            </w:r>
          </w:p>
        </w:tc>
        <w:tc>
          <w:tcPr>
            <w:tcW w:type="dxa" w:w="6600"/>
            <w:tcMar>
              <w:top w:type="dxa" w:w="60"/>
              <w:left w:type="dxa" w:w="100"/>
              <w:bottom w:type="dxa" w:w="60"/>
              <w:right w:type="dxa" w:w="100"/>
            </w:tcMar>
          </w:tcPr>
          <w:p>
            <w:pPr>
              <w:spacing w:after="40"/>
            </w:pPr>
            <w:r>
              <w:rPr>
                <w:b w:val="false"/>
                <w:bCs w:val="false"/>
              </w:rPr>
              <w:t xml:space="preserve">Confirma 10 localizações no TC1 ainda usando a janela antiga de "24 meses / 3 meses".</w:t>
            </w:r>
          </w:p>
        </w:tc>
      </w:tr>
      <w:tr>
        <w:tc>
          <w:tcPr>
            <w:tcW w:type="dxa" w:w="1300"/>
            <w:tcMar>
              <w:top w:type="dxa" w:w="60"/>
              <w:left w:type="dxa" w:w="100"/>
              <w:bottom w:type="dxa" w:w="60"/>
              <w:right w:type="dxa" w:w="100"/>
            </w:tcMar>
          </w:tcPr>
          <w:p>
            <w:pPr>
              <w:spacing w:after="40"/>
            </w:pPr>
            <w:r>
              <w:rPr>
                <w:b w:val="false"/>
                <w:bCs w:val="false"/>
              </w:rPr>
              <w:t xml:space="preserve">10</w:t>
            </w:r>
          </w:p>
        </w:tc>
        <w:tc>
          <w:tcPr>
            <w:tcW w:type="dxa" w:w="2400"/>
            <w:tcMar>
              <w:top w:type="dxa" w:w="60"/>
              <w:left w:type="dxa" w:w="100"/>
              <w:bottom w:type="dxa" w:w="60"/>
              <w:right w:type="dxa" w:w="100"/>
            </w:tcMar>
          </w:tcPr>
          <w:p>
            <w:pPr>
              <w:spacing w:after="40"/>
            </w:pPr>
            <w:r>
              <w:rPr>
                <w:b w:val="false"/>
                <w:bCs w:val="false"/>
              </w:rPr>
              <w:t xml:space="preserve">27/08/2026</w:t>
            </w:r>
          </w:p>
        </w:tc>
        <w:tc>
          <w:tcPr>
            <w:tcW w:type="dxa" w:w="6600"/>
            <w:tcMar>
              <w:top w:type="dxa" w:w="60"/>
              <w:left w:type="dxa" w:w="100"/>
              <w:bottom w:type="dxa" w:w="60"/>
              <w:right w:type="dxa" w:w="100"/>
            </w:tcMar>
          </w:tcPr>
          <w:p>
            <w:pPr>
              <w:spacing w:after="40"/>
            </w:pPr>
            <w:r>
              <w:rPr>
                <w:b w:val="false"/>
                <w:bCs w:val="false"/>
              </w:rPr>
              <w:t xml:space="preserve">Leitura direta do TC1 revisado: divergência de escopo majoritariamente corrigida; levanta Evidências A–I (resíduos de "estado", MMAING sem contraste, MER residual, sumário desatualizado, bug de numeração duplicada 3.3/3.3, granularidade por bairro não registrada, metodologia de validação superficial, trabalhos correlatos internacionais incompletos, citação do MMAING incorreta).</w:t>
            </w:r>
          </w:p>
        </w:tc>
      </w:tr>
      <w:tr>
        <w:tc>
          <w:tcPr>
            <w:tcW w:type="dxa" w:w="1300"/>
            <w:tcMar>
              <w:top w:type="dxa" w:w="60"/>
              <w:left w:type="dxa" w:w="100"/>
              <w:bottom w:type="dxa" w:w="60"/>
              <w:right w:type="dxa" w:w="100"/>
            </w:tcMar>
          </w:tcPr>
          <w:p>
            <w:pPr>
              <w:spacing w:after="40"/>
            </w:pPr>
            <w:r>
              <w:rPr>
                <w:b w:val="false"/>
                <w:bCs w:val="false"/>
              </w:rPr>
              <w:t xml:space="preserve">11</w:t>
            </w:r>
          </w:p>
        </w:tc>
        <w:tc>
          <w:tcPr>
            <w:tcW w:type="dxa" w:w="2400"/>
            <w:tcMar>
              <w:top w:type="dxa" w:w="60"/>
              <w:left w:type="dxa" w:w="100"/>
              <w:bottom w:type="dxa" w:w="60"/>
              <w:right w:type="dxa" w:w="100"/>
            </w:tcMar>
          </w:tcPr>
          <w:p>
            <w:pPr>
              <w:spacing w:after="40"/>
            </w:pPr>
            <w:r>
              <w:rPr>
                <w:b w:val="false"/>
                <w:bCs w:val="false"/>
              </w:rPr>
              <w:t xml:space="preserve">30/08/2026</w:t>
            </w:r>
          </w:p>
        </w:tc>
        <w:tc>
          <w:tcPr>
            <w:tcW w:type="dxa" w:w="6600"/>
            <w:tcMar>
              <w:top w:type="dxa" w:w="60"/>
              <w:left w:type="dxa" w:w="100"/>
              <w:bottom w:type="dxa" w:w="60"/>
              <w:right w:type="dxa" w:w="100"/>
            </w:tcMar>
          </w:tcPr>
          <w:p>
            <w:pPr>
              <w:spacing w:after="40"/>
            </w:pPr>
            <w:r>
              <w:rPr>
                <w:b w:val="false"/>
                <w:bCs w:val="false"/>
              </w:rPr>
              <w:t xml:space="preserve">Analisa os arquivos Dados_tratados_2009_a_2012.xlsx e 2013_a_2018.xlsx linha a linha; resolve a Evidência F (bairro não existe na fonte); apura 2009–2012 (achado crítico: zero casos confirmados em 2009–2011); constrói a primeira série semanal real (2012–2018).</w:t>
            </w:r>
          </w:p>
        </w:tc>
      </w:tr>
    </w:tbl>
    <w:p>
      <w:pPr>
        <w:spacing w:after="140"/>
      </w:pPr>
      <w:r>
        <w:t xml:space="preserve"/>
      </w:r>
    </w:p>
    <w:p>
      <w:pPr>
        <w:spacing w:after="140"/>
      </w:pPr>
      <w:r>
        <w:rPr>
          <w:b/>
          <w:bCs/>
        </w:rPr>
        <w:t xml:space="preserve">Versão 12 — revisão de 26/09/2026: </w:t>
      </w:r>
      <w:r>
        <w:t xml:space="preserve">primeira leitura direta do arquivo TCC_-_C_D_H_M_(TC2).docx (a partir daqui tratado apenas como "TC2", para diferenciar da versão de TC1 lida na v10/v11) e verificação de dados adicional sobre o arquivo Dados_consolidados_e_padronizados_2009_a_2019_e_2022_a_2026.csv (48.775 linhas) e sobre a planilha Analise_exploratoria_Influenza_SP.xlsx, já produzida pelo grupo a partir desse CSV. Seis mudanças principais:</w:t>
      </w:r>
    </w:p>
    <w:p>
      <w:pPr>
        <w:pStyle w:val="ListParagraph"/>
        <w:numPr>
          <w:ilvl w:val="0"/>
          <w:numId w:val="1"/>
        </w:numPr>
        <w:spacing w:after="80"/>
      </w:pPr>
      <w:r>
        <w:t xml:space="preserve">Confirma que a Introdução do TC2 foi integralmente reescrita e é hoje o capítulo mais atualizado do documento — incorpora, pela primeira vez, a formulação explícita de recusa ("não é ferramenta oficial de vigilância, substituto de plataformas governamentais... nem solução capaz de comprovar melhoria direta em decisões de saúde pública") que a v10/v11 recomendavam inserir sem suavização. Ver Evidência J.</w:t>
      </w:r>
    </w:p>
    <w:p>
      <w:pPr>
        <w:pStyle w:val="ListParagraph"/>
        <w:numPr>
          <w:ilvl w:val="0"/>
          <w:numId w:val="1"/>
        </w:numPr>
        <w:spacing w:after="80"/>
      </w:pPr>
      <w:r>
        <w:t xml:space="preserve">Registra uma decisão nova do grupo, não presente em nenhuma versão anterior deste documento: a granularidade por bairro é substituída, exclusivamente na camada de consulta/visualização histórica do dashboard, pelo campo NM_UN_INTE (unidade de notificação/internação) — não uma tabela de bairro/região. A modelagem preditiva permanece municipal. Essa decisão resolve de fato a pergunta que a Evidência F (v10) e a Evidência de Dados 1 (v11) deixavam em aberto, mas cria uma pendência de propagação inteiramente nova: nenhum outro trecho do TC2 (RF001–RF004, Etapas do Projeto, Documentação Técnica da Arquitetura, esquema do banco de dados, DER) foi atualizado para refletir essa troca — todos ainda descrevem "bairro"/"região". Ver Evidência J e Evidência de Dados 6.</w:t>
      </w:r>
    </w:p>
    <w:p>
      <w:pPr>
        <w:pStyle w:val="ListParagraph"/>
        <w:numPr>
          <w:ilvl w:val="0"/>
          <w:numId w:val="1"/>
        </w:numPr>
        <w:spacing w:after="80"/>
      </w:pPr>
      <w:r>
        <w:t xml:space="preserve">Constata que o TC2 sofreu uma renumeração completa de capítulos: a estrutura passou de "1 Introdução" com Objetivos como subseção (1.1.1/1.1.2) para uma estrutura de cinco capítulos independentes — 1 Introdução, 2 Objetivos, 3 Revisão de Literatura, 4 Material e Método, 5 Resultados —, muito mais próxima do template_trabalhos_academicos_unip.docx. Essa mudança resolve por completo o bug de numeração duplicada "3.3/3.3" registrado na Evidência E (v10), mas invalida novamente as duas remissões internas de RF003 e RF004, que continuam citando a numeração antiga ("3.4.3", "etapa 3.4.8") — agora incorretas por dois motivos empilhados, não um. Ver Evidência K.</w:t>
      </w:r>
    </w:p>
    <w:p>
      <w:pPr>
        <w:pStyle w:val="ListParagraph"/>
        <w:numPr>
          <w:ilvl w:val="0"/>
          <w:numId w:val="1"/>
        </w:numPr>
        <w:spacing w:after="80"/>
      </w:pPr>
      <w:r>
        <w:t xml:space="preserve">Verifica, pela primeira vez de forma direta, o arquivo Dados_consolidados_e_padronizados_2009_a_2019_e_2022_a_2026.csv — o arquivo final de série que presumivelmente alimentará banco de dados e modelo. O achado mais crítico desta versão: esse arquivo não contém nenhum dos campos de confirmação documentados na Tabela 1 do TC2 (CLASSI_FIN, PCR_RESUL, POS_PCRFLU, TP_FLU_PCR, POS_AN_FLU, TP_FLU_AN) — apenas PCR_FLUASU (subtipo) e FLUASU_OUT (texto livre). O campo PCR_FLUASU usa a codificação antiga de 6 categorias (o código "5"/H3N2v aparece 502 vezes no arquivo, das quais 483 ocorrências estão em 2022–2026, não apenas no período histórico SINAN). Ou seja, o problema que a v11 (Evidência de Dados 3) descrevia como restrito a 2009–2018 se estende, neste arquivo, a toda a série, incluindo os dados mais recentes de 2022 a 2026. Ver Evidência de Dados 6 e 7.</w:t>
      </w:r>
    </w:p>
    <w:p>
      <w:pPr>
        <w:pStyle w:val="ListParagraph"/>
        <w:numPr>
          <w:ilvl w:val="0"/>
          <w:numId w:val="1"/>
        </w:numPr>
        <w:spacing w:after="80"/>
      </w:pPr>
      <w:r>
        <w:t xml:space="preserve">Verifica a planilha Analise_exploratoria_Influenza_SP.xlsx, já produzida pelo grupo: ela trata cada linha do CSV consolidado como um "caso" de Influenza A, sem aplicar nenhum filtro de confirmação — o que mistura, sem sinalização, registros de SRAG não confirmados (a maioria de 2009–2011) com registros já confirmados por subtipo (a maioria de 2013 em diante). A mesma planilha também documenta, de forma nova e não registrada em nenhuma versão anterior deste documento, uma divergência entre SEM_PRI (semana epidemiológica original) e a semana derivada de DT_SIN_PRI em 4.218 registros — 4.196 deles concentrados em 2026 — e introduz o conceito de Região Metropolitana de São Paulo (RMSP, 39 municípios) como possível unidade de agregação para mitigar esparsidade municipal, ainda não usada em nenhum documento do projeto. Ver Evidência de Dados 7, 8 e 9.</w:t>
      </w:r>
    </w:p>
    <w:p>
      <w:pPr>
        <w:pStyle w:val="ListParagraph"/>
        <w:numPr>
          <w:ilvl w:val="0"/>
          <w:numId w:val="1"/>
        </w:numPr>
        <w:spacing w:after="80"/>
      </w:pPr>
      <w:r>
        <w:t xml:space="preserve">Confirma que a referência de Carneiro (2022), sobre sífilis congênita, já aparece completa na lista de Referências do TC2 — a nota de revisão não resolvida registrada na Evidência H (v10) parece ter sido corrigida; recomenda-se apenas confirmar visualmente que a marcação de destaque foi removida do corpo do texto, o que não é verificável a partir da extração de texto usada nesta leitura. O Resumo/Abstract seguem deliberadamente desatualizados, com a nota "Desconsidere esse resumo, não está atualizado" explícita no próprio arquivo — tratado aqui como pendência confirmada, não como achado novo.</w:t>
      </w:r>
    </w:p>
    <w:p>
      <w:pPr>
        <w:pStyle w:val="Heading1"/>
        <w:spacing w:after="160" w:before="320"/>
      </w:pPr>
      <w:r>
        <w:t xml:space="preserve">Nota Preliminar — Estado Real do Documento Principal (TCC C D H M, TC2)</w:t>
      </w:r>
    </w:p>
    <w:p>
      <w:pPr>
        <w:spacing w:after="140"/>
      </w:pPr>
      <w:r>
        <w:t xml:space="preserve">A Introdução do TC2 foi reescrita de forma consistente com o recorte municipal, com Influenza A isolada, e incorpora tanto a formulação de recusa quanto a nova decisão de granularidade por unidade de notificação (NM_UN_INTE). É, hoje, o capítulo mais coerente do documento. O restante do TC2 — Objetivos, Revisão de Literatura, Material e Método (Delimitações, Etapas, Requisitos, Arquitetura) — ainda reflete, em grande parte, o estado de coisas registrado na v10/v11, com "bairro" ainda presente em quase todos os módulos técnicos. As duas tabelas abaixo seguem o mesmo formato da v11.</w:t>
      </w:r>
    </w:p>
    <w:p>
      <w:pPr>
        <w:pStyle w:val="Heading2"/>
        <w:spacing w:after="140" w:before="260"/>
      </w:pPr>
      <w:r>
        <w:t xml:space="preserve">O que já está correto (confirmado por leitura direta do TC2)</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600"/>
        <w:gridCol w:w="7700"/>
      </w:tblGrid>
      <w:tr>
        <w:tc>
          <w:tcPr>
            <w:tcW w:type="dxa" w:w="2600"/>
            <w:shd w:fill="D9D9D9" w:val="clear"/>
            <w:tcMar>
              <w:top w:type="dxa" w:w="60"/>
              <w:left w:type="dxa" w:w="100"/>
              <w:bottom w:type="dxa" w:w="60"/>
              <w:right w:type="dxa" w:w="100"/>
            </w:tcMar>
          </w:tcPr>
          <w:p>
            <w:pPr>
              <w:spacing w:after="40"/>
            </w:pPr>
            <w:r>
              <w:rPr>
                <w:b/>
                <w:bCs/>
              </w:rPr>
              <w:t xml:space="preserve">Item de escopo</w:t>
            </w:r>
          </w:p>
        </w:tc>
        <w:tc>
          <w:tcPr>
            <w:tcW w:type="dxa" w:w="7700"/>
            <w:shd w:fill="D9D9D9" w:val="clear"/>
            <w:tcMar>
              <w:top w:type="dxa" w:w="60"/>
              <w:left w:type="dxa" w:w="100"/>
              <w:bottom w:type="dxa" w:w="60"/>
              <w:right w:type="dxa" w:w="100"/>
            </w:tcMar>
          </w:tcPr>
          <w:p>
            <w:pPr>
              <w:spacing w:after="40"/>
            </w:pPr>
            <w:r>
              <w:rPr>
                <w:b/>
                <w:bCs/>
              </w:rPr>
              <w:t xml:space="preserve">Situação no TC2 (26/09/2026)</w:t>
            </w:r>
          </w:p>
        </w:tc>
      </w:tr>
      <w:tr>
        <w:tc>
          <w:tcPr>
            <w:tcW w:type="dxa" w:w="2600"/>
            <w:tcMar>
              <w:top w:type="dxa" w:w="60"/>
              <w:left w:type="dxa" w:w="100"/>
              <w:bottom w:type="dxa" w:w="60"/>
              <w:right w:type="dxa" w:w="100"/>
            </w:tcMar>
          </w:tcPr>
          <w:p>
            <w:pPr>
              <w:spacing w:after="40"/>
            </w:pPr>
            <w:r>
              <w:rPr>
                <w:b w:val="false"/>
                <w:bCs w:val="false"/>
              </w:rPr>
              <w:t xml:space="preserve">Introdução</w:t>
            </w:r>
          </w:p>
        </w:tc>
        <w:tc>
          <w:tcPr>
            <w:tcW w:type="dxa" w:w="7700"/>
            <w:tcMar>
              <w:top w:type="dxa" w:w="60"/>
              <w:left w:type="dxa" w:w="100"/>
              <w:bottom w:type="dxa" w:w="60"/>
              <w:right w:type="dxa" w:w="100"/>
            </w:tcMar>
          </w:tcPr>
          <w:p>
            <w:pPr>
              <w:spacing w:after="40"/>
            </w:pPr>
            <w:r>
              <w:rPr>
                <w:b w:val="false"/>
                <w:bCs w:val="false"/>
              </w:rPr>
              <w:t xml:space="preserve">Reescrita por completo. Já traz: (i) o achado factual sobre a ausência de campo de bairro no SIVEP-Gripe/SINAN, explicitamente ligado à LGPD; (ii) a decisão de usar NM_UN_INTE como recorte de consulta intramunicipal, mantendo a modelagem municipal; (iii) a formulação explícita de recusa ("não é ferramenta oficial...") que a v10/v11 recomendavam sem suavização; (iv) justificativa em três tópicos para a relevância do recorte.</w:t>
            </w:r>
          </w:p>
        </w:tc>
      </w:tr>
      <w:tr>
        <w:tc>
          <w:tcPr>
            <w:tcW w:type="dxa" w:w="2600"/>
            <w:tcMar>
              <w:top w:type="dxa" w:w="60"/>
              <w:left w:type="dxa" w:w="100"/>
              <w:bottom w:type="dxa" w:w="60"/>
              <w:right w:type="dxa" w:w="100"/>
            </w:tcMar>
          </w:tcPr>
          <w:p>
            <w:pPr>
              <w:spacing w:after="40"/>
            </w:pPr>
            <w:r>
              <w:rPr>
                <w:b w:val="false"/>
                <w:bCs w:val="false"/>
              </w:rPr>
              <w:t xml:space="preserve">Hipótese de Pesquisa (4.2)</w:t>
            </w:r>
          </w:p>
        </w:tc>
        <w:tc>
          <w:tcPr>
            <w:tcW w:type="dxa" w:w="7700"/>
            <w:tcMar>
              <w:top w:type="dxa" w:w="60"/>
              <w:left w:type="dxa" w:w="100"/>
              <w:bottom w:type="dxa" w:w="60"/>
              <w:right w:type="dxa" w:w="100"/>
            </w:tcMar>
          </w:tcPr>
          <w:p>
            <w:pPr>
              <w:spacing w:after="40"/>
            </w:pPr>
            <w:r>
              <w:rPr>
                <w:b w:val="false"/>
                <w:bCs w:val="false"/>
              </w:rPr>
              <w:t xml:space="preserve">Idêntica em conteúdo à Seção 2.1 deste documento desde a v8 — Random Forest, engenharia de atributos temporais, horizonte de 6 semanas, comparação com baseline/SARIMA/Prophet sob walk-forward. Sem mudanças.</w:t>
            </w:r>
          </w:p>
        </w:tc>
      </w:tr>
      <w:tr>
        <w:tc>
          <w:tcPr>
            <w:tcW w:type="dxa" w:w="2600"/>
            <w:tcMar>
              <w:top w:type="dxa" w:w="60"/>
              <w:left w:type="dxa" w:w="100"/>
              <w:bottom w:type="dxa" w:w="60"/>
              <w:right w:type="dxa" w:w="100"/>
            </w:tcMar>
          </w:tcPr>
          <w:p>
            <w:pPr>
              <w:spacing w:after="40"/>
            </w:pPr>
            <w:r>
              <w:rPr>
                <w:b w:val="false"/>
                <w:bCs w:val="false"/>
              </w:rPr>
              <w:t xml:space="preserve">Delimitações de escopo (4.3)</w:t>
            </w:r>
          </w:p>
        </w:tc>
        <w:tc>
          <w:tcPr>
            <w:tcW w:type="dxa" w:w="7700"/>
            <w:tcMar>
              <w:top w:type="dxa" w:w="60"/>
              <w:left w:type="dxa" w:w="100"/>
              <w:bottom w:type="dxa" w:w="60"/>
              <w:right w:type="dxa" w:w="100"/>
            </w:tcMar>
          </w:tcPr>
          <w:p>
            <w:pPr>
              <w:spacing w:after="40"/>
            </w:pPr>
            <w:r>
              <w:rPr>
                <w:b w:val="false"/>
                <w:bCs w:val="false"/>
              </w:rPr>
              <w:t xml:space="preserve">Mantém a decisão de Influenza A isolada, período harmonizado 2009–2019/2022–atualidade com hiato 2020–2021, granularidade semanal, horizonte de 6 semanas, meta provisória de 15%/60%. Conteúdo bate com a Seção 3 deste documento (exceto pela granularidade geográfica, ver pendências).</w:t>
            </w:r>
          </w:p>
        </w:tc>
      </w:tr>
      <w:tr>
        <w:tc>
          <w:tcPr>
            <w:tcW w:type="dxa" w:w="2600"/>
            <w:tcMar>
              <w:top w:type="dxa" w:w="60"/>
              <w:left w:type="dxa" w:w="100"/>
              <w:bottom w:type="dxa" w:w="60"/>
              <w:right w:type="dxa" w:w="100"/>
            </w:tcMar>
          </w:tcPr>
          <w:p>
            <w:pPr>
              <w:spacing w:after="40"/>
            </w:pPr>
            <w:r>
              <w:rPr>
                <w:b w:val="false"/>
                <w:bCs w:val="false"/>
              </w:rPr>
              <w:t xml:space="preserve">Numeração de capítulos</w:t>
            </w:r>
          </w:p>
        </w:tc>
        <w:tc>
          <w:tcPr>
            <w:tcW w:type="dxa" w:w="7700"/>
            <w:tcMar>
              <w:top w:type="dxa" w:w="60"/>
              <w:left w:type="dxa" w:w="100"/>
              <w:bottom w:type="dxa" w:w="60"/>
              <w:right w:type="dxa" w:w="100"/>
            </w:tcMar>
          </w:tcPr>
          <w:p>
            <w:pPr>
              <w:spacing w:after="40"/>
            </w:pPr>
            <w:r>
              <w:rPr>
                <w:b w:val="false"/>
                <w:bCs w:val="false"/>
              </w:rPr>
              <w:t xml:space="preserve">Renumeração completa: 1 Introdução, 2 Objetivos, 3 Revisão de Literatura, 4 Material e Método (com 4.1–4.9), 5 Resultados. O bug de duplicação "3.3/3.3" da Evidência E (v10) não existe mais nesta estrutura.</w:t>
            </w:r>
          </w:p>
        </w:tc>
      </w:tr>
      <w:tr>
        <w:tc>
          <w:tcPr>
            <w:tcW w:type="dxa" w:w="2600"/>
            <w:tcMar>
              <w:top w:type="dxa" w:w="60"/>
              <w:left w:type="dxa" w:w="100"/>
              <w:bottom w:type="dxa" w:w="60"/>
              <w:right w:type="dxa" w:w="100"/>
            </w:tcMar>
          </w:tcPr>
          <w:p>
            <w:pPr>
              <w:spacing w:after="40"/>
            </w:pPr>
            <w:r>
              <w:rPr>
                <w:b w:val="false"/>
                <w:bCs w:val="false"/>
              </w:rPr>
              <w:t xml:space="preserve">Referência de Carneiro (2022)</w:t>
            </w:r>
          </w:p>
        </w:tc>
        <w:tc>
          <w:tcPr>
            <w:tcW w:type="dxa" w:w="7700"/>
            <w:tcMar>
              <w:top w:type="dxa" w:w="60"/>
              <w:left w:type="dxa" w:w="100"/>
              <w:bottom w:type="dxa" w:w="60"/>
              <w:right w:type="dxa" w:w="100"/>
            </w:tcMar>
          </w:tcPr>
          <w:p>
            <w:pPr>
              <w:spacing w:after="40"/>
            </w:pPr>
            <w:r>
              <w:rPr>
                <w:b w:val="false"/>
                <w:bCs w:val="false"/>
              </w:rPr>
              <w:t xml:space="preserve">Já consta na íntegra na lista de Referências, com dados completos de publicação — a nota de revisão não resolvida (Evidência H, v10) aparenta estar corrigida.</w:t>
            </w:r>
          </w:p>
        </w:tc>
      </w:tr>
      <w:tr>
        <w:tc>
          <w:tcPr>
            <w:tcW w:type="dxa" w:w="2600"/>
            <w:tcMar>
              <w:top w:type="dxa" w:w="60"/>
              <w:left w:type="dxa" w:w="100"/>
              <w:bottom w:type="dxa" w:w="60"/>
              <w:right w:type="dxa" w:w="100"/>
            </w:tcMar>
          </w:tcPr>
          <w:p>
            <w:pPr>
              <w:spacing w:after="40"/>
            </w:pPr>
            <w:r>
              <w:rPr>
                <w:b w:val="false"/>
                <w:bCs w:val="false"/>
              </w:rPr>
              <w:t xml:space="preserve">Anexo de Qualidade / MMAING × Random Forest nos campos operacionais</w:t>
            </w:r>
          </w:p>
        </w:tc>
        <w:tc>
          <w:tcPr>
            <w:tcW w:type="dxa" w:w="7700"/>
            <w:tcMar>
              <w:top w:type="dxa" w:w="60"/>
              <w:left w:type="dxa" w:w="100"/>
              <w:bottom w:type="dxa" w:w="60"/>
              <w:right w:type="dxa" w:w="100"/>
            </w:tcMar>
          </w:tcPr>
          <w:p>
            <w:pPr>
              <w:spacing w:after="40"/>
            </w:pPr>
            <w:r>
              <w:rPr>
                <w:b w:val="false"/>
                <w:bCs w:val="false"/>
              </w:rPr>
              <w:t xml:space="preserve">Sem mudança de status desde a v10 — seguem corretos onde já estavam (RF002/RF004 "Ação", 3.4 Hipótese equivalente à antiga 3.2).</w:t>
            </w:r>
          </w:p>
        </w:tc>
      </w:tr>
    </w:tbl>
    <w:p>
      <w:pPr>
        <w:spacing w:after="140"/>
      </w:pPr>
      <w:r>
        <w:t xml:space="preserve"/>
      </w:r>
    </w:p>
    <w:p>
      <w:pPr>
        <w:pStyle w:val="Heading2"/>
        <w:spacing w:after="140" w:before="260"/>
      </w:pPr>
      <w:r>
        <w:t xml:space="preserve">O que ainda não está correto, ou está apenas parcialmente corrigido</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600"/>
        <w:gridCol w:w="7700"/>
      </w:tblGrid>
      <w:tr>
        <w:tc>
          <w:tcPr>
            <w:tcW w:type="dxa" w:w="2600"/>
            <w:shd w:fill="D9D9D9" w:val="clear"/>
            <w:tcMar>
              <w:top w:type="dxa" w:w="60"/>
              <w:left w:type="dxa" w:w="100"/>
              <w:bottom w:type="dxa" w:w="60"/>
              <w:right w:type="dxa" w:w="100"/>
            </w:tcMar>
          </w:tcPr>
          <w:p>
            <w:pPr>
              <w:spacing w:after="40"/>
            </w:pPr>
            <w:r>
              <w:rPr>
                <w:b/>
                <w:bCs/>
              </w:rPr>
              <w:t xml:space="preserve">Item</w:t>
            </w:r>
          </w:p>
        </w:tc>
        <w:tc>
          <w:tcPr>
            <w:tcW w:type="dxa" w:w="7700"/>
            <w:shd w:fill="D9D9D9" w:val="clear"/>
            <w:tcMar>
              <w:top w:type="dxa" w:w="60"/>
              <w:left w:type="dxa" w:w="100"/>
              <w:bottom w:type="dxa" w:w="60"/>
              <w:right w:type="dxa" w:w="100"/>
            </w:tcMar>
          </w:tcPr>
          <w:p>
            <w:pPr>
              <w:spacing w:after="40"/>
            </w:pPr>
            <w:r>
              <w:rPr>
                <w:b/>
                <w:bCs/>
              </w:rPr>
              <w:t xml:space="preserve">Situação confirmada</w:t>
            </w:r>
          </w:p>
        </w:tc>
      </w:tr>
      <w:tr>
        <w:tc>
          <w:tcPr>
            <w:tcW w:type="dxa" w:w="2600"/>
            <w:tcMar>
              <w:top w:type="dxa" w:w="60"/>
              <w:left w:type="dxa" w:w="100"/>
              <w:bottom w:type="dxa" w:w="60"/>
              <w:right w:type="dxa" w:w="100"/>
            </w:tcMar>
          </w:tcPr>
          <w:p>
            <w:pPr>
              <w:spacing w:after="40"/>
            </w:pPr>
            <w:r>
              <w:rPr>
                <w:b w:val="false"/>
                <w:bCs w:val="false"/>
              </w:rPr>
              <w:t xml:space="preserve">Propagação de NM_UN_INTE</w:t>
            </w:r>
          </w:p>
        </w:tc>
        <w:tc>
          <w:tcPr>
            <w:tcW w:type="dxa" w:w="7700"/>
            <w:tcMar>
              <w:top w:type="dxa" w:w="60"/>
              <w:left w:type="dxa" w:w="100"/>
              <w:bottom w:type="dxa" w:w="60"/>
              <w:right w:type="dxa" w:w="100"/>
            </w:tcMar>
          </w:tcPr>
          <w:p>
            <w:pPr>
              <w:spacing w:after="40"/>
            </w:pPr>
            <w:r>
              <w:rPr>
                <w:b w:val="false"/>
                <w:bCs w:val="false"/>
              </w:rPr>
              <w:t xml:space="preserve">A Introdução anuncia a troca de bairro por NM_UN_INTE, mas nenhum outro capítulo foi ajustado: RF001 ("bairro da cidade de São Paulo"), RF002 ("recorte regional"), RF004 ("segmentada por... região"), 4.6.2 a 4.6.5 (Etapas do Projeto, todas citam "bairro"), 4.8.4 (texto de apoio do DER), 4.9.1.2 ("recorte geográfico — bairros/regiões"), 4.9.2.2 ("filtros por bairro") e todo o esquema de banco de dados (4.9.3.3 Tabela bairro, 4.9.3.4 Tabela regiao, 4.9.3.9 Tabela bairro_predicao) continuam descrevendo bairro/região. Um caso específico é mais grave: 4.6.5 promete "mapa de calor... por nível de casos nos bairros" — uma visualização que a própria Introdução tornou tecnicamente inviável.</w:t>
            </w:r>
          </w:p>
        </w:tc>
      </w:tr>
      <w:tr>
        <w:tc>
          <w:tcPr>
            <w:tcW w:type="dxa" w:w="2600"/>
            <w:tcMar>
              <w:top w:type="dxa" w:w="60"/>
              <w:left w:type="dxa" w:w="100"/>
              <w:bottom w:type="dxa" w:w="60"/>
              <w:right w:type="dxa" w:w="100"/>
            </w:tcMar>
          </w:tcPr>
          <w:p>
            <w:pPr>
              <w:spacing w:after="40"/>
            </w:pPr>
            <w:r>
              <w:rPr>
                <w:b w:val="false"/>
                <w:bCs w:val="false"/>
              </w:rPr>
              <w:t xml:space="preserve">Resíduos de "estado de São Paulo"</w:t>
            </w:r>
          </w:p>
        </w:tc>
        <w:tc>
          <w:tcPr>
            <w:tcW w:type="dxa" w:w="7700"/>
            <w:tcMar>
              <w:top w:type="dxa" w:w="60"/>
              <w:left w:type="dxa" w:w="100"/>
              <w:bottom w:type="dxa" w:w="60"/>
              <w:right w:type="dxa" w:w="100"/>
            </w:tcMar>
          </w:tcPr>
          <w:p>
            <w:pPr>
              <w:spacing w:after="40"/>
            </w:pPr>
            <w:r>
              <w:rPr>
                <w:b w:val="false"/>
                <w:bCs w:val="false"/>
              </w:rPr>
              <w:t xml:space="preserve">Persistem em pelo menos três pontos: (i) final da Seção 3.1 Contextualização do tema ("internações por Influenza A no estado de São Paulo"); (ii) Seção 3.3 DataSUS, na apresentação da Tabela 1; (iii) fechamento da Seção 4.3 Delimitações de escopo ("concentrado na análise e previsão da ocorrência de Influenza A no estado de São Paulo") — este último é uma ocorrência nova, não registrada nas Evidências A da v10/v11.</w:t>
            </w:r>
          </w:p>
        </w:tc>
      </w:tr>
      <w:tr>
        <w:tc>
          <w:tcPr>
            <w:tcW w:type="dxa" w:w="2600"/>
            <w:tcMar>
              <w:top w:type="dxa" w:w="60"/>
              <w:left w:type="dxa" w:w="100"/>
              <w:bottom w:type="dxa" w:w="60"/>
              <w:right w:type="dxa" w:w="100"/>
            </w:tcMar>
          </w:tcPr>
          <w:p>
            <w:pPr>
              <w:spacing w:after="40"/>
            </w:pPr>
            <w:r>
              <w:rPr>
                <w:b w:val="false"/>
                <w:bCs w:val="false"/>
              </w:rPr>
              <w:t xml:space="preserve">Remissões internas de RF003/RF004</w:t>
            </w:r>
          </w:p>
        </w:tc>
        <w:tc>
          <w:tcPr>
            <w:tcW w:type="dxa" w:w="7700"/>
            <w:tcMar>
              <w:top w:type="dxa" w:w="60"/>
              <w:left w:type="dxa" w:w="100"/>
              <w:bottom w:type="dxa" w:w="60"/>
              <w:right w:type="dxa" w:w="100"/>
            </w:tcMar>
          </w:tcPr>
          <w:p>
            <w:pPr>
              <w:spacing w:after="40"/>
            </w:pPr>
            <w:r>
              <w:rPr>
                <w:b w:val="false"/>
                <w:bCs w:val="false"/>
              </w:rPr>
              <w:t xml:space="preserve">RF003 ainda cita "(3.4.3)" e RF004 ainda cita "etapa 3.4.8" para, respectivamente, Modelagem do Banco de Dados e Implantação em Nuvem — que hoje são 4.6.3 e 4.6.8 na numeração renovada do TC2. As remissões não foram atualizadas na migração de capítulo 3 para capítulo 4.</w:t>
            </w:r>
          </w:p>
        </w:tc>
      </w:tr>
      <w:tr>
        <w:tc>
          <w:tcPr>
            <w:tcW w:type="dxa" w:w="2600"/>
            <w:tcMar>
              <w:top w:type="dxa" w:w="60"/>
              <w:left w:type="dxa" w:w="100"/>
              <w:bottom w:type="dxa" w:w="60"/>
              <w:right w:type="dxa" w:w="100"/>
            </w:tcMar>
          </w:tcPr>
          <w:p>
            <w:pPr>
              <w:spacing w:after="40"/>
            </w:pPr>
            <w:r>
              <w:rPr>
                <w:b w:val="false"/>
                <w:bCs w:val="false"/>
              </w:rPr>
              <w:t xml:space="preserve">Sumário / Lista de Ilustrações</w:t>
            </w:r>
          </w:p>
        </w:tc>
        <w:tc>
          <w:tcPr>
            <w:tcW w:type="dxa" w:w="7700"/>
            <w:tcMar>
              <w:top w:type="dxa" w:w="60"/>
              <w:left w:type="dxa" w:w="100"/>
              <w:bottom w:type="dxa" w:w="60"/>
              <w:right w:type="dxa" w:w="100"/>
            </w:tcMar>
          </w:tcPr>
          <w:p>
            <w:pPr>
              <w:spacing w:after="40"/>
            </w:pPr>
            <w:r>
              <w:rPr>
                <w:b w:val="false"/>
                <w:bCs w:val="false"/>
              </w:rPr>
              <w:t xml:space="preserve">Muito mais próximos da estrutura real do que nas versões anteriores (a renumeração parece ter sido feita com atualização de campos), mas com uma lacuna pontual: falta a entrada "4.9.2.4 Validação e monitoramento" no Sumário, presente no corpo do texto. O título do Capítulo 5 também diverge: o Sumário lista "5 RESULTADOS ESPERADOS", mas o cabeçalho do corpo do texto é "5. Resultados OBTIDOS" — e o capítulo está vazio (sem texto).</w:t>
            </w:r>
          </w:p>
        </w:tc>
      </w:tr>
      <w:tr>
        <w:tc>
          <w:tcPr>
            <w:tcW w:type="dxa" w:w="2600"/>
            <w:tcMar>
              <w:top w:type="dxa" w:w="60"/>
              <w:left w:type="dxa" w:w="100"/>
              <w:bottom w:type="dxa" w:w="60"/>
              <w:right w:type="dxa" w:w="100"/>
            </w:tcMar>
          </w:tcPr>
          <w:p>
            <w:pPr>
              <w:spacing w:after="40"/>
            </w:pPr>
            <w:r>
              <w:rPr>
                <w:b w:val="false"/>
                <w:bCs w:val="false"/>
              </w:rPr>
              <w:t xml:space="preserve">MER residual</w:t>
            </w:r>
          </w:p>
        </w:tc>
        <w:tc>
          <w:tcPr>
            <w:tcW w:type="dxa" w:w="7700"/>
            <w:tcMar>
              <w:top w:type="dxa" w:w="60"/>
              <w:left w:type="dxa" w:w="100"/>
              <w:bottom w:type="dxa" w:w="60"/>
              <w:right w:type="dxa" w:w="100"/>
            </w:tcMar>
          </w:tcPr>
          <w:p>
            <w:pPr>
              <w:spacing w:after="40"/>
            </w:pPr>
            <w:r>
              <w:rPr>
                <w:b w:val="false"/>
                <w:bCs w:val="false"/>
              </w:rPr>
              <w:t xml:space="preserve">Sem mudança desde a v10: a Seção 4.6.3 (Modelagem do banco de dados) ainda fala em "elaboração do Modelo de Entidade e Relacionamento (MER)", enquanto o título da seção do DER (4.8.4) já está correto. O texto de apoio de 4.8.4 também continua citando tabelas em camelCase ("periodoEpidemiologico", "tipoNotificação", "serieTemporalEpidemiologica", "modeloPreditivo", "predicaoEpidemiologica", "métricaModelo") que não existem no esquema efetivamente descrito em 4.9.3 (nomes em snake_case: modelo_preditivo, predicao_epidemiologica, metrica_modelo etc.).</w:t>
            </w:r>
          </w:p>
        </w:tc>
      </w:tr>
      <w:tr>
        <w:tc>
          <w:tcPr>
            <w:tcW w:type="dxa" w:w="2600"/>
            <w:tcMar>
              <w:top w:type="dxa" w:w="60"/>
              <w:left w:type="dxa" w:w="100"/>
              <w:bottom w:type="dxa" w:w="60"/>
              <w:right w:type="dxa" w:w="100"/>
            </w:tcMar>
          </w:tcPr>
          <w:p>
            <w:pPr>
              <w:spacing w:after="40"/>
            </w:pPr>
            <w:r>
              <w:rPr>
                <w:b w:val="false"/>
                <w:bCs w:val="false"/>
              </w:rPr>
              <w:t xml:space="preserve">Resumo / Abstract</w:t>
            </w:r>
          </w:p>
        </w:tc>
        <w:tc>
          <w:tcPr>
            <w:tcW w:type="dxa" w:w="7700"/>
            <w:tcMar>
              <w:top w:type="dxa" w:w="60"/>
              <w:left w:type="dxa" w:w="100"/>
              <w:bottom w:type="dxa" w:w="60"/>
              <w:right w:type="dxa" w:w="100"/>
            </w:tcMar>
          </w:tcPr>
          <w:p>
            <w:pPr>
              <w:spacing w:after="40"/>
            </w:pPr>
            <w:r>
              <w:rPr>
                <w:b w:val="false"/>
                <w:bCs w:val="false"/>
              </w:rPr>
              <w:t xml:space="preserve">Seguem explicitamente marcados como desatualizados pelo próprio grupo ("Desconsidere esse resumo, não está atualizado"); ainda mencionam "Influenza A e B" e DATASUS de forma genérica, sem citar Random Forest, baseline, SARIMA/Prophet, horizonte de 6 semanas ou NM_UN_INTE.</w:t>
            </w:r>
          </w:p>
        </w:tc>
      </w:tr>
      <w:tr>
        <w:tc>
          <w:tcPr>
            <w:tcW w:type="dxa" w:w="2600"/>
            <w:tcMar>
              <w:top w:type="dxa" w:w="60"/>
              <w:left w:type="dxa" w:w="100"/>
              <w:bottom w:type="dxa" w:w="60"/>
              <w:right w:type="dxa" w:w="100"/>
            </w:tcMar>
          </w:tcPr>
          <w:p>
            <w:pPr>
              <w:spacing w:after="40"/>
            </w:pPr>
            <w:r>
              <w:rPr>
                <w:b w:val="false"/>
                <w:bCs w:val="false"/>
              </w:rPr>
              <w:t xml:space="preserve">Objetivos Específicos (2.2)</w:t>
            </w:r>
          </w:p>
        </w:tc>
        <w:tc>
          <w:tcPr>
            <w:tcW w:type="dxa" w:w="7700"/>
            <w:tcMar>
              <w:top w:type="dxa" w:w="60"/>
              <w:left w:type="dxa" w:w="100"/>
              <w:bottom w:type="dxa" w:w="60"/>
              <w:right w:type="dxa" w:w="100"/>
            </w:tcMar>
          </w:tcPr>
          <w:p>
            <w:pPr>
              <w:spacing w:after="40"/>
            </w:pPr>
            <w:r>
              <w:rPr>
                <w:b w:val="false"/>
                <w:bCs w:val="false"/>
              </w:rPr>
              <w:t xml:space="preserve">Ainda em formato de lista simples (a–g), sem a estrutura de tabela Objetivo × Entregável × Critério recomendada desde a v6. Um avanço pontual: o objetivo (a) já foi ajustado para mencionar "dados de hospitais e suas localidades", em vez de bairro — o único lugar do TC2, fora da Introdução, onde a mudança de NM_UN_INTE já foi propagada.</w:t>
            </w:r>
          </w:p>
        </w:tc>
      </w:tr>
      <w:tr>
        <w:tc>
          <w:tcPr>
            <w:tcW w:type="dxa" w:w="2600"/>
            <w:tcMar>
              <w:top w:type="dxa" w:w="60"/>
              <w:left w:type="dxa" w:w="100"/>
              <w:bottom w:type="dxa" w:w="60"/>
              <w:right w:type="dxa" w:w="100"/>
            </w:tcMar>
          </w:tcPr>
          <w:p>
            <w:pPr>
              <w:spacing w:after="40"/>
            </w:pPr>
            <w:r>
              <w:rPr>
                <w:b w:val="false"/>
                <w:bCs w:val="false"/>
              </w:rPr>
              <w:t xml:space="preserve">Trabalhos Correlatos internacionais</w:t>
            </w:r>
          </w:p>
        </w:tc>
        <w:tc>
          <w:tcPr>
            <w:tcW w:type="dxa" w:w="7700"/>
            <w:tcMar>
              <w:top w:type="dxa" w:w="60"/>
              <w:left w:type="dxa" w:w="100"/>
              <w:bottom w:type="dxa" w:w="60"/>
              <w:right w:type="dxa" w:w="100"/>
            </w:tcMar>
          </w:tcPr>
          <w:p>
            <w:pPr>
              <w:spacing w:after="40"/>
            </w:pPr>
            <w:r>
              <w:rPr>
                <w:b w:val="false"/>
                <w:bCs w:val="false"/>
              </w:rPr>
              <w:t xml:space="preserve">Sem mudança desde a v10: Google Flu Trends, HealthMap e ProMED-mail continuam ausentes da Seção 3.5 (Trabalhos relacionados); apenas InfoGripe e FluSight são discutidos, com o mesmo enriquecimento bibliográfico (Hines et al., 2026; Mathis et al., 2024) já registrado.</w:t>
            </w:r>
          </w:p>
        </w:tc>
      </w:tr>
      <w:tr>
        <w:tc>
          <w:tcPr>
            <w:tcW w:type="dxa" w:w="2600"/>
            <w:tcMar>
              <w:top w:type="dxa" w:w="60"/>
              <w:left w:type="dxa" w:w="100"/>
              <w:bottom w:type="dxa" w:w="60"/>
              <w:right w:type="dxa" w:w="100"/>
            </w:tcMar>
          </w:tcPr>
          <w:p>
            <w:pPr>
              <w:spacing w:after="40"/>
            </w:pPr>
            <w:r>
              <w:rPr>
                <w:b w:val="false"/>
                <w:bCs w:val="false"/>
              </w:rPr>
              <w:t xml:space="preserve">Confirmação da variável-alvo no arquivo de dados real</w:t>
            </w:r>
          </w:p>
        </w:tc>
        <w:tc>
          <w:tcPr>
            <w:tcW w:type="dxa" w:w="7700"/>
            <w:tcMar>
              <w:top w:type="dxa" w:w="60"/>
              <w:left w:type="dxa" w:w="100"/>
              <w:bottom w:type="dxa" w:w="60"/>
              <w:right w:type="dxa" w:w="100"/>
            </w:tcMar>
          </w:tcPr>
          <w:p>
            <w:pPr>
              <w:spacing w:after="40"/>
            </w:pPr>
            <w:r>
              <w:rPr>
                <w:b w:val="false"/>
                <w:bCs w:val="false"/>
              </w:rPr>
              <w:t xml:space="preserve">Achado novo e crítico desta versão: o arquivo Dados_consolidados_e_padronizados_2009_a_2019_e_2022_a_2026.csv — que presumivelmente alimentará o pipeline final — não contém os campos de confirmação documentados na Tabela 1 do TC2 (CLASSI_FIN, PCR_RESUL, POS_PCRFLU, TP_FLU_PCR, POS_AN_FLU, TP_FLU_AN). Usa apenas PCR_FLUASU (subtipo), com codificação antiga de 6 categorias, inclusive em 2022–2026. Ver Evidência de Dados 6 e 7.</w:t>
            </w:r>
          </w:p>
        </w:tc>
      </w:tr>
      <w:tr>
        <w:tc>
          <w:tcPr>
            <w:tcW w:type="dxa" w:w="2600"/>
            <w:tcMar>
              <w:top w:type="dxa" w:w="60"/>
              <w:left w:type="dxa" w:w="100"/>
              <w:bottom w:type="dxa" w:w="60"/>
              <w:right w:type="dxa" w:w="100"/>
            </w:tcMar>
          </w:tcPr>
          <w:p>
            <w:pPr>
              <w:spacing w:after="40"/>
            </w:pPr>
            <w:r>
              <w:rPr>
                <w:b w:val="false"/>
                <w:bCs w:val="false"/>
              </w:rPr>
              <w:t xml:space="preserve">Considerações Éticas / LGPD</w:t>
            </w:r>
          </w:p>
        </w:tc>
        <w:tc>
          <w:tcPr>
            <w:tcW w:type="dxa" w:w="7700"/>
            <w:tcMar>
              <w:top w:type="dxa" w:w="60"/>
              <w:left w:type="dxa" w:w="100"/>
              <w:bottom w:type="dxa" w:w="60"/>
              <w:right w:type="dxa" w:w="100"/>
            </w:tcMar>
          </w:tcPr>
          <w:p>
            <w:pPr>
              <w:spacing w:after="40"/>
            </w:pPr>
            <w:r>
              <w:rPr>
                <w:b w:val="false"/>
                <w:bCs w:val="false"/>
              </w:rPr>
              <w:t xml:space="preserve">Avanço real: a Introdução agora liga explicitamente a ausência de bairro à LGPD (Lei nº 13.709/2018). Mas ainda não existe subseção dedicada de Considerações Éticas na Metodologia, e a nova tensão entre usar NM_UN_INTE (nome de unidade de saúde, potencialmente mais identificável territorialmente do que um bairro) e o princípio de minimização de dados não é discutida em nenhum lugar do TC2.</w:t>
            </w:r>
          </w:p>
        </w:tc>
      </w:tr>
    </w:tbl>
    <w:p>
      <w:pPr>
        <w:pStyle w:val="Heading1"/>
        <w:spacing w:after="160" w:before="320"/>
      </w:pPr>
      <w:r>
        <w:t xml:space="preserve">Evidências (v12)</w:t>
      </w:r>
    </w:p>
    <w:p>
      <w:pPr>
        <w:spacing w:after="140"/>
      </w:pPr>
      <w:r>
        <w:t xml:space="preserve">Segue a numeração alfabética iniciada na v10 (Evidências A a I) e continuada na v11 como "Evidência de Dados" (1 a 5). Esta versão acrescenta as Evidências J a O (comparações de texto) e as Evidências de Dados 6 a 9 (verificação direta em dados).</w:t>
      </w:r>
    </w:p>
    <w:p>
      <w:pPr>
        <w:pStyle w:val="Heading2"/>
        <w:spacing w:after="140" w:before="260"/>
      </w:pPr>
      <w:r>
        <w:t xml:space="preserve">Evidência J — Decisão de NM_UN_INTE anunciada na Introdução, mas não propagada</w:t>
      </w:r>
    </w:p>
    <w:p>
      <w:pPr>
        <w:spacing w:after="140"/>
      </w:pPr>
      <w:r>
        <w:t xml:space="preserve">A Introdução do TC2 é taxativa: "a granularidade da modelagem preditiva permanece municipal, evitando o problema de dados de contagem esparsa que a fragmentação da série por unidade hospitalar tenderia a agravar", e a mudança "se aplica exclusivamente à camada de consulta e visualização histórica do sistema". Isso é uma decisão tecnicamente sólida e coerente com a Seção 6.1 deste documento. O problema é que essa frase só existe na Introdução — nenhuma outra seção do TC2 foi ajustada para refletir a substituição de bairro por NM_UN_INTE: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600"/>
        <w:gridCol w:w="7700"/>
      </w:tblGrid>
      <w:tr>
        <w:tc>
          <w:tcPr>
            <w:tcW w:type="dxa" w:w="2600"/>
            <w:shd w:fill="D9D9D9" w:val="clear"/>
            <w:tcMar>
              <w:top w:type="dxa" w:w="60"/>
              <w:left w:type="dxa" w:w="100"/>
              <w:bottom w:type="dxa" w:w="60"/>
              <w:right w:type="dxa" w:w="100"/>
            </w:tcMar>
          </w:tcPr>
          <w:p>
            <w:pPr>
              <w:spacing w:after="40"/>
            </w:pPr>
            <w:r>
              <w:rPr>
                <w:b/>
                <w:bCs/>
              </w:rPr>
              <w:t xml:space="preserve">Localização no TC2</w:t>
            </w:r>
          </w:p>
        </w:tc>
        <w:tc>
          <w:tcPr>
            <w:tcW w:type="dxa" w:w="7700"/>
            <w:shd w:fill="D9D9D9" w:val="clear"/>
            <w:tcMar>
              <w:top w:type="dxa" w:w="60"/>
              <w:left w:type="dxa" w:w="100"/>
              <w:bottom w:type="dxa" w:w="60"/>
              <w:right w:type="dxa" w:w="100"/>
            </w:tcMar>
          </w:tcPr>
          <w:p>
            <w:pPr>
              <w:spacing w:after="40"/>
            </w:pPr>
            <w:r>
              <w:rPr>
                <w:b/>
                <w:bCs/>
              </w:rPr>
              <w:t xml:space="preserve">Trecho ainda desatualizado</w:t>
            </w:r>
          </w:p>
        </w:tc>
      </w:tr>
      <w:tr>
        <w:tc>
          <w:tcPr>
            <w:tcW w:type="dxa" w:w="2600"/>
            <w:tcMar>
              <w:top w:type="dxa" w:w="60"/>
              <w:left w:type="dxa" w:w="100"/>
              <w:bottom w:type="dxa" w:w="60"/>
              <w:right w:type="dxa" w:w="100"/>
            </w:tcMar>
          </w:tcPr>
          <w:p>
            <w:pPr>
              <w:spacing w:after="40"/>
            </w:pPr>
            <w:r>
              <w:rPr>
                <w:b w:val="false"/>
                <w:bCs w:val="false"/>
              </w:rPr>
              <w:t xml:space="preserve">RF001 — Entradas</w:t>
            </w:r>
          </w:p>
        </w:tc>
        <w:tc>
          <w:tcPr>
            <w:tcW w:type="dxa" w:w="7700"/>
            <w:tcMar>
              <w:top w:type="dxa" w:w="60"/>
              <w:left w:type="dxa" w:w="100"/>
              <w:bottom w:type="dxa" w:w="60"/>
              <w:right w:type="dxa" w:w="100"/>
            </w:tcMar>
          </w:tcPr>
          <w:p>
            <w:pPr>
              <w:spacing w:after="40"/>
            </w:pPr>
            <w:r>
              <w:rPr>
                <w:b w:val="false"/>
                <w:bCs w:val="false"/>
              </w:rPr>
              <w:t xml:space="preserve">"Período de referência... e bairro da cidade de São Paulo."</w:t>
            </w:r>
          </w:p>
        </w:tc>
      </w:tr>
      <w:tr>
        <w:tc>
          <w:tcPr>
            <w:tcW w:type="dxa" w:w="2600"/>
            <w:tcMar>
              <w:top w:type="dxa" w:w="60"/>
              <w:left w:type="dxa" w:w="100"/>
              <w:bottom w:type="dxa" w:w="60"/>
              <w:right w:type="dxa" w:w="100"/>
            </w:tcMar>
          </w:tcPr>
          <w:p>
            <w:pPr>
              <w:spacing w:after="40"/>
            </w:pPr>
            <w:r>
              <w:rPr>
                <w:b w:val="false"/>
                <w:bCs w:val="false"/>
              </w:rPr>
              <w:t xml:space="preserve">RF002 — Entradas</w:t>
            </w:r>
          </w:p>
        </w:tc>
        <w:tc>
          <w:tcPr>
            <w:tcW w:type="dxa" w:w="7700"/>
            <w:tcMar>
              <w:top w:type="dxa" w:w="60"/>
              <w:left w:type="dxa" w:w="100"/>
              <w:bottom w:type="dxa" w:w="60"/>
              <w:right w:type="dxa" w:w="100"/>
            </w:tcMar>
          </w:tcPr>
          <w:p>
            <w:pPr>
              <w:spacing w:after="40"/>
            </w:pPr>
            <w:r>
              <w:rPr>
                <w:b w:val="false"/>
                <w:bCs w:val="false"/>
              </w:rPr>
              <w:t xml:space="preserve">"...e, opcionalmente, recorte regional da cidade de São Paulo."</w:t>
            </w:r>
          </w:p>
        </w:tc>
      </w:tr>
      <w:tr>
        <w:tc>
          <w:tcPr>
            <w:tcW w:type="dxa" w:w="2600"/>
            <w:tcMar>
              <w:top w:type="dxa" w:w="60"/>
              <w:left w:type="dxa" w:w="100"/>
              <w:bottom w:type="dxa" w:w="60"/>
              <w:right w:type="dxa" w:w="100"/>
            </w:tcMar>
          </w:tcPr>
          <w:p>
            <w:pPr>
              <w:spacing w:after="40"/>
            </w:pPr>
            <w:r>
              <w:rPr>
                <w:b w:val="false"/>
                <w:bCs w:val="false"/>
              </w:rPr>
              <w:t xml:space="preserve">RF004 — Entradas</w:t>
            </w:r>
          </w:p>
        </w:tc>
        <w:tc>
          <w:tcPr>
            <w:tcW w:type="dxa" w:w="7700"/>
            <w:tcMar>
              <w:top w:type="dxa" w:w="60"/>
              <w:left w:type="dxa" w:w="100"/>
              <w:bottom w:type="dxa" w:w="60"/>
              <w:right w:type="dxa" w:w="100"/>
            </w:tcMar>
          </w:tcPr>
          <w:p>
            <w:pPr>
              <w:spacing w:after="40"/>
            </w:pPr>
            <w:r>
              <w:rPr>
                <w:b w:val="false"/>
                <w:bCs w:val="false"/>
              </w:rPr>
              <w:t xml:space="preserve">"...segmentada por tipo de Influenza e região quando aplicável."</w:t>
            </w:r>
          </w:p>
        </w:tc>
      </w:tr>
      <w:tr>
        <w:tc>
          <w:tcPr>
            <w:tcW w:type="dxa" w:w="2600"/>
            <w:tcMar>
              <w:top w:type="dxa" w:w="60"/>
              <w:left w:type="dxa" w:w="100"/>
              <w:bottom w:type="dxa" w:w="60"/>
              <w:right w:type="dxa" w:w="100"/>
            </w:tcMar>
          </w:tcPr>
          <w:p>
            <w:pPr>
              <w:spacing w:after="40"/>
            </w:pPr>
            <w:r>
              <w:rPr>
                <w:b w:val="false"/>
                <w:bCs w:val="false"/>
              </w:rPr>
              <w:t xml:space="preserve">4.6.2 Coleta e tratamento dos dados</w:t>
            </w:r>
          </w:p>
        </w:tc>
        <w:tc>
          <w:tcPr>
            <w:tcW w:type="dxa" w:w="7700"/>
            <w:tcMar>
              <w:top w:type="dxa" w:w="60"/>
              <w:left w:type="dxa" w:w="100"/>
              <w:bottom w:type="dxa" w:w="60"/>
              <w:right w:type="dxa" w:w="100"/>
            </w:tcMar>
          </w:tcPr>
          <w:p>
            <w:pPr>
              <w:spacing w:after="40"/>
            </w:pPr>
            <w:r>
              <w:rPr>
                <w:b w:val="false"/>
                <w:bCs w:val="false"/>
              </w:rPr>
              <w:t xml:space="preserve">"normalização de variáveis tais como códigos de bairro, datas e agrupamentos clínicos".</w:t>
            </w:r>
          </w:p>
        </w:tc>
      </w:tr>
      <w:tr>
        <w:tc>
          <w:tcPr>
            <w:tcW w:type="dxa" w:w="2600"/>
            <w:tcMar>
              <w:top w:type="dxa" w:w="60"/>
              <w:left w:type="dxa" w:w="100"/>
              <w:bottom w:type="dxa" w:w="60"/>
              <w:right w:type="dxa" w:w="100"/>
            </w:tcMar>
          </w:tcPr>
          <w:p>
            <w:pPr>
              <w:spacing w:after="40"/>
            </w:pPr>
            <w:r>
              <w:rPr>
                <w:b w:val="false"/>
                <w:bCs w:val="false"/>
              </w:rPr>
              <w:t xml:space="preserve">4.6.3 Modelagem do banco de dados</w:t>
            </w:r>
          </w:p>
        </w:tc>
        <w:tc>
          <w:tcPr>
            <w:tcW w:type="dxa" w:w="7700"/>
            <w:tcMar>
              <w:top w:type="dxa" w:w="60"/>
              <w:left w:type="dxa" w:w="100"/>
              <w:bottom w:type="dxa" w:w="60"/>
              <w:right w:type="dxa" w:w="100"/>
            </w:tcMar>
          </w:tcPr>
          <w:p>
            <w:pPr>
              <w:spacing w:after="40"/>
            </w:pPr>
            <w:r>
              <w:rPr>
                <w:b w:val="false"/>
                <w:bCs w:val="false"/>
              </w:rPr>
              <w:t xml:space="preserve">"certificando... que as estruturas criadas suportem filtros por período e bairro".</w:t>
            </w:r>
          </w:p>
        </w:tc>
      </w:tr>
      <w:tr>
        <w:tc>
          <w:tcPr>
            <w:tcW w:type="dxa" w:w="2600"/>
            <w:tcMar>
              <w:top w:type="dxa" w:w="60"/>
              <w:left w:type="dxa" w:w="100"/>
              <w:bottom w:type="dxa" w:w="60"/>
              <w:right w:type="dxa" w:w="100"/>
            </w:tcMar>
          </w:tcPr>
          <w:p>
            <w:pPr>
              <w:spacing w:after="40"/>
            </w:pPr>
            <w:r>
              <w:rPr>
                <w:b w:val="false"/>
                <w:bCs w:val="false"/>
              </w:rPr>
              <w:t xml:space="preserve">4.6.4 Desenvolvimento backend</w:t>
            </w:r>
          </w:p>
        </w:tc>
        <w:tc>
          <w:tcPr>
            <w:tcW w:type="dxa" w:w="7700"/>
            <w:tcMar>
              <w:top w:type="dxa" w:w="60"/>
              <w:left w:type="dxa" w:w="100"/>
              <w:bottom w:type="dxa" w:w="60"/>
              <w:right w:type="dxa" w:w="100"/>
            </w:tcMar>
          </w:tcPr>
          <w:p>
            <w:pPr>
              <w:spacing w:after="40"/>
            </w:pPr>
            <w:r>
              <w:rPr>
                <w:b w:val="false"/>
                <w:bCs w:val="false"/>
              </w:rPr>
              <w:t xml:space="preserve">"suporte a filtros por período e bairro".</w:t>
            </w:r>
          </w:p>
        </w:tc>
      </w:tr>
      <w:tr>
        <w:tc>
          <w:tcPr>
            <w:tcW w:type="dxa" w:w="2600"/>
            <w:tcMar>
              <w:top w:type="dxa" w:w="60"/>
              <w:left w:type="dxa" w:w="100"/>
              <w:bottom w:type="dxa" w:w="60"/>
              <w:right w:type="dxa" w:w="100"/>
            </w:tcMar>
          </w:tcPr>
          <w:p>
            <w:pPr>
              <w:spacing w:after="40"/>
            </w:pPr>
            <w:r>
              <w:rPr>
                <w:b w:val="false"/>
                <w:bCs w:val="false"/>
              </w:rPr>
              <w:t xml:space="preserve">4.6.5 Desenvolvimento frontend</w:t>
            </w:r>
          </w:p>
        </w:tc>
        <w:tc>
          <w:tcPr>
            <w:tcW w:type="dxa" w:w="7700"/>
            <w:tcMar>
              <w:top w:type="dxa" w:w="60"/>
              <w:left w:type="dxa" w:w="100"/>
              <w:bottom w:type="dxa" w:w="60"/>
              <w:right w:type="dxa" w:w="100"/>
            </w:tcMar>
          </w:tcPr>
          <w:p>
            <w:pPr>
              <w:spacing w:after="40"/>
            </w:pPr>
            <w:r>
              <w:rPr>
                <w:b w:val="false"/>
                <w:bCs w:val="false"/>
              </w:rPr>
              <w:t xml:space="preserve">"filtragem por período e bairro... visualização ilustrativa como mapa de calor, por nível de casos nos bairros" — a promessa mais problemática, pois descreve uma visualização hoje impossível com a fonte de dados.</w:t>
            </w:r>
          </w:p>
        </w:tc>
      </w:tr>
      <w:tr>
        <w:tc>
          <w:tcPr>
            <w:tcW w:type="dxa" w:w="2600"/>
            <w:tcMar>
              <w:top w:type="dxa" w:w="60"/>
              <w:left w:type="dxa" w:w="100"/>
              <w:bottom w:type="dxa" w:w="60"/>
              <w:right w:type="dxa" w:w="100"/>
            </w:tcMar>
          </w:tcPr>
          <w:p>
            <w:pPr>
              <w:spacing w:after="40"/>
            </w:pPr>
            <w:r>
              <w:rPr>
                <w:b w:val="false"/>
                <w:bCs w:val="false"/>
              </w:rPr>
              <w:t xml:space="preserve">4.8.4 DER (texto de apoio)</w:t>
            </w:r>
          </w:p>
        </w:tc>
        <w:tc>
          <w:tcPr>
            <w:tcW w:type="dxa" w:w="7700"/>
            <w:tcMar>
              <w:top w:type="dxa" w:w="60"/>
              <w:left w:type="dxa" w:w="100"/>
              <w:bottom w:type="dxa" w:w="60"/>
              <w:right w:type="dxa" w:w="100"/>
            </w:tcMar>
          </w:tcPr>
          <w:p>
            <w:pPr>
              <w:spacing w:after="40"/>
            </w:pPr>
            <w:r>
              <w:rPr>
                <w:b w:val="false"/>
                <w:bCs w:val="false"/>
              </w:rPr>
              <w:t xml:space="preserve">"As tabelas 'bairro', 'periodoEpidemiologico' e 'tipoNotificação' funcionam como medidas de consulta, o que permite ao sistema... filtrar os dados por bairro...".</w:t>
            </w:r>
          </w:p>
        </w:tc>
      </w:tr>
      <w:tr>
        <w:tc>
          <w:tcPr>
            <w:tcW w:type="dxa" w:w="2600"/>
            <w:tcMar>
              <w:top w:type="dxa" w:w="60"/>
              <w:left w:type="dxa" w:w="100"/>
              <w:bottom w:type="dxa" w:w="60"/>
              <w:right w:type="dxa" w:w="100"/>
            </w:tcMar>
          </w:tcPr>
          <w:p>
            <w:pPr>
              <w:spacing w:after="40"/>
            </w:pPr>
            <w:r>
              <w:rPr>
                <w:b w:val="false"/>
                <w:bCs w:val="false"/>
              </w:rPr>
              <w:t xml:space="preserve">4.9.1.2 Estrutura do dashboard</w:t>
            </w:r>
          </w:p>
        </w:tc>
        <w:tc>
          <w:tcPr>
            <w:tcW w:type="dxa" w:w="7700"/>
            <w:tcMar>
              <w:top w:type="dxa" w:w="60"/>
              <w:left w:type="dxa" w:w="100"/>
              <w:bottom w:type="dxa" w:w="60"/>
              <w:right w:type="dxa" w:w="100"/>
            </w:tcMar>
          </w:tcPr>
          <w:p>
            <w:pPr>
              <w:spacing w:after="40"/>
            </w:pPr>
            <w:r>
              <w:rPr>
                <w:b w:val="false"/>
                <w:bCs w:val="false"/>
              </w:rPr>
              <w:t xml:space="preserve">"Filtros interativos por períodos... e recorte geográfico (bairros/regiões do município)".</w:t>
            </w:r>
          </w:p>
        </w:tc>
      </w:tr>
      <w:tr>
        <w:tc>
          <w:tcPr>
            <w:tcW w:type="dxa" w:w="2600"/>
            <w:tcMar>
              <w:top w:type="dxa" w:w="60"/>
              <w:left w:type="dxa" w:w="100"/>
              <w:bottom w:type="dxa" w:w="60"/>
              <w:right w:type="dxa" w:w="100"/>
            </w:tcMar>
          </w:tcPr>
          <w:p>
            <w:pPr>
              <w:spacing w:after="40"/>
            </w:pPr>
            <w:r>
              <w:rPr>
                <w:b w:val="false"/>
                <w:bCs w:val="false"/>
              </w:rPr>
              <w:t xml:space="preserve">4.9.2.2 Estrutura da API REST</w:t>
            </w:r>
          </w:p>
        </w:tc>
        <w:tc>
          <w:tcPr>
            <w:tcW w:type="dxa" w:w="7700"/>
            <w:tcMar>
              <w:top w:type="dxa" w:w="60"/>
              <w:left w:type="dxa" w:w="100"/>
              <w:bottom w:type="dxa" w:w="60"/>
              <w:right w:type="dxa" w:w="100"/>
            </w:tcMar>
          </w:tcPr>
          <w:p>
            <w:pPr>
              <w:spacing w:after="40"/>
            </w:pPr>
            <w:r>
              <w:rPr>
                <w:b w:val="false"/>
                <w:bCs w:val="false"/>
              </w:rPr>
              <w:t xml:space="preserve">"Endpoints de metadados: fornecem... filtros por bairro e períodos".</w:t>
            </w:r>
          </w:p>
        </w:tc>
      </w:tr>
      <w:tr>
        <w:tc>
          <w:tcPr>
            <w:tcW w:type="dxa" w:w="2600"/>
            <w:tcMar>
              <w:top w:type="dxa" w:w="60"/>
              <w:left w:type="dxa" w:w="100"/>
              <w:bottom w:type="dxa" w:w="60"/>
              <w:right w:type="dxa" w:w="100"/>
            </w:tcMar>
          </w:tcPr>
          <w:p>
            <w:pPr>
              <w:spacing w:after="40"/>
            </w:pPr>
            <w:r>
              <w:rPr>
                <w:b w:val="false"/>
                <w:bCs w:val="false"/>
              </w:rPr>
              <w:t xml:space="preserve">4.9.3.3 / 4.9.3.4 / 4.9.3.9</w:t>
            </w:r>
          </w:p>
        </w:tc>
        <w:tc>
          <w:tcPr>
            <w:tcW w:type="dxa" w:w="7700"/>
            <w:tcMar>
              <w:top w:type="dxa" w:w="60"/>
              <w:left w:type="dxa" w:w="100"/>
              <w:bottom w:type="dxa" w:w="60"/>
              <w:right w:type="dxa" w:w="100"/>
            </w:tcMar>
          </w:tcPr>
          <w:p>
            <w:pPr>
              <w:spacing w:after="40"/>
            </w:pPr>
            <w:r>
              <w:rPr>
                <w:b w:val="false"/>
                <w:bCs w:val="false"/>
              </w:rPr>
              <w:t xml:space="preserve">Tabelas bairro, regiao e bairro_predicao continuam descritas exatamente como antes, sem qualquer nota indicando a substituição por NM_UN_INTE.</w:t>
            </w:r>
          </w:p>
        </w:tc>
      </w:tr>
    </w:tbl>
    <w:p>
      <w:pPr>
        <w:spacing w:after="140"/>
      </w:pPr>
      <w:r>
        <w:t xml:space="preserve"/>
      </w:r>
    </w:p>
    <w:p>
      <w:pPr>
        <w:spacing w:after="140"/>
      </w:pPr>
      <w:r>
        <w:t xml:space="preserve">O único ponto do TC2 fora da Introdução onde a mudança já aparece é o objetivo específico (a) da Seção 2.2, que passou a citar "dados de hospitais e suas localidades". Isso sugere que a atualização foi iniciada, mas não concluída — um padrão já visto na v10 (correção parcial e localizada antes de se espalhar pelo texto).</w:t>
      </w:r>
    </w:p>
    <w:p>
      <w:pPr>
        <w:pStyle w:val="Heading2"/>
        <w:spacing w:after="140" w:before="260"/>
      </w:pPr>
      <w:r>
        <w:t xml:space="preserve">Evidência K — Renumeração completa dos capítulos e remissões duplamente desatualizadas</w:t>
      </w:r>
    </w:p>
    <w:p>
      <w:pPr>
        <w:spacing w:after="140"/>
      </w:pPr>
      <w:r>
        <w:t xml:space="preserve">O TC2 abandonou a estrutura em que Objetivos era subseção da Introdução (1.1.1/1.1.2) e passou a tratar cada bloco como capítulo independente: 1 Introdução, 2 Objetivos, 3 Revisão de Literatura (3.1 a 3.5), 4 Material e Método (4.1 a 4.9), 5 Resultados. Dentro do Capítulo 4, a sequência 4.3 Delimitações de escopo → 4.4 Abordagem de Desenvolvimento → 4.5 Ferramentas e Tecnologias → 4.6 Etapas do Projeto → 4.7 Forma de Validação → 4.8 Modelagem do Projeto → 4.9 Documentação Técnica da Arquitetura corresponde, quase exatamente, à "sequência corrigida sugerida" da Evidência E (v10) — mas deslocada um capítulo inteiro acima (de 3.x para 4.x). O bug de cabeçalho duplicado "3.3/3.3" não existe mais nesta estrutura.</w:t>
      </w:r>
    </w:p>
    <w:p>
      <w:pPr>
        <w:spacing w:after="140"/>
      </w:pPr>
      <w:r>
        <w:t xml:space="preserve">O efeito colateral é que as duas remissões internas já identificadas como desatualizadas na Evidência E continuam erradas, agora por um motivo adicional:</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600"/>
      </w:tblGrid>
      <w:tr>
        <w:tc>
          <w:tcPr>
            <w:tcW w:type="dxa" w:w="2600"/>
            <w:shd w:fill="D9D9D9" w:val="clear"/>
            <w:tcMar>
              <w:top w:type="dxa" w:w="60"/>
              <w:left w:type="dxa" w:w="100"/>
              <w:bottom w:type="dxa" w:w="60"/>
              <w:right w:type="dxa" w:w="100"/>
            </w:tcMar>
          </w:tcPr>
          <w:p>
            <w:pPr>
              <w:spacing w:after="40"/>
            </w:pPr>
            <w:r>
              <w:rPr>
                <w:b/>
                <w:bCs/>
              </w:rPr>
              <w:t xml:space="preserve">Remissão</w:t>
            </w:r>
          </w:p>
        </w:tc>
        <w:tc>
          <w:tcPr>
            <w:tcW w:type="dxa" w:w="3600"/>
            <w:shd w:fill="D9D9D9" w:val="clear"/>
            <w:tcMar>
              <w:top w:type="dxa" w:w="60"/>
              <w:left w:type="dxa" w:w="100"/>
              <w:bottom w:type="dxa" w:w="60"/>
              <w:right w:type="dxa" w:w="100"/>
            </w:tcMar>
          </w:tcPr>
          <w:p>
            <w:pPr>
              <w:spacing w:after="40"/>
            </w:pPr>
            <w:r>
              <w:rPr>
                <w:b/>
                <w:bCs/>
              </w:rPr>
              <w:t xml:space="preserve">Texto no TC2</w:t>
            </w:r>
          </w:p>
        </w:tc>
        <w:tc>
          <w:tcPr>
            <w:tcW w:type="dxa" w:w="3600"/>
            <w:shd w:fill="D9D9D9" w:val="clear"/>
            <w:tcMar>
              <w:top w:type="dxa" w:w="60"/>
              <w:left w:type="dxa" w:w="100"/>
              <w:bottom w:type="dxa" w:w="60"/>
              <w:right w:type="dxa" w:w="100"/>
            </w:tcMar>
          </w:tcPr>
          <w:p>
            <w:pPr>
              <w:spacing w:after="40"/>
            </w:pPr>
            <w:r>
              <w:rPr>
                <w:b/>
                <w:bCs/>
              </w:rPr>
              <w:t xml:space="preserve">Numeração correta hoje</w:t>
            </w:r>
          </w:p>
        </w:tc>
      </w:tr>
      <w:tr>
        <w:tc>
          <w:tcPr>
            <w:tcW w:type="dxa" w:w="2600"/>
            <w:tcMar>
              <w:top w:type="dxa" w:w="60"/>
              <w:left w:type="dxa" w:w="100"/>
              <w:bottom w:type="dxa" w:w="60"/>
              <w:right w:type="dxa" w:w="100"/>
            </w:tcMar>
          </w:tcPr>
          <w:p>
            <w:pPr>
              <w:spacing w:after="40"/>
            </w:pPr>
            <w:r>
              <w:rPr>
                <w:b w:val="false"/>
                <w:bCs w:val="false"/>
              </w:rPr>
              <w:t xml:space="preserve">RF003, campo Ação</w:t>
            </w:r>
          </w:p>
        </w:tc>
        <w:tc>
          <w:tcPr>
            <w:tcW w:type="dxa" w:w="3600"/>
            <w:tcMar>
              <w:top w:type="dxa" w:w="60"/>
              <w:left w:type="dxa" w:w="100"/>
              <w:bottom w:type="dxa" w:w="60"/>
              <w:right w:type="dxa" w:w="100"/>
            </w:tcMar>
          </w:tcPr>
          <w:p>
            <w:pPr>
              <w:spacing w:after="40"/>
            </w:pPr>
            <w:r>
              <w:rPr>
                <w:b w:val="false"/>
                <w:bCs w:val="false"/>
              </w:rPr>
              <w:t xml:space="preserve">"...respeitando a estrutura definida na etapa de modelagem (3.4.3)"</w:t>
            </w:r>
          </w:p>
        </w:tc>
        <w:tc>
          <w:tcPr>
            <w:tcW w:type="dxa" w:w="3600"/>
            <w:tcMar>
              <w:top w:type="dxa" w:w="60"/>
              <w:left w:type="dxa" w:w="100"/>
              <w:bottom w:type="dxa" w:w="60"/>
              <w:right w:type="dxa" w:w="100"/>
            </w:tcMar>
          </w:tcPr>
          <w:p>
            <w:pPr>
              <w:spacing w:after="40"/>
            </w:pPr>
            <w:r>
              <w:rPr>
                <w:b w:val="false"/>
                <w:bCs w:val="false"/>
              </w:rPr>
              <w:t xml:space="preserve">4.6.3 (Modelagem do banco de dados)</w:t>
            </w:r>
          </w:p>
        </w:tc>
      </w:tr>
      <w:tr>
        <w:tc>
          <w:tcPr>
            <w:tcW w:type="dxa" w:w="2600"/>
            <w:tcMar>
              <w:top w:type="dxa" w:w="60"/>
              <w:left w:type="dxa" w:w="100"/>
              <w:bottom w:type="dxa" w:w="60"/>
              <w:right w:type="dxa" w:w="100"/>
            </w:tcMar>
          </w:tcPr>
          <w:p>
            <w:pPr>
              <w:spacing w:after="40"/>
            </w:pPr>
            <w:r>
              <w:rPr>
                <w:b w:val="false"/>
                <w:bCs w:val="false"/>
              </w:rPr>
              <w:t xml:space="preserve">RF004, campo Observações</w:t>
            </w:r>
          </w:p>
        </w:tc>
        <w:tc>
          <w:tcPr>
            <w:tcW w:type="dxa" w:w="3600"/>
            <w:tcMar>
              <w:top w:type="dxa" w:w="60"/>
              <w:left w:type="dxa" w:w="100"/>
              <w:bottom w:type="dxa" w:w="60"/>
              <w:right w:type="dxa" w:w="100"/>
            </w:tcMar>
          </w:tcPr>
          <w:p>
            <w:pPr>
              <w:spacing w:after="40"/>
            </w:pPr>
            <w:r>
              <w:rPr>
                <w:b w:val="false"/>
                <w:bCs w:val="false"/>
              </w:rPr>
              <w:t xml:space="preserve">"...distinta da validação final... conduzida na etapa 3.4.8"</w:t>
            </w:r>
          </w:p>
        </w:tc>
        <w:tc>
          <w:tcPr>
            <w:tcW w:type="dxa" w:w="3600"/>
            <w:tcMar>
              <w:top w:type="dxa" w:w="60"/>
              <w:left w:type="dxa" w:w="100"/>
              <w:bottom w:type="dxa" w:w="60"/>
              <w:right w:type="dxa" w:w="100"/>
            </w:tcMar>
          </w:tcPr>
          <w:p>
            <w:pPr>
              <w:spacing w:after="40"/>
            </w:pPr>
            <w:r>
              <w:rPr>
                <w:b w:val="false"/>
                <w:bCs w:val="false"/>
              </w:rPr>
              <w:t xml:space="preserve">4.6.8 (Implantação em nuvem)</w:t>
            </w:r>
          </w:p>
        </w:tc>
      </w:tr>
    </w:tbl>
    <w:p>
      <w:pPr>
        <w:spacing w:after="140"/>
      </w:pPr>
      <w:r>
        <w:t xml:space="preserve"/>
      </w:r>
    </w:p>
    <w:p>
      <w:pPr>
        <w:spacing w:after="140"/>
      </w:pPr>
      <w:r>
        <w:t xml:space="preserve">Recomenda-se corrigir as duas remissões numa única passada, já usando a numeração de capítulo 4 vigente, para não gerar uma terceira rodada de números errados como a v10 já alertava.</w:t>
      </w:r>
    </w:p>
    <w:p>
      <w:pPr>
        <w:pStyle w:val="Heading2"/>
        <w:spacing w:after="140" w:before="260"/>
      </w:pPr>
      <w:r>
        <w:t xml:space="preserve">Evidência L — Sumário e Lista de Ilustrações majoritariamente corrigidos, com duas lacunas pontuais</w:t>
      </w:r>
    </w:p>
    <w:p>
      <w:pPr>
        <w:spacing w:after="140"/>
      </w:pPr>
      <w:r>
        <w:t xml:space="preserve">Diferente da Evidência D (v10), que descrevia um Sumário quase inteiramente dessincronizado do corpo do texto, o Sumário do TC2 acompanha de perto a estrutura real — incluindo a numeração renovada do Capítulo 4 e as 11 subseções de 4.9.3 (tabelas do banco de dados, já incluindo bairro_predicao). Duas divergências pontuais permanecem:</w:t>
      </w:r>
    </w:p>
    <w:p>
      <w:pPr>
        <w:pStyle w:val="ListParagraph"/>
        <w:numPr>
          <w:ilvl w:val="0"/>
          <w:numId w:val="1"/>
        </w:numPr>
        <w:spacing w:after="80"/>
      </w:pPr>
      <w:r>
        <w:t xml:space="preserve">O Sumário lista apenas 4.9.2.1 a 4.9.2.3 dentro de "4.9.2 Backend"; o corpo do texto tem uma quarta subseção, 4.9.2.4 Validação e monitoramento, ausente do Sumário.</w:t>
      </w:r>
    </w:p>
    <w:p>
      <w:pPr>
        <w:pStyle w:val="ListParagraph"/>
        <w:numPr>
          <w:ilvl w:val="0"/>
          <w:numId w:val="1"/>
        </w:numPr>
        <w:spacing w:after="80"/>
      </w:pPr>
      <w:r>
        <w:t xml:space="preserve">O Sumário nomeia o Capítulo 5 como "RESULTADOS ESPERADOS"; o cabeçalho no corpo do texto é "5. Resultados OBTIDOS" — divergência de título, não apenas de numeração, e o capítulo está vazio (sem conteúdo redigido) em ambos os casos.</w:t>
      </w:r>
    </w:p>
    <w:p>
      <w:pPr>
        <w:pStyle w:val="Heading2"/>
        <w:spacing w:after="140" w:before="260"/>
      </w:pPr>
      <w:r>
        <w:t xml:space="preserve">Evidência M — "MER" residual permanece idêntico à v10; nomes de tabela em camelCase inconsistentes com o esquema real</w:t>
      </w:r>
    </w:p>
    <w:p>
      <w:pPr>
        <w:spacing w:after="140"/>
      </w:pPr>
      <w:r>
        <w:t xml:space="preserve">Sem mudança de conteúdo desde a Evidência C (v10), apenas de localização (agora Seção 4.6.3, não mais 3.5.3): o texto ainda descreve "a elaboração do Modelo de Entidade e Relacionamento (MER)", enquanto o título da seção do diagrama (4.8.4) já foi corrigido para "Diagrama entidade relacionamento (DER)". O parágrafo de apoio de 4.8.4 cita entidades em camelCase — "periodoEpidemiologico", "tipoNotificação", "serieTemporalEpidemiologica", "modeloPreditivo", "predicaoEpidemiologica", "métricaModelo" — que não correspondem a nenhuma das 11 tabelas efetivamente descritas em 4.9.3 (nomenclatura snake_case: fonte_dados, arquivo_dados, bairro, regiao, tipo_notificacao, registro_epidemiologico, modelo_preditivo, predicao_epidemiologica, bairro_predicao, metrica_modelo, log_processamento). Esse parágrafo continua sendo, aparentemente, resquício de uma versão anterior do banco de dados.</w:t>
      </w:r>
    </w:p>
    <w:p>
      <w:pPr>
        <w:pStyle w:val="Heading2"/>
        <w:spacing w:after="140" w:before="260"/>
      </w:pPr>
      <w:r>
        <w:t xml:space="preserve">Evidência N — Lista de Abreviaturas e Siglas: termos novos não listados e entradas questionáveis</w:t>
      </w:r>
    </w:p>
    <w:p>
      <w:pPr>
        <w:spacing w:after="140"/>
      </w:pPr>
      <w:r>
        <w:t xml:space="preserve">A Lista de Abreviaturas e Siglas do TC2 foi ampliada e é mais completa do que em versões anteriores. Ainda assim, dois pontos merecem atenção do grupo:</w:t>
      </w:r>
    </w:p>
    <w:p>
      <w:pPr>
        <w:pStyle w:val="ListParagraph"/>
        <w:numPr>
          <w:ilvl w:val="0"/>
          <w:numId w:val="1"/>
        </w:numPr>
        <w:spacing w:after="80"/>
      </w:pPr>
      <w:r>
        <w:t xml:space="preserve">NM_UN_INTE e LGPD — ambos usados na Introdução, nenhum dos dois consta na lista. NM_UN_INTE, em particular, é um nome de campo técnico do dicionário de dados (não uma palavra autoexplicativa) e deveria ser tanto listado quanto definido por extenso na primeira ocorrência do texto.</w:t>
      </w:r>
    </w:p>
    <w:p>
      <w:pPr>
        <w:pStyle w:val="ListParagraph"/>
        <w:numPr>
          <w:ilvl w:val="0"/>
          <w:numId w:val="1"/>
        </w:numPr>
        <w:spacing w:after="80"/>
      </w:pPr>
      <w:r>
        <w:t xml:space="preserve">Entradas como AESOP ("Sistema de Alerta de Saúde"), DATAPREV e NutelesApp ("Aplicativo do Núcleo de Saúde") aparecem na lista sem uso aparente no corpo do texto lido nesta versão — recomenda-se ao grupo confirmar se essas siglas são efetivamente citadas em algum lugar do TC2 (por exemplo, em passagens de Revisão de Literatura não destacadas nesta leitura) ou se são resíduos de uma lista de abreviaturas mais genérica que precisam ser removidos.</w:t>
      </w:r>
    </w:p>
    <w:p>
      <w:pPr>
        <w:pStyle w:val="Heading2"/>
        <w:spacing w:after="140" w:before="260"/>
      </w:pPr>
      <w:r>
        <w:t xml:space="preserve">Evidência O — Nota de revisão da sífilis congênita: referência já presente, mas resolução não verificável a partir da extração de texto</w:t>
      </w:r>
    </w:p>
    <w:p>
      <w:pPr>
        <w:spacing w:after="140"/>
      </w:pPr>
      <w:r>
        <w:t xml:space="preserve">A Evidência H (v10) registrava uma nota de revisão destacada, deixada visível no corpo da Seção de Trabalhos Relacionados, sinalizando incerteza sobre a referência de um estudo de sífilis congênita. A lista de Referências do TC2 já traz essa referência completa — CARNEIRO, Danrley Oliveira et al. (2022) — e o corpo do texto cita "Carneiro (2022)" de forma direta, sem colchetes ou reticências de incerteza visíveis na extração de texto usada nesta leitura. Isso é um indício forte de que a pendência foi resolvida, mas destaques de revisão (realce/comentário do Word) não são preservados de forma confiável na extração de texto puro — recomenda-se ao grupo uma checagem visual rápida do arquivo original antes de considerar este item definitivamente fechado.</w:t>
      </w:r>
    </w:p>
    <w:p>
      <w:pPr>
        <w:pStyle w:val="Heading1"/>
        <w:spacing w:after="160" w:before="320"/>
      </w:pPr>
      <w:r>
        <w:t xml:space="preserve">Evidência de Dados (v12)</w:t>
      </w:r>
    </w:p>
    <w:p>
      <w:pPr>
        <w:spacing w:after="140"/>
      </w:pPr>
      <w:r>
        <w:t xml:space="preserve">Continuação da numeração iniciada na v11 (Evidência de Dados 1 a 5), agora sobre dois arquivos novos, ambos gerados após a Evidência de Dados 1–5: o arquivo consolidado final (Dados_consolidados_e_padronizados_2009_a_2019_e_2022_a_2026.csv, 48.775 linhas, todo o estado de SP) e a planilha exploratória que o grupo já produziu a partir dele (Analise_exploratoria_Influenza_SP.xlsx).</w:t>
      </w:r>
    </w:p>
    <w:p>
      <w:pPr>
        <w:pStyle w:val="Heading2"/>
        <w:spacing w:after="140" w:before="260"/>
      </w:pPr>
      <w:r>
        <w:t xml:space="preserve">Evidência de Dados 6 — O arquivo consolidado final não contém os campos de confirmação documentados na Tabela 1 do TC2</w:t>
      </w:r>
    </w:p>
    <w:p>
      <w:pPr>
        <w:spacing w:after="140"/>
      </w:pPr>
      <w:r>
        <w:t xml:space="preserve">O arquivo tem 11 colunas: CS_SEXO, CS_RACA, NU_IDADE, SEM_PRI, DT_SIN_PRI, SG_UF, CO_MUN_RES, ID_MN_RESI, CS_ZONA, PCR_FLUASU, FLUASU_OUT. Nenhuma das seis colunas que a Tabela 1 da Seção 3.3 (DataSUS) do TC2 descreve como critério de filtragem — CLASSI_FIN, PCR_RESUL, POS_PCRFLU, TP_FLU_PCR, POS_AN_FLU, TP_FLU_AN — está presente. A única informação de subtipagem disponível é PCR_FLUASU (mais o campo de texto livre FLUASU_OUT, com valores como "SAZONAL/H3", "H3 SAZONAL" etc.), a mesma condição já identificada para 2009–2012 na Evidência de Dados 2/3 (v11) — mas agora confirmada como a condição do arquivo inteiro, dos 48.775 registros, não de um subconjunto histórico.</w:t>
      </w:r>
    </w:p>
    <w:p>
      <w:pPr>
        <w:spacing w:after="140"/>
      </w:pPr>
      <w:r>
        <w:t xml:space="preserve">Isso significa que a definição operacional "RT-PCR (POS_PCRFLU=1 e TP_FLU_PCR=1) OU teste antigênico (POS_AN_FLU=1 e TP_FLU_AN=1)", já documentada em tabela própria no TC2 (Tabela 1, Seção 3.3), não pode ter sido aplicada na construção deste arquivo — porque os campos de que ela depende simplesmente não estão nele. O arquivo usado como base para a planilha exploratória do grupo (e, presumivelmente, para o pipeline de banco de dados e modelagem) foi construído por um caminho diferente do que o TC2 diz, no texto, que foi usado.</w:t>
      </w:r>
    </w:p>
    <w:p>
      <w:pPr>
        <w:pStyle w:val="Heading2"/>
        <w:spacing w:after="140" w:before="260"/>
      </w:pPr>
      <w:r>
        <w:t xml:space="preserve">Evidência de Dados 7 — Código de subtipo antigo (esquema de 6 categorias) presente em todo o período, inclusive 2022–2026</w:t>
      </w:r>
    </w:p>
    <w:p>
      <w:pPr>
        <w:spacing w:after="140"/>
      </w:pPr>
      <w:r>
        <w:t xml:space="preserve">A Evidência de Dados 3 (v11) identificava o código "5" (H3N2v, esquema antigo de 6 categorias) apenas nos arquivos tratados de 2013–2018, como indício de que aquele trecho específico da série usava a codificação antiga do SINAN. A verificação direta do arquivo consolidado mostra que o código "5" aparece 502 vezes no total — mas a distribuição por ano é o achado novo: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D9D9" w:val="clear"/>
            <w:tcMar>
              <w:top w:type="dxa" w:w="60"/>
              <w:left w:type="dxa" w:w="100"/>
              <w:bottom w:type="dxa" w:w="60"/>
              <w:right w:type="dxa" w:w="100"/>
            </w:tcMar>
          </w:tcPr>
          <w:p>
            <w:pPr>
              <w:spacing w:after="40"/>
            </w:pPr>
            <w:r>
              <w:rPr>
                <w:b/>
                <w:bCs/>
              </w:rPr>
              <w:t xml:space="preserve">Ano</w:t>
            </w:r>
          </w:p>
        </w:tc>
        <w:tc>
          <w:tcPr>
            <w:tcW w:type="dxa" w:w="3000"/>
            <w:shd w:fill="D9D9D9" w:val="clear"/>
            <w:tcMar>
              <w:top w:type="dxa" w:w="60"/>
              <w:left w:type="dxa" w:w="100"/>
              <w:bottom w:type="dxa" w:w="60"/>
              <w:right w:type="dxa" w:w="100"/>
            </w:tcMar>
          </w:tcPr>
          <w:p>
            <w:pPr>
              <w:spacing w:after="40"/>
            </w:pPr>
            <w:r>
              <w:rPr>
                <w:b/>
                <w:bCs/>
              </w:rPr>
              <w:t xml:space="preserve">Ocorrências de PCR_FLUASU = 5</w:t>
            </w:r>
          </w:p>
        </w:tc>
        <w:tc>
          <w:tcPr>
            <w:tcW w:type="dxa" w:w="3000"/>
            <w:shd w:fill="D9D9D9" w:val="clear"/>
            <w:tcMar>
              <w:top w:type="dxa" w:w="60"/>
              <w:left w:type="dxa" w:w="100"/>
              <w:bottom w:type="dxa" w:w="60"/>
              <w:right w:type="dxa" w:w="100"/>
            </w:tcMar>
          </w:tcPr>
          <w:p>
            <w:pPr>
              <w:spacing w:after="40"/>
            </w:pPr>
            <w:r>
              <w:rPr>
                <w:b/>
                <w:bCs/>
              </w:rPr>
              <w:t xml:space="preserve">Observação</w:t>
            </w:r>
          </w:p>
        </w:tc>
      </w:tr>
      <w:tr>
        <w:tc>
          <w:tcPr>
            <w:tcW w:type="dxa" w:w="3000"/>
            <w:tcMar>
              <w:top w:type="dxa" w:w="60"/>
              <w:left w:type="dxa" w:w="100"/>
              <w:bottom w:type="dxa" w:w="60"/>
              <w:right w:type="dxa" w:w="100"/>
            </w:tcMar>
          </w:tcPr>
          <w:p>
            <w:pPr>
              <w:spacing w:after="40"/>
            </w:pPr>
            <w:r>
              <w:rPr>
                <w:b w:val="false"/>
                <w:bCs w:val="false"/>
              </w:rPr>
              <w:t xml:space="preserve">2012</w:t>
            </w:r>
          </w:p>
        </w:tc>
        <w:tc>
          <w:tcPr>
            <w:tcW w:type="dxa" w:w="3000"/>
            <w:tcMar>
              <w:top w:type="dxa" w:w="60"/>
              <w:left w:type="dxa" w:w="100"/>
              <w:bottom w:type="dxa" w:w="60"/>
              <w:right w:type="dxa" w:w="100"/>
            </w:tcMar>
          </w:tcPr>
          <w:p>
            <w:pPr>
              <w:spacing w:after="40"/>
            </w:pPr>
            <w:r>
              <w:rPr>
                <w:b w:val="false"/>
                <w:bCs w:val="false"/>
              </w:rPr>
              <w:t xml:space="preserve">1</w:t>
            </w:r>
          </w:p>
        </w:tc>
        <w:tc>
          <w:tcPr>
            <w:tcW w:type="dxa" w:w="3000"/>
            <w:tcMar>
              <w:top w:type="dxa" w:w="60"/>
              <w:left w:type="dxa" w:w="100"/>
              <w:bottom w:type="dxa" w:w="60"/>
              <w:right w:type="dxa" w:w="100"/>
            </w:tcMar>
          </w:tcPr>
          <w:p>
            <w:pPr>
              <w:spacing w:after="40"/>
            </w:pPr>
            <w:r>
              <w:rPr>
                <w:b w:val="false"/>
                <w:bCs w:val="false"/>
              </w:rPr>
              <w:t xml:space="preserve">Período SINAN, esperado</w:t>
            </w:r>
          </w:p>
        </w:tc>
      </w:tr>
      <w:tr>
        <w:tc>
          <w:tcPr>
            <w:tcW w:type="dxa" w:w="3000"/>
            <w:tcMar>
              <w:top w:type="dxa" w:w="60"/>
              <w:left w:type="dxa" w:w="100"/>
              <w:bottom w:type="dxa" w:w="60"/>
              <w:right w:type="dxa" w:w="100"/>
            </w:tcMar>
          </w:tcPr>
          <w:p>
            <w:pPr>
              <w:spacing w:after="40"/>
            </w:pPr>
            <w:r>
              <w:rPr>
                <w:b w:val="false"/>
                <w:bCs w:val="false"/>
              </w:rPr>
              <w:t xml:space="preserve">2014</w:t>
            </w:r>
          </w:p>
        </w:tc>
        <w:tc>
          <w:tcPr>
            <w:tcW w:type="dxa" w:w="3000"/>
            <w:tcMar>
              <w:top w:type="dxa" w:w="60"/>
              <w:left w:type="dxa" w:w="100"/>
              <w:bottom w:type="dxa" w:w="60"/>
              <w:right w:type="dxa" w:w="100"/>
            </w:tcMar>
          </w:tcPr>
          <w:p>
            <w:pPr>
              <w:spacing w:after="40"/>
            </w:pPr>
            <w:r>
              <w:rPr>
                <w:b w:val="false"/>
                <w:bCs w:val="false"/>
              </w:rPr>
              <w:t xml:space="preserve">5</w:t>
            </w:r>
          </w:p>
        </w:tc>
        <w:tc>
          <w:tcPr>
            <w:tcW w:type="dxa" w:w="3000"/>
            <w:tcMar>
              <w:top w:type="dxa" w:w="60"/>
              <w:left w:type="dxa" w:w="100"/>
              <w:bottom w:type="dxa" w:w="60"/>
              <w:right w:type="dxa" w:w="100"/>
            </w:tcMar>
          </w:tcPr>
          <w:p>
            <w:pPr>
              <w:spacing w:after="40"/>
            </w:pPr>
            <w:r>
              <w:rPr>
                <w:b w:val="false"/>
                <w:bCs w:val="false"/>
              </w:rPr>
              <w:t xml:space="preserve">Período SINAN, esperado</w:t>
            </w:r>
          </w:p>
        </w:tc>
      </w:tr>
      <w:tr>
        <w:tc>
          <w:tcPr>
            <w:tcW w:type="dxa" w:w="3000"/>
            <w:tcMar>
              <w:top w:type="dxa" w:w="60"/>
              <w:left w:type="dxa" w:w="100"/>
              <w:bottom w:type="dxa" w:w="60"/>
              <w:right w:type="dxa" w:w="100"/>
            </w:tcMar>
          </w:tcPr>
          <w:p>
            <w:pPr>
              <w:spacing w:after="40"/>
            </w:pPr>
            <w:r>
              <w:rPr>
                <w:b w:val="false"/>
                <w:bCs w:val="false"/>
              </w:rPr>
              <w:t xml:space="preserve">2017</w:t>
            </w:r>
          </w:p>
        </w:tc>
        <w:tc>
          <w:tcPr>
            <w:tcW w:type="dxa" w:w="3000"/>
            <w:tcMar>
              <w:top w:type="dxa" w:w="60"/>
              <w:left w:type="dxa" w:w="100"/>
              <w:bottom w:type="dxa" w:w="60"/>
              <w:right w:type="dxa" w:w="100"/>
            </w:tcMar>
          </w:tcPr>
          <w:p>
            <w:pPr>
              <w:spacing w:after="40"/>
            </w:pPr>
            <w:r>
              <w:rPr>
                <w:b w:val="false"/>
                <w:bCs w:val="false"/>
              </w:rPr>
              <w:t xml:space="preserve">2</w:t>
            </w:r>
          </w:p>
        </w:tc>
        <w:tc>
          <w:tcPr>
            <w:tcW w:type="dxa" w:w="3000"/>
            <w:tcMar>
              <w:top w:type="dxa" w:w="60"/>
              <w:left w:type="dxa" w:w="100"/>
              <w:bottom w:type="dxa" w:w="60"/>
              <w:right w:type="dxa" w:w="100"/>
            </w:tcMar>
          </w:tcPr>
          <w:p>
            <w:pPr>
              <w:spacing w:after="40"/>
            </w:pPr>
            <w:r>
              <w:rPr>
                <w:b w:val="false"/>
                <w:bCs w:val="false"/>
              </w:rPr>
              <w:t xml:space="preserve">Período SINAN, esperado</w:t>
            </w:r>
          </w:p>
        </w:tc>
      </w:tr>
      <w:tr>
        <w:tc>
          <w:tcPr>
            <w:tcW w:type="dxa" w:w="3000"/>
            <w:tcMar>
              <w:top w:type="dxa" w:w="60"/>
              <w:left w:type="dxa" w:w="100"/>
              <w:bottom w:type="dxa" w:w="60"/>
              <w:right w:type="dxa" w:w="100"/>
            </w:tcMar>
          </w:tcPr>
          <w:p>
            <w:pPr>
              <w:spacing w:after="40"/>
            </w:pPr>
            <w:r>
              <w:rPr>
                <w:b w:val="false"/>
                <w:bCs w:val="false"/>
              </w:rPr>
              <w:t xml:space="preserve">2019</w:t>
            </w:r>
          </w:p>
        </w:tc>
        <w:tc>
          <w:tcPr>
            <w:tcW w:type="dxa" w:w="3000"/>
            <w:tcMar>
              <w:top w:type="dxa" w:w="60"/>
              <w:left w:type="dxa" w:w="100"/>
              <w:bottom w:type="dxa" w:w="60"/>
              <w:right w:type="dxa" w:w="100"/>
            </w:tcMar>
          </w:tcPr>
          <w:p>
            <w:pPr>
              <w:spacing w:after="40"/>
            </w:pPr>
            <w:r>
              <w:rPr>
                <w:b w:val="false"/>
                <w:bCs w:val="false"/>
              </w:rPr>
              <w:t xml:space="preserve">11</w:t>
            </w:r>
          </w:p>
        </w:tc>
        <w:tc>
          <w:tcPr>
            <w:tcW w:type="dxa" w:w="3000"/>
            <w:tcMar>
              <w:top w:type="dxa" w:w="60"/>
              <w:left w:type="dxa" w:w="100"/>
              <w:bottom w:type="dxa" w:w="60"/>
              <w:right w:type="dxa" w:w="100"/>
            </w:tcMar>
          </w:tcPr>
          <w:p>
            <w:pPr>
              <w:spacing w:after="40"/>
            </w:pPr>
            <w:r>
              <w:rPr>
                <w:b w:val="false"/>
                <w:bCs w:val="false"/>
              </w:rPr>
              <w:t xml:space="preserve">Já dentro do período SIVEP-Gripe — não esperado</w:t>
            </w:r>
          </w:p>
        </w:tc>
      </w:tr>
      <w:tr>
        <w:tc>
          <w:tcPr>
            <w:tcW w:type="dxa" w:w="3000"/>
            <w:tcMar>
              <w:top w:type="dxa" w:w="60"/>
              <w:left w:type="dxa" w:w="100"/>
              <w:bottom w:type="dxa" w:w="60"/>
              <w:right w:type="dxa" w:w="100"/>
            </w:tcMar>
          </w:tcPr>
          <w:p>
            <w:pPr>
              <w:spacing w:after="40"/>
            </w:pPr>
            <w:r>
              <w:rPr>
                <w:b w:val="false"/>
                <w:bCs w:val="false"/>
              </w:rPr>
              <w:t xml:space="preserve">2022</w:t>
            </w:r>
          </w:p>
        </w:tc>
        <w:tc>
          <w:tcPr>
            <w:tcW w:type="dxa" w:w="3000"/>
            <w:tcMar>
              <w:top w:type="dxa" w:w="60"/>
              <w:left w:type="dxa" w:w="100"/>
              <w:bottom w:type="dxa" w:w="60"/>
              <w:right w:type="dxa" w:w="100"/>
            </w:tcMar>
          </w:tcPr>
          <w:p>
            <w:pPr>
              <w:spacing w:after="40"/>
            </w:pPr>
            <w:r>
              <w:rPr>
                <w:b w:val="false"/>
                <w:bCs w:val="false"/>
              </w:rPr>
              <w:t xml:space="preserve">11</w:t>
            </w:r>
          </w:p>
        </w:tc>
        <w:tc>
          <w:tcPr>
            <w:tcW w:type="dxa" w:w="3000"/>
            <w:tcMar>
              <w:top w:type="dxa" w:w="60"/>
              <w:left w:type="dxa" w:w="100"/>
              <w:bottom w:type="dxa" w:w="60"/>
              <w:right w:type="dxa" w:w="100"/>
            </w:tcMar>
          </w:tcPr>
          <w:p>
            <w:pPr>
              <w:spacing w:after="40"/>
            </w:pPr>
            <w:r>
              <w:rPr>
                <w:b w:val="false"/>
                <w:bCs w:val="false"/>
              </w:rPr>
              <w:t xml:space="preserve">Não esperado</w:t>
            </w:r>
          </w:p>
        </w:tc>
      </w:tr>
      <w:tr>
        <w:tc>
          <w:tcPr>
            <w:tcW w:type="dxa" w:w="3000"/>
            <w:tcMar>
              <w:top w:type="dxa" w:w="60"/>
              <w:left w:type="dxa" w:w="100"/>
              <w:bottom w:type="dxa" w:w="60"/>
              <w:right w:type="dxa" w:w="100"/>
            </w:tcMar>
          </w:tcPr>
          <w:p>
            <w:pPr>
              <w:spacing w:after="40"/>
            </w:pPr>
            <w:r>
              <w:rPr>
                <w:b w:val="false"/>
                <w:bCs w:val="false"/>
              </w:rPr>
              <w:t xml:space="preserve">2023</w:t>
            </w:r>
          </w:p>
        </w:tc>
        <w:tc>
          <w:tcPr>
            <w:tcW w:type="dxa" w:w="3000"/>
            <w:tcMar>
              <w:top w:type="dxa" w:w="60"/>
              <w:left w:type="dxa" w:w="100"/>
              <w:bottom w:type="dxa" w:w="60"/>
              <w:right w:type="dxa" w:w="100"/>
            </w:tcMar>
          </w:tcPr>
          <w:p>
            <w:pPr>
              <w:spacing w:after="40"/>
            </w:pPr>
            <w:r>
              <w:rPr>
                <w:b w:val="false"/>
                <w:bCs w:val="false"/>
              </w:rPr>
              <w:t xml:space="preserve">89</w:t>
            </w:r>
          </w:p>
        </w:tc>
        <w:tc>
          <w:tcPr>
            <w:tcW w:type="dxa" w:w="3000"/>
            <w:tcMar>
              <w:top w:type="dxa" w:w="60"/>
              <w:left w:type="dxa" w:w="100"/>
              <w:bottom w:type="dxa" w:w="60"/>
              <w:right w:type="dxa" w:w="100"/>
            </w:tcMar>
          </w:tcPr>
          <w:p>
            <w:pPr>
              <w:spacing w:after="40"/>
            </w:pPr>
            <w:r>
              <w:rPr>
                <w:b w:val="false"/>
                <w:bCs w:val="false"/>
              </w:rPr>
              <w:t xml:space="preserve">Não esperado</w:t>
            </w:r>
          </w:p>
        </w:tc>
      </w:tr>
      <w:tr>
        <w:tc>
          <w:tcPr>
            <w:tcW w:type="dxa" w:w="3000"/>
            <w:tcMar>
              <w:top w:type="dxa" w:w="60"/>
              <w:left w:type="dxa" w:w="100"/>
              <w:bottom w:type="dxa" w:w="60"/>
              <w:right w:type="dxa" w:w="100"/>
            </w:tcMar>
          </w:tcPr>
          <w:p>
            <w:pPr>
              <w:spacing w:after="40"/>
            </w:pPr>
            <w:r>
              <w:rPr>
                <w:b w:val="false"/>
                <w:bCs w:val="false"/>
              </w:rPr>
              <w:t xml:space="preserve">2024</w:t>
            </w:r>
          </w:p>
        </w:tc>
        <w:tc>
          <w:tcPr>
            <w:tcW w:type="dxa" w:w="3000"/>
            <w:tcMar>
              <w:top w:type="dxa" w:w="60"/>
              <w:left w:type="dxa" w:w="100"/>
              <w:bottom w:type="dxa" w:w="60"/>
              <w:right w:type="dxa" w:w="100"/>
            </w:tcMar>
          </w:tcPr>
          <w:p>
            <w:pPr>
              <w:spacing w:after="40"/>
            </w:pPr>
            <w:r>
              <w:rPr>
                <w:b w:val="false"/>
                <w:bCs w:val="false"/>
              </w:rPr>
              <w:t xml:space="preserve">138</w:t>
            </w:r>
          </w:p>
        </w:tc>
        <w:tc>
          <w:tcPr>
            <w:tcW w:type="dxa" w:w="3000"/>
            <w:tcMar>
              <w:top w:type="dxa" w:w="60"/>
              <w:left w:type="dxa" w:w="100"/>
              <w:bottom w:type="dxa" w:w="60"/>
              <w:right w:type="dxa" w:w="100"/>
            </w:tcMar>
          </w:tcPr>
          <w:p>
            <w:pPr>
              <w:spacing w:after="40"/>
            </w:pPr>
            <w:r>
              <w:rPr>
                <w:b w:val="false"/>
                <w:bCs w:val="false"/>
              </w:rPr>
              <w:t xml:space="preserve">Não esperado</w:t>
            </w:r>
          </w:p>
        </w:tc>
      </w:tr>
      <w:tr>
        <w:tc>
          <w:tcPr>
            <w:tcW w:type="dxa" w:w="3000"/>
            <w:tcMar>
              <w:top w:type="dxa" w:w="60"/>
              <w:left w:type="dxa" w:w="100"/>
              <w:bottom w:type="dxa" w:w="60"/>
              <w:right w:type="dxa" w:w="100"/>
            </w:tcMar>
          </w:tcPr>
          <w:p>
            <w:pPr>
              <w:spacing w:after="40"/>
            </w:pPr>
            <w:r>
              <w:rPr>
                <w:b w:val="false"/>
                <w:bCs w:val="false"/>
              </w:rPr>
              <w:t xml:space="preserve">2025</w:t>
            </w:r>
          </w:p>
        </w:tc>
        <w:tc>
          <w:tcPr>
            <w:tcW w:type="dxa" w:w="3000"/>
            <w:tcMar>
              <w:top w:type="dxa" w:w="60"/>
              <w:left w:type="dxa" w:w="100"/>
              <w:bottom w:type="dxa" w:w="60"/>
              <w:right w:type="dxa" w:w="100"/>
            </w:tcMar>
          </w:tcPr>
          <w:p>
            <w:pPr>
              <w:spacing w:after="40"/>
            </w:pPr>
            <w:r>
              <w:rPr>
                <w:b w:val="false"/>
                <w:bCs w:val="false"/>
              </w:rPr>
              <w:t xml:space="preserve">185</w:t>
            </w:r>
          </w:p>
        </w:tc>
        <w:tc>
          <w:tcPr>
            <w:tcW w:type="dxa" w:w="3000"/>
            <w:tcMar>
              <w:top w:type="dxa" w:w="60"/>
              <w:left w:type="dxa" w:w="100"/>
              <w:bottom w:type="dxa" w:w="60"/>
              <w:right w:type="dxa" w:w="100"/>
            </w:tcMar>
          </w:tcPr>
          <w:p>
            <w:pPr>
              <w:spacing w:after="40"/>
            </w:pPr>
            <w:r>
              <w:rPr>
                <w:b w:val="false"/>
                <w:bCs w:val="false"/>
              </w:rPr>
              <w:t xml:space="preserve">Não esperado</w:t>
            </w:r>
          </w:p>
        </w:tc>
      </w:tr>
      <w:tr>
        <w:tc>
          <w:tcPr>
            <w:tcW w:type="dxa" w:w="3000"/>
            <w:tcMar>
              <w:top w:type="dxa" w:w="60"/>
              <w:left w:type="dxa" w:w="100"/>
              <w:bottom w:type="dxa" w:w="60"/>
              <w:right w:type="dxa" w:w="100"/>
            </w:tcMar>
          </w:tcPr>
          <w:p>
            <w:pPr>
              <w:spacing w:after="40"/>
            </w:pPr>
            <w:r>
              <w:rPr>
                <w:b w:val="false"/>
                <w:bCs w:val="false"/>
              </w:rPr>
              <w:t xml:space="preserve">2026</w:t>
            </w:r>
          </w:p>
        </w:tc>
        <w:tc>
          <w:tcPr>
            <w:tcW w:type="dxa" w:w="3000"/>
            <w:tcMar>
              <w:top w:type="dxa" w:w="60"/>
              <w:left w:type="dxa" w:w="100"/>
              <w:bottom w:type="dxa" w:w="60"/>
              <w:right w:type="dxa" w:w="100"/>
            </w:tcMar>
          </w:tcPr>
          <w:p>
            <w:pPr>
              <w:spacing w:after="40"/>
            </w:pPr>
            <w:r>
              <w:rPr>
                <w:b w:val="false"/>
                <w:bCs w:val="false"/>
              </w:rPr>
              <w:t xml:space="preserve">60</w:t>
            </w:r>
          </w:p>
        </w:tc>
        <w:tc>
          <w:tcPr>
            <w:tcW w:type="dxa" w:w="3000"/>
            <w:tcMar>
              <w:top w:type="dxa" w:w="60"/>
              <w:left w:type="dxa" w:w="100"/>
              <w:bottom w:type="dxa" w:w="60"/>
              <w:right w:type="dxa" w:w="100"/>
            </w:tcMar>
          </w:tcPr>
          <w:p>
            <w:pPr>
              <w:spacing w:after="40"/>
            </w:pPr>
            <w:r>
              <w:rPr>
                <w:b w:val="false"/>
                <w:bCs w:val="false"/>
              </w:rPr>
              <w:t xml:space="preserve">Não esperado</w:t>
            </w:r>
          </w:p>
        </w:tc>
      </w:tr>
    </w:tbl>
    <w:p>
      <w:pPr>
        <w:spacing w:after="140"/>
      </w:pPr>
      <w:r>
        <w:t xml:space="preserve"/>
      </w:r>
    </w:p>
    <w:p>
      <w:pPr>
        <w:spacing w:after="140"/>
      </w:pPr>
      <w:r>
        <w:t xml:space="preserve">Ou seja, 483 das 502 ocorrências (96%) do código antigo "H3N2v" estão em 2019–2026 — o período em que a Seção 2.3/3.3 do TC2 já documenta a codificação moderna de 4 categorias (1-H1N1pdm09, 2-H3N2, 3-Duplo, 4-Não Subtipado) como vigente. Isso não é mais compatível com a hipótese da v11 ("o arquivo mais antigo usa a codificação antiga, o mais novo usa a moderna"): o próprio arquivo consolidado mistura as duas codificações dentro do mesmo período recente, o que sugere que a extração usada para 2019 em diante seguiu o mesmo processo simplificado (campo de subtipo isolado, codificação de 6 categorias) usado para 2009–2018, e não o processo documentado na Tabela 1 do TC2.</w:t>
      </w:r>
    </w:p>
    <w:p>
      <w:pPr>
        <w:pStyle w:val="Heading2"/>
        <w:spacing w:after="140" w:before="260"/>
      </w:pPr>
      <w:r>
        <w:t xml:space="preserve">Evidência de Dados 8 — Planilha exploratória trata todo o arquivo como "casos", sem filtro de confirmação</w:t>
      </w:r>
    </w:p>
    <w:p>
      <w:pPr>
        <w:spacing w:after="140"/>
      </w:pPr>
      <w:r>
        <w:t xml:space="preserve">A planilha Analise_exploratoria_Influenza_SP.xlsx, já produzida pelo grupo (abas Resumo, Semanas Estado, Municípios, Nomenclaturas, RMSP 39, Metodologia), documenta 48.775 "casos totais" no estado de SP e 13.139 casos no município de São Paulo — números que batem exatamente com a contagem bruta de linhas do CSV consolidado por SG_UF e por CO_MUN_RES=355030, e não com a contagem de linhas com PCR_FLUASU preenchido (confirmado). A aba Metodologia da própria planilha é transparente sobre isso — descreve regras de calendário, normalização de nomes de município e critério de esparsidade, mas não menciona nenhum filtro de confirmação laboratorial como parte do processo. Isso confirma, em outra fonte, a mesma mistura entre registros de SRAG não confirmados (majoritariamente 2009–2011, ver Evidência de Dados 2 da v11) e registros já confirmados por subtipo (majoritariamente 2013 em diante) dentro de um único total tratado, pela planilha, como epidemiologicamente homogêneo.</w:t>
      </w:r>
    </w:p>
    <w:p>
      <w:pPr>
        <w:spacing w:after="140"/>
      </w:pPr>
      <w:r>
        <w:t xml:space="preserve">A própria planilha já traz uma frase de ressalva alinhada a essa preocupação: "semana sem registro significa ausência de casos presentes nesta base tratada, não prova ausência real de Influenza". Falta o inverso, igualmente importante: uma linha presente nesta base não prova, sozinha, um caso confirmado de Influenza A — para 2009–2012, prova apenas um registro de SRAG notificado.</w:t>
      </w:r>
    </w:p>
    <w:p>
      <w:pPr>
        <w:pStyle w:val="Heading2"/>
        <w:spacing w:after="140" w:before="260"/>
      </w:pPr>
      <w:r>
        <w:t xml:space="preserve">Evidência de Dados 9 — Divergência SEM_PRI × DT_SIN_PRI concentrada em 2026; RMSP como unidade de agregação ainda não usada no TC2</w:t>
      </w:r>
    </w:p>
    <w:p>
      <w:pPr>
        <w:spacing w:after="140"/>
      </w:pPr>
      <w:r>
        <w:t xml:space="preserve">A aba Metodologia registra 4.218 registros em que a semana epidemiológica original (campo SEM_PRI) diverge da semana recalculada a partir da data de primeiros sintomas (DT_SIN_PRI) segundo o calendário oficial do SINAN — e 4.196 dessas divergências (99,5% do total) estão concentradas em 2026, o ano corrente e ainda parcial da série. A planilha optou por usar a semana derivada de DT_SIN_PRI para os cálculos, mantendo SEM_PRI original intacto e auditável — uma decisão metodologicamente defensável, mas que precisa ser declarada explicitamente no TC2 se os números desta análise exploratória vierem a ser citados no corpo do texto, e não apenas registrada internamente na planilha.</w:t>
      </w:r>
    </w:p>
    <w:p>
      <w:pPr>
        <w:spacing w:after="140"/>
      </w:pPr>
      <w:r>
        <w:t xml:space="preserve">A mesma planilha também introduz, pela primeira vez em qualquer documento do projeto, o conceito de Região Metropolitana de São Paulo (RMSP, 39 municípios, fonte EMTU) como unidade de agregação: 34 dos 39 municípios da RMSP são classificados como "muito esparsos" (≥75% de semanas sem casos), e o município de São Paulo concentra 62,2% dos casos da região metropolitana, sendo o único com menos de 25% das semanas vazias. A própria planilha conclui que "para previsões por município, a maioria das cidades exigiria agregação regional, janelas temporais maiores ou modelos próprios para séries esparsas" — um raciocínio que reforça, com dados reais e agora numa escala mais ampla que a do próprio município de São Paulo, a mesma lógica que já levou este documento a recomendar manter a modelagem preditiva no nível municipal (Seção 6.1). A RMSP como conceito, porém, ainda não aparece em nenhum lugar do TC2 nem nas Delimitações deste documento — fica registrada aqui como possível insumo para trabalhos futuros ou para justificar, com mais uma camada de evidência, a decisão já tomada de não fragmentar a modelagem abaixo do nível municipal.</w:t>
      </w:r>
    </w:p>
    <w:p>
      <w:pPr>
        <w:pStyle w:val="Heading1"/>
        <w:spacing w:after="160" w:before="320"/>
      </w:pPr>
      <w:r>
        <w:t xml:space="preserve">1. Visão Geral do Projeto</w:t>
      </w:r>
    </w:p>
    <w:p>
      <w:pPr>
        <w:spacing w:after="140"/>
      </w:pPr>
      <w:r>
        <w:t xml:space="preserve">Sem mudança de conteúdo em relação à v11: o projeto continua sendo um estudo de natureza aplicada e caráter científico que desenvolve e valida um modelo de aprendizado de máquina (Random Forest) para previsão de curto prazo da incidência semanal de SRAG por Influenza A no município de São Paulo, comparado contra baseline, SARIMA e Prophet sob validação cronológica (walk-forward), com MAE, RMSE e acerto direcional como métricas.</w:t>
      </w:r>
    </w:p>
    <w:p>
      <w:pPr>
        <w:spacing w:after="140"/>
      </w:pPr>
      <w:r>
        <w:rPr>
          <w:b/>
          <w:bCs/>
        </w:rPr>
        <w:t xml:space="preserve">Status no TC2: </w:t>
      </w:r>
      <w:r>
        <w:t xml:space="preserve">a formulação de recusa ("protótipo acadêmico... não é ferramenta oficial de vigilância, substituto de plataformas governamentais existentes, nem solução capaz de comprovar melhoria direta em decisões de saúde pública") já foi inserida, sem suavização, no penúltimo parágrafo da Introdução — a pendência registrada na nota de transposição da v10/v11 para esta seção está concluída.</w:t>
      </w:r>
    </w:p>
    <w:p>
      <w:pPr>
        <w:pStyle w:val="Heading2"/>
        <w:spacing w:after="140" w:before="260"/>
      </w:pPr>
      <w:r>
        <w:t xml:space="preserve">1.1 Justificativa da Delimitação para Influenza A</w:t>
      </w:r>
    </w:p>
    <w:p>
      <w:pPr>
        <w:spacing w:after="140"/>
      </w:pPr>
      <w:r>
        <w:rPr>
          <w:b/>
          <w:bCs/>
        </w:rPr>
        <w:t xml:space="preserve">Status no TC2: </w:t>
      </w:r>
      <w:r>
        <w:t xml:space="preserve">mantida sem alteração — a Introdução reafirma a decisão por Influenza A isolada, com a mesma lógica metodológica (mascaramento do padrão sazonal ao agregar A e B) já registrada desde a v11. Sem pendência.</w:t>
      </w:r>
    </w:p>
    <w:p>
      <w:pPr>
        <w:pStyle w:val="Heading1"/>
        <w:spacing w:after="160" w:before="320"/>
      </w:pPr>
      <w:r>
        <w:t xml:space="preserve">2. Posicionamento Científico</w:t>
      </w:r>
    </w:p>
    <w:p>
      <w:pPr>
        <w:spacing w:after="140"/>
      </w:pPr>
      <w:r>
        <w:t xml:space="preserve">O projeto segue o viés científico das Orientações para o Desenvolvimento de Projetos TC da UNIP, com hipótese de pesquisa explícita, protocolo experimental reprodutível e avaliação por métricas objetivas. A tecnologia-chave é Inteligência Artificial e Machine Learning.</w:t>
      </w:r>
    </w:p>
    <w:p>
      <w:pPr>
        <w:pStyle w:val="Heading2"/>
        <w:spacing w:after="140" w:before="260"/>
      </w:pPr>
      <w:r>
        <w:t xml:space="preserve">2.1 Hipótese de Pesquisa</w:t>
      </w:r>
    </w:p>
    <w:p>
      <w:pPr>
        <w:spacing w:after="140"/>
      </w:pPr>
      <w:r>
        <w:rPr>
          <w:b/>
          <w:bCs/>
        </w:rPr>
        <w:t xml:space="preserve">H1: </w:t>
      </w:r>
      <w:r>
        <w:t xml:space="preserve">um modelo de aprendizado de máquina baseado em árvores (Random Forest), com engenharia de atributos temporais, produz previsões de incidência semanal de SRAG por Influenza A no município de São Paulo, horizonte de 6 semanas, com erro (MAE/RMSE) estatisticamente inferior ao de um baseline ingênuo e comparável ou inferior ao de SARIMA e Prophet, sob o mesmo protocolo de validação cronológica (walk-forward).</w:t>
      </w:r>
    </w:p>
    <w:p>
      <w:pPr>
        <w:spacing w:after="140"/>
      </w:pPr>
      <w:r>
        <w:rPr>
          <w:b/>
          <w:bCs/>
        </w:rPr>
        <w:t xml:space="preserve">Status no TC2: </w:t>
      </w:r>
      <w:r>
        <w:t xml:space="preserve">transposta corretamente para a Seção 4.2 (Hipótese de pesquisa), incluindo H0 e a ressalva de que a hipótese não é validada apenas pela comparação numérica direta de MAE/RMSE. Sem mudança de conteúdo em relação à v11; apenas a numeração mudou (de 3.2 para 4.2).</w:t>
      </w:r>
    </w:p>
    <w:p>
      <w:pPr>
        <w:pStyle w:val="Heading1"/>
        <w:spacing w:after="160" w:before="320"/>
      </w:pPr>
      <w:r>
        <w:t xml:space="preserve">3. Delimitações Obrigatórias do Projeto</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400"/>
        <w:gridCol w:w="7900"/>
      </w:tblGrid>
      <w:tr>
        <w:tc>
          <w:tcPr>
            <w:tcW w:type="dxa" w:w="2400"/>
            <w:shd w:fill="D9D9D9" w:val="clear"/>
            <w:tcMar>
              <w:top w:type="dxa" w:w="60"/>
              <w:left w:type="dxa" w:w="100"/>
              <w:bottom w:type="dxa" w:w="60"/>
              <w:right w:type="dxa" w:w="100"/>
            </w:tcMar>
          </w:tcPr>
          <w:p>
            <w:pPr>
              <w:spacing w:after="40"/>
            </w:pPr>
            <w:r>
              <w:rPr>
                <w:b/>
                <w:bCs/>
              </w:rPr>
              <w:t xml:space="preserve">Item</w:t>
            </w:r>
          </w:p>
        </w:tc>
        <w:tc>
          <w:tcPr>
            <w:tcW w:type="dxa" w:w="7900"/>
            <w:shd w:fill="D9D9D9" w:val="clear"/>
            <w:tcMar>
              <w:top w:type="dxa" w:w="60"/>
              <w:left w:type="dxa" w:w="100"/>
              <w:bottom w:type="dxa" w:w="60"/>
              <w:right w:type="dxa" w:w="100"/>
            </w:tcMar>
          </w:tcPr>
          <w:p>
            <w:pPr>
              <w:spacing w:after="40"/>
            </w:pPr>
            <w:r>
              <w:rPr>
                <w:b/>
                <w:bCs/>
              </w:rPr>
              <w:t xml:space="preserve">Definição</w:t>
            </w:r>
          </w:p>
        </w:tc>
      </w:tr>
      <w:tr>
        <w:tc>
          <w:tcPr>
            <w:tcW w:type="dxa" w:w="2400"/>
            <w:tcMar>
              <w:top w:type="dxa" w:w="60"/>
              <w:left w:type="dxa" w:w="100"/>
              <w:bottom w:type="dxa" w:w="60"/>
              <w:right w:type="dxa" w:w="100"/>
            </w:tcMar>
          </w:tcPr>
          <w:p>
            <w:pPr>
              <w:spacing w:after="40"/>
            </w:pPr>
            <w:r>
              <w:rPr>
                <w:b w:val="false"/>
                <w:bCs w:val="false"/>
              </w:rPr>
              <w:t xml:space="preserve">Escopo geográfico (modelagem)</w:t>
            </w:r>
          </w:p>
        </w:tc>
        <w:tc>
          <w:tcPr>
            <w:tcW w:type="dxa" w:w="7900"/>
            <w:tcMar>
              <w:top w:type="dxa" w:w="60"/>
              <w:left w:type="dxa" w:w="100"/>
              <w:bottom w:type="dxa" w:w="60"/>
              <w:right w:type="dxa" w:w="100"/>
            </w:tcMar>
          </w:tcPr>
          <w:p>
            <w:pPr>
              <w:spacing w:after="40"/>
            </w:pPr>
            <w:r>
              <w:rPr>
                <w:b w:val="false"/>
                <w:bCs w:val="false"/>
              </w:rPr>
              <w:t xml:space="preserve">Município (capital) de São Paulo (CO_MUN_RES/ID_MN_RESI = 355030) — não o estado. A extração é feita a partir do arquivo estadual do SIVEP-Gripe/SINAN (todos os municípios de SP); o filtro por município é aplicado depois. Confirmado desde a v11.</w:t>
            </w:r>
          </w:p>
        </w:tc>
      </w:tr>
      <w:tr>
        <w:tc>
          <w:tcPr>
            <w:tcW w:type="dxa" w:w="2400"/>
            <w:tcMar>
              <w:top w:type="dxa" w:w="60"/>
              <w:left w:type="dxa" w:w="100"/>
              <w:bottom w:type="dxa" w:w="60"/>
              <w:right w:type="dxa" w:w="100"/>
            </w:tcMar>
          </w:tcPr>
          <w:p>
            <w:pPr>
              <w:spacing w:after="40"/>
            </w:pPr>
            <w:r>
              <w:rPr>
                <w:b w:val="false"/>
                <w:bCs w:val="false"/>
              </w:rPr>
              <w:t xml:space="preserve">Escopo geográfico (consulta/dashboard) — novo, v12</w:t>
            </w:r>
          </w:p>
        </w:tc>
        <w:tc>
          <w:tcPr>
            <w:tcW w:type="dxa" w:w="7900"/>
            <w:tcMar>
              <w:top w:type="dxa" w:w="60"/>
              <w:left w:type="dxa" w:w="100"/>
              <w:bottom w:type="dxa" w:w="60"/>
              <w:right w:type="dxa" w:w="100"/>
            </w:tcMar>
          </w:tcPr>
          <w:p>
            <w:pPr>
              <w:spacing w:after="40"/>
            </w:pPr>
            <w:r>
              <w:rPr>
                <w:b w:val="false"/>
                <w:bCs w:val="false"/>
              </w:rPr>
              <w:t xml:space="preserve">Recorte intramunicipal por NM_UN_INTE (unidade de notificação/internação), substituindo a granularidade por bairro/região, tecnicamente inviável (não há campo de bairro no SIVEP-Gripe/SINAN). Aplica-se exclusivamente à camada de consulta e visualização histórica (RF001) — a modelagem preditiva (RF002/RF004) permanece municipal. Decisão anunciada na Introdução do TC2, ainda não propagada ao esquema de banco de dados nem aos demais requisitos (ver Evidência J).</w:t>
            </w:r>
          </w:p>
        </w:tc>
      </w:tr>
      <w:tr>
        <w:tc>
          <w:tcPr>
            <w:tcW w:type="dxa" w:w="2400"/>
            <w:tcMar>
              <w:top w:type="dxa" w:w="60"/>
              <w:left w:type="dxa" w:w="100"/>
              <w:bottom w:type="dxa" w:w="60"/>
              <w:right w:type="dxa" w:w="100"/>
            </w:tcMar>
          </w:tcPr>
          <w:p>
            <w:pPr>
              <w:spacing w:after="40"/>
            </w:pPr>
            <w:r>
              <w:rPr>
                <w:b w:val="false"/>
                <w:bCs w:val="false"/>
              </w:rPr>
              <w:t xml:space="preserve">Variável-alvo (conceitual)</w:t>
            </w:r>
          </w:p>
        </w:tc>
        <w:tc>
          <w:tcPr>
            <w:tcW w:type="dxa" w:w="7900"/>
            <w:tcMar>
              <w:top w:type="dxa" w:w="60"/>
              <w:left w:type="dxa" w:w="100"/>
              <w:bottom w:type="dxa" w:w="60"/>
              <w:right w:type="dxa" w:w="100"/>
            </w:tcMar>
          </w:tcPr>
          <w:p>
            <w:pPr>
              <w:spacing w:after="40"/>
            </w:pPr>
            <w:r>
              <w:rPr>
                <w:b w:val="false"/>
                <w:bCs w:val="false"/>
              </w:rPr>
              <w:t xml:space="preserve">Casos de SRAG por Influenza A, subtipos identificados e não subtipados em conjunto ("Influenza A ampla").</w:t>
            </w:r>
          </w:p>
        </w:tc>
      </w:tr>
      <w:tr>
        <w:tc>
          <w:tcPr>
            <w:tcW w:type="dxa" w:w="2400"/>
            <w:tcMar>
              <w:top w:type="dxa" w:w="60"/>
              <w:left w:type="dxa" w:w="100"/>
              <w:bottom w:type="dxa" w:w="60"/>
              <w:right w:type="dxa" w:w="100"/>
            </w:tcMar>
          </w:tcPr>
          <w:p>
            <w:pPr>
              <w:spacing w:after="40"/>
            </w:pPr>
            <w:r>
              <w:rPr>
                <w:b w:val="false"/>
                <w:bCs w:val="false"/>
              </w:rPr>
              <w:t xml:space="preserve">Variável-alvo (operacional documentada no TC2)</w:t>
            </w:r>
          </w:p>
        </w:tc>
        <w:tc>
          <w:tcPr>
            <w:tcW w:type="dxa" w:w="7900"/>
            <w:tcMar>
              <w:top w:type="dxa" w:w="60"/>
              <w:left w:type="dxa" w:w="100"/>
              <w:bottom w:type="dxa" w:w="60"/>
              <w:right w:type="dxa" w:w="100"/>
            </w:tcMar>
          </w:tcPr>
          <w:p>
            <w:pPr>
              <w:spacing w:after="40"/>
            </w:pPr>
            <w:r>
              <w:rPr>
                <w:b w:val="false"/>
                <w:bCs w:val="false"/>
              </w:rPr>
              <w:t xml:space="preserve">RT-PCR (POS_PCRFLU=1 e TP_FLU_PCR=1) OU teste antigênico (POS_AN_FLU=1 e TP_FLU_AN=1), combinado com CLASSI_FIN=1 e PCR_RESUL=1 (Tabela 1, Seção 3.3). Atenção: nenhum desses campos está presente no arquivo consolidado final (Evidência de Dados 6) — a definição documentada e o arquivo de dados realmente disponível não batem.</w:t>
            </w:r>
          </w:p>
        </w:tc>
      </w:tr>
      <w:tr>
        <w:tc>
          <w:tcPr>
            <w:tcW w:type="dxa" w:w="2400"/>
            <w:tcMar>
              <w:top w:type="dxa" w:w="60"/>
              <w:left w:type="dxa" w:w="100"/>
              <w:bottom w:type="dxa" w:w="60"/>
              <w:right w:type="dxa" w:w="100"/>
            </w:tcMar>
          </w:tcPr>
          <w:p>
            <w:pPr>
              <w:spacing w:after="40"/>
            </w:pPr>
            <w:r>
              <w:rPr>
                <w:b w:val="false"/>
                <w:bCs w:val="false"/>
              </w:rPr>
              <w:t xml:space="preserve">Fonte de dados</w:t>
            </w:r>
          </w:p>
        </w:tc>
        <w:tc>
          <w:tcPr>
            <w:tcW w:type="dxa" w:w="7900"/>
            <w:tcMar>
              <w:top w:type="dxa" w:w="60"/>
              <w:left w:type="dxa" w:w="100"/>
              <w:bottom w:type="dxa" w:w="60"/>
              <w:right w:type="dxa" w:w="100"/>
            </w:tcMar>
          </w:tcPr>
          <w:p>
            <w:pPr>
              <w:spacing w:after="40"/>
            </w:pPr>
            <w:r>
              <w:rPr>
                <w:b w:val="false"/>
                <w:bCs w:val="false"/>
              </w:rPr>
              <w:t xml:space="preserve">SIVEP-Gripe / SRAG, subsistema do DATASUS, harmonizado com SINAN para 2009–2018.</w:t>
            </w:r>
          </w:p>
        </w:tc>
      </w:tr>
      <w:tr>
        <w:tc>
          <w:tcPr>
            <w:tcW w:type="dxa" w:w="2400"/>
            <w:tcMar>
              <w:top w:type="dxa" w:w="60"/>
              <w:left w:type="dxa" w:w="100"/>
              <w:bottom w:type="dxa" w:w="60"/>
              <w:right w:type="dxa" w:w="100"/>
            </w:tcMar>
          </w:tcPr>
          <w:p>
            <w:pPr>
              <w:spacing w:after="40"/>
            </w:pPr>
            <w:r>
              <w:rPr>
                <w:b w:val="false"/>
                <w:bCs w:val="false"/>
              </w:rPr>
              <w:t xml:space="preserve">Período histórico (modelagem)</w:t>
            </w:r>
          </w:p>
        </w:tc>
        <w:tc>
          <w:tcPr>
            <w:tcW w:type="dxa" w:w="7900"/>
            <w:tcMar>
              <w:top w:type="dxa" w:w="60"/>
              <w:left w:type="dxa" w:w="100"/>
              <w:bottom w:type="dxa" w:w="60"/>
              <w:right w:type="dxa" w:w="100"/>
            </w:tcMar>
          </w:tcPr>
          <w:p>
            <w:pPr>
              <w:spacing w:after="40"/>
            </w:pPr>
            <w:r>
              <w:rPr>
                <w:b w:val="false"/>
                <w:bCs w:val="false"/>
              </w:rPr>
              <w:t xml:space="preserve">2009 a 2019 e 2022 até a atualidade, com hiato deliberado em 2020–2021. 2009–2011 seguem pendentes de re-extração (Evidência de Dados 2, v11) antes de entrarem no pipeline como "casos confirmados".</w:t>
            </w:r>
          </w:p>
        </w:tc>
      </w:tr>
      <w:tr>
        <w:tc>
          <w:tcPr>
            <w:tcW w:type="dxa" w:w="2400"/>
            <w:tcMar>
              <w:top w:type="dxa" w:w="60"/>
              <w:left w:type="dxa" w:w="100"/>
              <w:bottom w:type="dxa" w:w="60"/>
              <w:right w:type="dxa" w:w="100"/>
            </w:tcMar>
          </w:tcPr>
          <w:p>
            <w:pPr>
              <w:spacing w:after="40"/>
            </w:pPr>
            <w:r>
              <w:rPr>
                <w:b w:val="false"/>
                <w:bCs w:val="false"/>
              </w:rPr>
              <w:t xml:space="preserve">Granularidade temporal</w:t>
            </w:r>
          </w:p>
        </w:tc>
        <w:tc>
          <w:tcPr>
            <w:tcW w:type="dxa" w:w="7900"/>
            <w:tcMar>
              <w:top w:type="dxa" w:w="60"/>
              <w:left w:type="dxa" w:w="100"/>
              <w:bottom w:type="dxa" w:w="60"/>
              <w:right w:type="dxa" w:w="100"/>
            </w:tcMar>
          </w:tcPr>
          <w:p>
            <w:pPr>
              <w:spacing w:after="40"/>
            </w:pPr>
            <w:r>
              <w:rPr>
                <w:b w:val="false"/>
                <w:bCs w:val="false"/>
              </w:rPr>
              <w:t xml:space="preserve">Semanal (semana epidemiológica).</w:t>
            </w:r>
          </w:p>
        </w:tc>
      </w:tr>
      <w:tr>
        <w:tc>
          <w:tcPr>
            <w:tcW w:type="dxa" w:w="2400"/>
            <w:tcMar>
              <w:top w:type="dxa" w:w="60"/>
              <w:left w:type="dxa" w:w="100"/>
              <w:bottom w:type="dxa" w:w="60"/>
              <w:right w:type="dxa" w:w="100"/>
            </w:tcMar>
          </w:tcPr>
          <w:p>
            <w:pPr>
              <w:spacing w:after="40"/>
            </w:pPr>
            <w:r>
              <w:rPr>
                <w:b w:val="false"/>
                <w:bCs w:val="false"/>
              </w:rPr>
              <w:t xml:space="preserve">Horizonte de previsão</w:t>
            </w:r>
          </w:p>
        </w:tc>
        <w:tc>
          <w:tcPr>
            <w:tcW w:type="dxa" w:w="7900"/>
            <w:tcMar>
              <w:top w:type="dxa" w:w="60"/>
              <w:left w:type="dxa" w:w="100"/>
              <w:bottom w:type="dxa" w:w="60"/>
              <w:right w:type="dxa" w:w="100"/>
            </w:tcMar>
          </w:tcPr>
          <w:p>
            <w:pPr>
              <w:spacing w:after="40"/>
            </w:pPr>
            <w:r>
              <w:rPr>
                <w:b w:val="false"/>
                <w:bCs w:val="false"/>
              </w:rPr>
              <w:t xml:space="preserve">6 semanas subsequentes ao período analisado.</w:t>
            </w:r>
          </w:p>
        </w:tc>
      </w:tr>
      <w:tr>
        <w:tc>
          <w:tcPr>
            <w:tcW w:type="dxa" w:w="2400"/>
            <w:tcMar>
              <w:top w:type="dxa" w:w="60"/>
              <w:left w:type="dxa" w:w="100"/>
              <w:bottom w:type="dxa" w:w="60"/>
              <w:right w:type="dxa" w:w="100"/>
            </w:tcMar>
          </w:tcPr>
          <w:p>
            <w:pPr>
              <w:spacing w:after="40"/>
            </w:pPr>
            <w:r>
              <w:rPr>
                <w:b w:val="false"/>
                <w:bCs w:val="false"/>
              </w:rPr>
              <w:t xml:space="preserve">Baseline</w:t>
            </w:r>
          </w:p>
        </w:tc>
        <w:tc>
          <w:tcPr>
            <w:tcW w:type="dxa" w:w="7900"/>
            <w:tcMar>
              <w:top w:type="dxa" w:w="60"/>
              <w:left w:type="dxa" w:w="100"/>
              <w:bottom w:type="dxa" w:w="60"/>
              <w:right w:type="dxa" w:w="100"/>
            </w:tcMar>
          </w:tcPr>
          <w:p>
            <w:pPr>
              <w:spacing w:after="40"/>
            </w:pPr>
            <w:r>
              <w:rPr>
                <w:b w:val="false"/>
                <w:bCs w:val="false"/>
              </w:rPr>
              <w:t xml:space="preserve">Ao menos um modelo simples de referência (média móvel, último valor observado, ARIMA simples).</w:t>
            </w:r>
          </w:p>
        </w:tc>
      </w:tr>
      <w:tr>
        <w:tc>
          <w:tcPr>
            <w:tcW w:type="dxa" w:w="2400"/>
            <w:tcMar>
              <w:top w:type="dxa" w:w="60"/>
              <w:left w:type="dxa" w:w="100"/>
              <w:bottom w:type="dxa" w:w="60"/>
              <w:right w:type="dxa" w:w="100"/>
            </w:tcMar>
          </w:tcPr>
          <w:p>
            <w:pPr>
              <w:spacing w:after="40"/>
            </w:pPr>
            <w:r>
              <w:rPr>
                <w:b w:val="false"/>
                <w:bCs w:val="false"/>
              </w:rPr>
              <w:t xml:space="preserve">Critério de sucesso</w:t>
            </w:r>
          </w:p>
        </w:tc>
        <w:tc>
          <w:tcPr>
            <w:tcW w:type="dxa" w:w="7900"/>
            <w:tcMar>
              <w:top w:type="dxa" w:w="60"/>
              <w:left w:type="dxa" w:w="100"/>
              <w:bottom w:type="dxa" w:w="60"/>
              <w:right w:type="dxa" w:w="100"/>
            </w:tcMar>
          </w:tcPr>
          <w:p>
            <w:pPr>
              <w:spacing w:after="40"/>
            </w:pPr>
            <w:r>
              <w:rPr>
                <w:b w:val="false"/>
                <w:bCs w:val="false"/>
              </w:rPr>
              <w:t xml:space="preserve">MAE, RMSE e acerto direcional, comparados a baseline/SARIMA/Prophet sob o mesmo protocolo de validação cronológica, com teste de significância estatística (Diebold-Mariano ou Wilcoxon).</w:t>
            </w:r>
          </w:p>
        </w:tc>
      </w:tr>
      <w:tr>
        <w:tc>
          <w:tcPr>
            <w:tcW w:type="dxa" w:w="2400"/>
            <w:tcMar>
              <w:top w:type="dxa" w:w="60"/>
              <w:left w:type="dxa" w:w="100"/>
              <w:bottom w:type="dxa" w:w="60"/>
              <w:right w:type="dxa" w:w="100"/>
            </w:tcMar>
          </w:tcPr>
          <w:p>
            <w:pPr>
              <w:spacing w:after="40"/>
            </w:pPr>
            <w:r>
              <w:rPr>
                <w:b w:val="false"/>
                <w:bCs w:val="false"/>
              </w:rPr>
              <w:t xml:space="preserve">Meta de desempenho (provisória)</w:t>
            </w:r>
          </w:p>
        </w:tc>
        <w:tc>
          <w:tcPr>
            <w:tcW w:type="dxa" w:w="7900"/>
            <w:tcMar>
              <w:top w:type="dxa" w:w="60"/>
              <w:left w:type="dxa" w:w="100"/>
              <w:bottom w:type="dxa" w:w="60"/>
              <w:right w:type="dxa" w:w="100"/>
            </w:tcMar>
          </w:tcPr>
          <w:p>
            <w:pPr>
              <w:spacing w:after="40"/>
            </w:pPr>
            <w:r>
              <w:rPr>
                <w:b w:val="false"/>
                <w:bCs w:val="false"/>
              </w:rPr>
              <w:t xml:space="preserve">MAE/RMSE ≥15% inferiores ao baseline; acerto direcional &gt;60% no horizonte de 6 semanas. Valor-piso provisório, a recalibrar com o volume real de dados.</w:t>
            </w:r>
          </w:p>
        </w:tc>
      </w:tr>
      <w:tr>
        <w:tc>
          <w:tcPr>
            <w:tcW w:type="dxa" w:w="2400"/>
            <w:tcMar>
              <w:top w:type="dxa" w:w="60"/>
              <w:left w:type="dxa" w:w="100"/>
              <w:bottom w:type="dxa" w:w="60"/>
              <w:right w:type="dxa" w:w="100"/>
            </w:tcMar>
          </w:tcPr>
          <w:p>
            <w:pPr>
              <w:spacing w:after="40"/>
            </w:pPr>
            <w:r>
              <w:rPr>
                <w:b w:val="false"/>
                <w:bCs w:val="false"/>
              </w:rPr>
              <w:t xml:space="preserve">Tratamento de semanas recentes</w:t>
            </w:r>
          </w:p>
        </w:tc>
        <w:tc>
          <w:tcPr>
            <w:tcW w:type="dxa" w:w="7900"/>
            <w:tcMar>
              <w:top w:type="dxa" w:w="60"/>
              <w:left w:type="dxa" w:w="100"/>
              <w:bottom w:type="dxa" w:w="60"/>
              <w:right w:type="dxa" w:w="100"/>
            </w:tcMar>
          </w:tcPr>
          <w:p>
            <w:pPr>
              <w:spacing w:after="40"/>
            </w:pPr>
            <w:r>
              <w:rPr>
                <w:b w:val="false"/>
                <w:bCs w:val="false"/>
              </w:rPr>
              <w:t xml:space="preserve">Exclusão das oito semanas epidemiológicas mais recentes do treinamento, por atraso de notificação — já operacionalizado no TC2 (Seção 3.3 DataSUS).</w:t>
            </w:r>
          </w:p>
        </w:tc>
      </w:tr>
    </w:tbl>
    <w:p>
      <w:pPr>
        <w:spacing w:after="140"/>
      </w:pPr>
      <w:r>
        <w:t xml:space="preserve"/>
      </w:r>
    </w:p>
    <w:p>
      <w:pPr>
        <w:spacing w:after="140"/>
      </w:pPr>
      <w:r>
        <w:rPr>
          <w:b/>
          <w:bCs/>
        </w:rPr>
        <w:t xml:space="preserve">Nota de transposição (v12): </w:t>
      </w:r>
      <w:r>
        <w:t xml:space="preserve">a linha "Escopo geográfico (consulta/dashboard)" desta tabela é inteiramente nova nesta versão e corresponde exatamente à decisão já anunciada na Introdução do TC2. Recomenda-se ao grupo incorporar essa mesma linha, com a mesma redação de escopo ("aplica-se apenas ao dashboard; modelagem permanece municipal"), à Seção 4.3 (Delimitações de escopo) do TC2 — hoje essa seção nem menciona bairro nem NM_UN_INTE, silêncio que pode ser lido pela banca como omissão, não como decisão deliberada.</w:t>
      </w:r>
    </w:p>
    <w:p>
      <w:pPr>
        <w:pStyle w:val="Heading2"/>
        <w:spacing w:after="140" w:before="260"/>
      </w:pPr>
      <w:r>
        <w:t xml:space="preserve">3.1 Objetivos Específicos: Entregável e Critério de Validação</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c>
          <w:tcPr>
            <w:tcW w:type="dxa" w:w="3300"/>
            <w:shd w:fill="D9D9D9" w:val="clear"/>
            <w:tcMar>
              <w:top w:type="dxa" w:w="60"/>
              <w:left w:type="dxa" w:w="100"/>
              <w:bottom w:type="dxa" w:w="60"/>
              <w:right w:type="dxa" w:w="100"/>
            </w:tcMar>
          </w:tcPr>
          <w:p>
            <w:pPr>
              <w:spacing w:after="40"/>
            </w:pPr>
            <w:r>
              <w:rPr>
                <w:b/>
                <w:bCs/>
              </w:rPr>
              <w:t xml:space="preserve">Objetivo Específico</w:t>
            </w:r>
          </w:p>
        </w:tc>
        <w:tc>
          <w:tcPr>
            <w:tcW w:type="dxa" w:w="3300"/>
            <w:shd w:fill="D9D9D9" w:val="clear"/>
            <w:tcMar>
              <w:top w:type="dxa" w:w="60"/>
              <w:left w:type="dxa" w:w="100"/>
              <w:bottom w:type="dxa" w:w="60"/>
              <w:right w:type="dxa" w:w="100"/>
            </w:tcMar>
          </w:tcPr>
          <w:p>
            <w:pPr>
              <w:spacing w:after="40"/>
            </w:pPr>
            <w:r>
              <w:rPr>
                <w:b/>
                <w:bCs/>
              </w:rPr>
              <w:t xml:space="preserve">Entregável</w:t>
            </w:r>
          </w:p>
        </w:tc>
        <w:tc>
          <w:tcPr>
            <w:tcW w:type="dxa" w:w="3300"/>
            <w:shd w:fill="D9D9D9" w:val="clear"/>
            <w:tcMar>
              <w:top w:type="dxa" w:w="60"/>
              <w:left w:type="dxa" w:w="100"/>
              <w:bottom w:type="dxa" w:w="60"/>
              <w:right w:type="dxa" w:w="100"/>
            </w:tcMar>
          </w:tcPr>
          <w:p>
            <w:pPr>
              <w:spacing w:after="40"/>
            </w:pPr>
            <w:r>
              <w:rPr>
                <w:b/>
                <w:bCs/>
              </w:rPr>
              <w:t xml:space="preserve">Critério / Métrica de Validação</w:t>
            </w:r>
          </w:p>
        </w:tc>
      </w:tr>
      <w:tr>
        <w:tc>
          <w:tcPr>
            <w:tcW w:type="dxa" w:w="3300"/>
            <w:tcMar>
              <w:top w:type="dxa" w:w="60"/>
              <w:left w:type="dxa" w:w="100"/>
              <w:bottom w:type="dxa" w:w="60"/>
              <w:right w:type="dxa" w:w="100"/>
            </w:tcMar>
          </w:tcPr>
          <w:p>
            <w:pPr>
              <w:spacing w:after="40"/>
            </w:pPr>
            <w:r>
              <w:rPr>
                <w:b w:val="false"/>
                <w:bCs w:val="false"/>
              </w:rPr>
              <w:t xml:space="preserve">Levantar e coletar dados de SRAG por Influenza A no município de SP (SIVEP-Gripe/SINAN, 2009–2019 e 2022–atualidade)</w:t>
            </w:r>
          </w:p>
        </w:tc>
        <w:tc>
          <w:tcPr>
            <w:tcW w:type="dxa" w:w="3300"/>
            <w:tcMar>
              <w:top w:type="dxa" w:w="60"/>
              <w:left w:type="dxa" w:w="100"/>
              <w:bottom w:type="dxa" w:w="60"/>
              <w:right w:type="dxa" w:w="100"/>
            </w:tcMar>
          </w:tcPr>
          <w:p>
            <w:pPr>
              <w:spacing w:after="40"/>
            </w:pPr>
            <w:r>
              <w:rPr>
                <w:b w:val="false"/>
                <w:bCs w:val="false"/>
              </w:rPr>
              <w:t xml:space="preserve">Base bruta preservada + Ficha de Rastreabilidade dos Dados preenchida</w:t>
            </w:r>
          </w:p>
        </w:tc>
        <w:tc>
          <w:tcPr>
            <w:tcW w:type="dxa" w:w="3300"/>
            <w:tcMar>
              <w:top w:type="dxa" w:w="60"/>
              <w:left w:type="dxa" w:w="100"/>
              <w:bottom w:type="dxa" w:w="60"/>
              <w:right w:type="dxa" w:w="100"/>
            </w:tcMar>
          </w:tcPr>
          <w:p>
            <w:pPr>
              <w:spacing w:after="40"/>
            </w:pPr>
            <w:r>
              <w:rPr>
                <w:b w:val="false"/>
                <w:bCs w:val="false"/>
              </w:rPr>
              <w:t xml:space="preserve">Fonte, período e data de extração documentados; volume por ano registrado</w:t>
            </w:r>
          </w:p>
        </w:tc>
      </w:tr>
      <w:tr>
        <w:tc>
          <w:tcPr>
            <w:tcW w:type="dxa" w:w="3300"/>
            <w:tcMar>
              <w:top w:type="dxa" w:w="60"/>
              <w:left w:type="dxa" w:w="100"/>
              <w:bottom w:type="dxa" w:w="60"/>
              <w:right w:type="dxa" w:w="100"/>
            </w:tcMar>
          </w:tcPr>
          <w:p>
            <w:pPr>
              <w:spacing w:after="40"/>
            </w:pPr>
            <w:r>
              <w:rPr>
                <w:b w:val="false"/>
                <w:bCs w:val="false"/>
              </w:rPr>
              <w:t xml:space="preserve">Tratar e harmonizar os dados, unindo SINAN (2009–2018) e SIVEP-Gripe (2019+) numa série semanal única</w:t>
            </w:r>
          </w:p>
        </w:tc>
        <w:tc>
          <w:tcPr>
            <w:tcW w:type="dxa" w:w="3300"/>
            <w:tcMar>
              <w:top w:type="dxa" w:w="60"/>
              <w:left w:type="dxa" w:w="100"/>
              <w:bottom w:type="dxa" w:w="60"/>
              <w:right w:type="dxa" w:w="100"/>
            </w:tcMar>
          </w:tcPr>
          <w:p>
            <w:pPr>
              <w:spacing w:after="40"/>
            </w:pPr>
            <w:r>
              <w:rPr>
                <w:b w:val="false"/>
                <w:bCs w:val="false"/>
              </w:rPr>
              <w:t xml:space="preserve">Script de ETL + base tratada (.csv) + relatório de harmonização de campos</w:t>
            </w:r>
          </w:p>
        </w:tc>
        <w:tc>
          <w:tcPr>
            <w:tcW w:type="dxa" w:w="3300"/>
            <w:tcMar>
              <w:top w:type="dxa" w:w="60"/>
              <w:left w:type="dxa" w:w="100"/>
              <w:bottom w:type="dxa" w:w="60"/>
              <w:right w:type="dxa" w:w="100"/>
            </w:tcMar>
          </w:tcPr>
          <w:p>
            <w:pPr>
              <w:spacing w:after="40"/>
            </w:pPr>
            <w:r>
              <w:rPr>
                <w:b w:val="false"/>
                <w:bCs w:val="false"/>
              </w:rPr>
              <w:t xml:space="preserve">Ausência de duplicidade; equivalência de campo a campo validada; série sem lacunas não documentadas. Novo (v12): critério de confirmação efetivamente usado (POS_PCRFLU/TP_FLU_PCR/POS_AN_FLU/TP_FLU_AN + CLASSI_FIN/PCR_RESUL, per Tabela 1) precisa bater com os campos de fato presentes no arquivo final — hoje não bate (Evidência de Dados 6)</w:t>
            </w:r>
          </w:p>
        </w:tc>
      </w:tr>
      <w:tr>
        <w:tc>
          <w:tcPr>
            <w:tcW w:type="dxa" w:w="3300"/>
            <w:tcMar>
              <w:top w:type="dxa" w:w="60"/>
              <w:left w:type="dxa" w:w="100"/>
              <w:bottom w:type="dxa" w:w="60"/>
              <w:right w:type="dxa" w:w="100"/>
            </w:tcMar>
          </w:tcPr>
          <w:p>
            <w:pPr>
              <w:spacing w:after="40"/>
            </w:pPr>
            <w:r>
              <w:rPr>
                <w:b w:val="false"/>
                <w:bCs w:val="false"/>
              </w:rPr>
              <w:t xml:space="preserve">Identificar padrões sazonais e tendências temporais</w:t>
            </w:r>
          </w:p>
        </w:tc>
        <w:tc>
          <w:tcPr>
            <w:tcW w:type="dxa" w:w="3300"/>
            <w:tcMar>
              <w:top w:type="dxa" w:w="60"/>
              <w:left w:type="dxa" w:w="100"/>
              <w:bottom w:type="dxa" w:w="60"/>
              <w:right w:type="dxa" w:w="100"/>
            </w:tcMar>
          </w:tcPr>
          <w:p>
            <w:pPr>
              <w:spacing w:after="40"/>
            </w:pPr>
            <w:r>
              <w:rPr>
                <w:b w:val="false"/>
                <w:bCs w:val="false"/>
              </w:rPr>
              <w:t xml:space="preserve">Gráficos de série histórica + relatório de análise exploratória</w:t>
            </w:r>
          </w:p>
        </w:tc>
        <w:tc>
          <w:tcPr>
            <w:tcW w:type="dxa" w:w="3300"/>
            <w:tcMar>
              <w:top w:type="dxa" w:w="60"/>
              <w:left w:type="dxa" w:w="100"/>
              <w:bottom w:type="dxa" w:w="60"/>
              <w:right w:type="dxa" w:w="100"/>
            </w:tcMar>
          </w:tcPr>
          <w:p>
            <w:pPr>
              <w:spacing w:after="40"/>
            </w:pPr>
            <w:r>
              <w:rPr>
                <w:b w:val="false"/>
                <w:bCs w:val="false"/>
              </w:rPr>
              <w:t xml:space="preserve">Sazonalidade caracterizada; semanas de contagem zero quantificadas; esparsidade documentada (já iniciado na planilha exploratória do grupo)</w:t>
            </w:r>
          </w:p>
        </w:tc>
      </w:tr>
      <w:tr>
        <w:tc>
          <w:tcPr>
            <w:tcW w:type="dxa" w:w="3300"/>
            <w:tcMar>
              <w:top w:type="dxa" w:w="60"/>
              <w:left w:type="dxa" w:w="100"/>
              <w:bottom w:type="dxa" w:w="60"/>
              <w:right w:type="dxa" w:w="100"/>
            </w:tcMar>
          </w:tcPr>
          <w:p>
            <w:pPr>
              <w:spacing w:after="40"/>
            </w:pPr>
            <w:r>
              <w:rPr>
                <w:b w:val="false"/>
                <w:bCs w:val="false"/>
              </w:rPr>
              <w:t xml:space="preserve">Aplicar Random Forest para prever a incidência semanal, horizonte de 6 semanas</w:t>
            </w:r>
          </w:p>
        </w:tc>
        <w:tc>
          <w:tcPr>
            <w:tcW w:type="dxa" w:w="3300"/>
            <w:tcMar>
              <w:top w:type="dxa" w:w="60"/>
              <w:left w:type="dxa" w:w="100"/>
              <w:bottom w:type="dxa" w:w="60"/>
              <w:right w:type="dxa" w:w="100"/>
            </w:tcMar>
          </w:tcPr>
          <w:p>
            <w:pPr>
              <w:spacing w:after="40"/>
            </w:pPr>
            <w:r>
              <w:rPr>
                <w:b w:val="false"/>
                <w:bCs w:val="false"/>
              </w:rPr>
              <w:t xml:space="preserve">Modelo treinado e serializado (.joblib) + gráfico real vs. previsto</w:t>
            </w:r>
          </w:p>
        </w:tc>
        <w:tc>
          <w:tcPr>
            <w:tcW w:type="dxa" w:w="3300"/>
            <w:tcMar>
              <w:top w:type="dxa" w:w="60"/>
              <w:left w:type="dxa" w:w="100"/>
              <w:bottom w:type="dxa" w:w="60"/>
              <w:right w:type="dxa" w:w="100"/>
            </w:tcMar>
          </w:tcPr>
          <w:p>
            <w:pPr>
              <w:spacing w:after="40"/>
            </w:pPr>
            <w:r>
              <w:rPr>
                <w:b w:val="false"/>
                <w:bCs w:val="false"/>
              </w:rPr>
              <w:t xml:space="preserve">MAE/RMSE inferior ao baseline; teste de Diebold-Mariano/Wilcoxon significativo</w:t>
            </w:r>
          </w:p>
        </w:tc>
      </w:tr>
      <w:tr>
        <w:tc>
          <w:tcPr>
            <w:tcW w:type="dxa" w:w="3300"/>
            <w:tcMar>
              <w:top w:type="dxa" w:w="60"/>
              <w:left w:type="dxa" w:w="100"/>
              <w:bottom w:type="dxa" w:w="60"/>
              <w:right w:type="dxa" w:w="100"/>
            </w:tcMar>
          </w:tcPr>
          <w:p>
            <w:pPr>
              <w:spacing w:after="40"/>
            </w:pPr>
            <w:r>
              <w:rPr>
                <w:b w:val="false"/>
                <w:bCs w:val="false"/>
              </w:rPr>
              <w:t xml:space="preserve">Desenvolver dashboard interativo (Next.js) para dados históricos e previsões</w:t>
            </w:r>
          </w:p>
        </w:tc>
        <w:tc>
          <w:tcPr>
            <w:tcW w:type="dxa" w:w="3300"/>
            <w:tcMar>
              <w:top w:type="dxa" w:w="60"/>
              <w:left w:type="dxa" w:w="100"/>
              <w:bottom w:type="dxa" w:w="60"/>
              <w:right w:type="dxa" w:w="100"/>
            </w:tcMar>
          </w:tcPr>
          <w:p>
            <w:pPr>
              <w:spacing w:after="40"/>
            </w:pPr>
            <w:r>
              <w:rPr>
                <w:b w:val="false"/>
                <w:bCs w:val="false"/>
              </w:rPr>
              <w:t xml:space="preserve">Aplicação web funcional, publicada</w:t>
            </w:r>
          </w:p>
        </w:tc>
        <w:tc>
          <w:tcPr>
            <w:tcW w:type="dxa" w:w="3300"/>
            <w:tcMar>
              <w:top w:type="dxa" w:w="60"/>
              <w:left w:type="dxa" w:w="100"/>
              <w:bottom w:type="dxa" w:w="60"/>
              <w:right w:type="dxa" w:w="100"/>
            </w:tcMar>
          </w:tcPr>
          <w:p>
            <w:pPr>
              <w:spacing w:after="40"/>
            </w:pPr>
            <w:r>
              <w:rPr>
                <w:b w:val="false"/>
                <w:bCs w:val="false"/>
              </w:rPr>
              <w:t xml:space="preserve">Filtros funcionando; dados reais; distinção visual histórico × previsão. Novo (v12): filtro intramunicipal deve usar NM_UN_INTE, não bairro</w:t>
            </w:r>
          </w:p>
        </w:tc>
      </w:tr>
      <w:tr>
        <w:tc>
          <w:tcPr>
            <w:tcW w:type="dxa" w:w="3300"/>
            <w:tcMar>
              <w:top w:type="dxa" w:w="60"/>
              <w:left w:type="dxa" w:w="100"/>
              <w:bottom w:type="dxa" w:w="60"/>
              <w:right w:type="dxa" w:w="100"/>
            </w:tcMar>
          </w:tcPr>
          <w:p>
            <w:pPr>
              <w:spacing w:after="40"/>
            </w:pPr>
            <w:r>
              <w:rPr>
                <w:b w:val="false"/>
                <w:bCs w:val="false"/>
              </w:rPr>
              <w:t xml:space="preserve">Projetar e documentar a arquitetura de software</w:t>
            </w:r>
          </w:p>
        </w:tc>
        <w:tc>
          <w:tcPr>
            <w:tcW w:type="dxa" w:w="3300"/>
            <w:tcMar>
              <w:top w:type="dxa" w:w="60"/>
              <w:left w:type="dxa" w:w="100"/>
              <w:bottom w:type="dxa" w:w="60"/>
              <w:right w:type="dxa" w:w="100"/>
            </w:tcMar>
          </w:tcPr>
          <w:p>
            <w:pPr>
              <w:spacing w:after="40"/>
            </w:pPr>
            <w:r>
              <w:rPr>
                <w:b w:val="false"/>
                <w:bCs w:val="false"/>
              </w:rPr>
              <w:t xml:space="preserve">Documento de arquitetura + diagramas (casos de uso, classes, DER, sequência)</w:t>
            </w:r>
          </w:p>
        </w:tc>
        <w:tc>
          <w:tcPr>
            <w:tcW w:type="dxa" w:w="3300"/>
            <w:tcMar>
              <w:top w:type="dxa" w:w="60"/>
              <w:left w:type="dxa" w:w="100"/>
              <w:bottom w:type="dxa" w:w="60"/>
              <w:right w:type="dxa" w:w="100"/>
            </w:tcMar>
          </w:tcPr>
          <w:p>
            <w:pPr>
              <w:spacing w:after="40"/>
            </w:pPr>
            <w:r>
              <w:rPr>
                <w:b w:val="false"/>
                <w:bCs w:val="false"/>
              </w:rPr>
              <w:t xml:space="preserve">Cobertura de segurança, logs, backup, fallback, cache, versionamento, CI/CD, monitoramento, custos e escalabilidade</w:t>
            </w:r>
          </w:p>
        </w:tc>
      </w:tr>
      <w:tr>
        <w:tc>
          <w:tcPr>
            <w:tcW w:type="dxa" w:w="3300"/>
            <w:tcMar>
              <w:top w:type="dxa" w:w="60"/>
              <w:left w:type="dxa" w:w="100"/>
              <w:bottom w:type="dxa" w:w="60"/>
              <w:right w:type="dxa" w:w="100"/>
            </w:tcMar>
          </w:tcPr>
          <w:p>
            <w:pPr>
              <w:spacing w:after="40"/>
            </w:pPr>
            <w:r>
              <w:rPr>
                <w:b w:val="false"/>
                <w:bCs w:val="false"/>
              </w:rPr>
              <w:t xml:space="preserve">Implementar banco de dados relacional (PostgreSQL)</w:t>
            </w:r>
          </w:p>
        </w:tc>
        <w:tc>
          <w:tcPr>
            <w:tcW w:type="dxa" w:w="3300"/>
            <w:tcMar>
              <w:top w:type="dxa" w:w="60"/>
              <w:left w:type="dxa" w:w="100"/>
              <w:bottom w:type="dxa" w:w="60"/>
              <w:right w:type="dxa" w:w="100"/>
            </w:tcMar>
          </w:tcPr>
          <w:p>
            <w:pPr>
              <w:spacing w:after="40"/>
            </w:pPr>
            <w:r>
              <w:rPr>
                <w:b w:val="false"/>
                <w:bCs w:val="false"/>
              </w:rPr>
              <w:t xml:space="preserve">Schema SQL + DER + dicionário do banco</w:t>
            </w:r>
          </w:p>
        </w:tc>
        <w:tc>
          <w:tcPr>
            <w:tcW w:type="dxa" w:w="3300"/>
            <w:tcMar>
              <w:top w:type="dxa" w:w="60"/>
              <w:left w:type="dxa" w:w="100"/>
              <w:bottom w:type="dxa" w:w="60"/>
              <w:right w:type="dxa" w:w="100"/>
            </w:tcMar>
          </w:tcPr>
          <w:p>
            <w:pPr>
              <w:spacing w:after="40"/>
            </w:pPr>
            <w:r>
              <w:rPr>
                <w:b w:val="false"/>
                <w:bCs w:val="false"/>
              </w:rPr>
              <w:t xml:space="preserve">PK/FK definidas; normalização justificada; consultas de filtro validadas. Novo (v12): esquema precisa remover/redesenhar bairro, regiao, bairro_predicao e incluir a estrutura equivalente para NM_UN_INTE</w:t>
            </w:r>
          </w:p>
        </w:tc>
      </w:tr>
      <w:tr>
        <w:tc>
          <w:tcPr>
            <w:tcW w:type="dxa" w:w="3300"/>
            <w:tcMar>
              <w:top w:type="dxa" w:w="60"/>
              <w:left w:type="dxa" w:w="100"/>
              <w:bottom w:type="dxa" w:w="60"/>
              <w:right w:type="dxa" w:w="100"/>
            </w:tcMar>
          </w:tcPr>
          <w:p>
            <w:pPr>
              <w:spacing w:after="40"/>
            </w:pPr>
            <w:r>
              <w:rPr>
                <w:b w:val="false"/>
                <w:bCs w:val="false"/>
              </w:rPr>
              <w:t xml:space="preserve">Utilizar computação em nuvem (AWS)</w:t>
            </w:r>
          </w:p>
        </w:tc>
        <w:tc>
          <w:tcPr>
            <w:tcW w:type="dxa" w:w="3300"/>
            <w:tcMar>
              <w:top w:type="dxa" w:w="60"/>
              <w:left w:type="dxa" w:w="100"/>
              <w:bottom w:type="dxa" w:w="60"/>
              <w:right w:type="dxa" w:w="100"/>
            </w:tcMar>
          </w:tcPr>
          <w:p>
            <w:pPr>
              <w:spacing w:after="40"/>
            </w:pPr>
            <w:r>
              <w:rPr>
                <w:b w:val="false"/>
                <w:bCs w:val="false"/>
              </w:rPr>
              <w:t xml:space="preserve">Sistema publicado em EC2/RDS/S3</w:t>
            </w:r>
          </w:p>
        </w:tc>
        <w:tc>
          <w:tcPr>
            <w:tcW w:type="dxa" w:w="3300"/>
            <w:tcMar>
              <w:top w:type="dxa" w:w="60"/>
              <w:left w:type="dxa" w:w="100"/>
              <w:bottom w:type="dxa" w:w="60"/>
              <w:right w:type="dxa" w:w="100"/>
            </w:tcMar>
          </w:tcPr>
          <w:p>
            <w:pPr>
              <w:spacing w:after="40"/>
            </w:pPr>
            <w:r>
              <w:rPr>
                <w:b w:val="false"/>
                <w:bCs w:val="false"/>
              </w:rPr>
              <w:t xml:space="preserve">Acesso remoto funcional; resposta ≤2s; backup e credenciais fora do código</w:t>
            </w:r>
          </w:p>
        </w:tc>
      </w:tr>
    </w:tbl>
    <w:p>
      <w:pPr>
        <w:spacing w:after="140"/>
      </w:pPr>
      <w:r>
        <w:t xml:space="preserve"/>
      </w:r>
    </w:p>
    <w:p>
      <w:pPr>
        <w:spacing w:after="140"/>
      </w:pPr>
      <w:r>
        <w:rPr>
          <w:b/>
          <w:bCs/>
        </w:rPr>
        <w:t xml:space="preserve">Status no TC2: </w:t>
      </w:r>
      <w:r>
        <w:t xml:space="preserve">a Seção 2.2 (Objetivos específicos) segue em formato de lista simples (a–g), sem a estrutura de tabela recomendada desde a v6. Avanço pontual: o item (a) já foi reescrito para citar "dados de hospitais e suas localidades", alinhado à decisão de NM_UN_INTE — o único objetivo já ajustado.</w:t>
      </w:r>
    </w:p>
    <w:p>
      <w:pPr>
        <w:pStyle w:val="Heading1"/>
        <w:spacing w:after="160" w:before="320"/>
      </w:pPr>
      <w:r>
        <w:t xml:space="preserve">4. Trabalhos Correlatos e Diferenciação em Relação a Soluções Existentes</w:t>
      </w:r>
    </w:p>
    <w:p>
      <w:pPr>
        <w:spacing w:after="140"/>
      </w:pPr>
      <w:r>
        <w:t xml:space="preserve">Sem mudança de conteúdo desde a v9/v10/v11: InfoGripe, Google Flu Trends, HealthMap, ProMED-mail e FluSight seguem como o conjunto de referência deste documento (ver v11 para a tabela completa de escopo/granularidade/diferenciação).</w:t>
      </w:r>
    </w:p>
    <w:p>
      <w:pPr>
        <w:spacing w:after="140"/>
      </w:pPr>
      <w:r>
        <w:rPr>
          <w:b/>
          <w:bCs/>
        </w:rPr>
        <w:t xml:space="preserve">Status no TC2: </w:t>
      </w:r>
      <w:r>
        <w:t xml:space="preserve">a Seção 3.5 (Trabalhos relacionados) já incorpora InfoGripe e FluSight de forma narrativa, com citações próprias do grupo (Hines et al., 2026; Mathis et al., 2024) — sem mudança desde a v10. Google Flu Trends, HealthMap e ProMED-mail continuam ausentes. Nenhuma mudança desde a última verificação.</w:t>
      </w:r>
    </w:p>
    <w:p>
      <w:pPr>
        <w:pStyle w:val="Heading1"/>
        <w:spacing w:after="160" w:before="320"/>
      </w:pPr>
      <w:r>
        <w:t xml:space="preserve">5. Variável-Alvo: Definição Conceitual e Definição Operacional</w:t>
      </w:r>
    </w:p>
    <w:p>
      <w:pPr>
        <w:spacing w:after="140"/>
      </w:pPr>
      <w:r>
        <w:t xml:space="preserve">A definição conceitual ("Influenza A ampla via SRAG") está bem estabelecida e documentada em tabela própria no TC2 (Tabela 1, Seção 3.3 DataSUS): confirmação por RT-PCR (POS_PCRFLU=1 e TP_FLU_PCR=1) OU teste antigênico (POS_AN_FLU=1 e TP_FLU_AN=1), combinada com CLASSI_FIN=1 (SRAG por Influenza) e PCR_RESUL=1 (detectável).</w:t>
      </w:r>
    </w:p>
    <w:p>
      <w:pPr>
        <w:spacing w:after="140"/>
      </w:pPr>
      <w:r>
        <w:rPr>
          <w:b/>
          <w:bCs/>
        </w:rPr>
        <w:t xml:space="preserve">Atenção crítica (v12): </w:t>
      </w:r>
      <w:r>
        <w:t xml:space="preserve">essa definição operacional documentada não corresponde aos campos efetivamente presentes no arquivo de dados consolidado que o grupo já produziu (Evidência de Dados 6). O arquivo real usa apenas PCR_FLUASU (subtipo) — sem CLASSI_FIN, PCR_RESUL, POS_PCRFLU, TP_FLU_PCR, POS_AN_FLU ou TP_FLU_AN — para todo o período 2009–2026, e usa a codificação antiga de 6 categorias mesmo em anos recentes (Evidência de Dados 7). Antes de qualquer número deste arquivo ser tratado como definitivo, o grupo precisa decidir entre duas rotas: (a) re-extrair os dados de 2019 em diante seguindo de fato os campos da Tabela 1, harmonizando com uma nova extração de 2009–2018 que também inclua RES_FLUA (recomendação já registrada desde a v11 para o período antigo); ou (b) atualizar a Tabela 1 do TC2 para descrever o critério de subtipo (PCR_FLUASU preenchido) como o critério efetivamente usado em todo o período, se a re-extração completa não for viável a tempo — mas essa segunda rota exige registrar explicitamente a limitação de que "confirmado" passa a significar "subtipado", não "positivo por RT-PCR ou antigênico", com todas as implicações de subestimação que isso carrega (ver Evidência de Dados 2, v11).</w:t>
      </w:r>
    </w:p>
    <w:p>
      <w:pPr>
        <w:pStyle w:val="Heading2"/>
        <w:spacing w:after="140" w:before="260"/>
      </w:pPr>
      <w:r>
        <w:t xml:space="preserve">5.1 Levantamento Real de Volume</w:t>
      </w:r>
    </w:p>
    <w:p>
      <w:pPr>
        <w:spacing w:after="140"/>
      </w:pPr>
      <w:r>
        <w:t xml:space="preserve">A verificação direta do arquivo consolidado (48.775 registros no estado de SP; 13.139 no município de São Paulo) reproduz, para 2013–2018, exatamente os números já apurados na v11 a partir dos arquivos tratados individuais — confirmando que o arquivo consolidado é, de fato, a junção dos dois arquivos já analisados na v11 com a adição de 2019 e 2022–2026.</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3100"/>
      </w:tblGrid>
      <w:tr>
        <w:tc>
          <w:tcPr>
            <w:tcW w:type="dxa" w:w="1800"/>
            <w:shd w:fill="D9D9D9" w:val="clear"/>
            <w:tcMar>
              <w:top w:type="dxa" w:w="60"/>
              <w:left w:type="dxa" w:w="100"/>
              <w:bottom w:type="dxa" w:w="60"/>
              <w:right w:type="dxa" w:w="100"/>
            </w:tcMar>
          </w:tcPr>
          <w:p>
            <w:pPr>
              <w:spacing w:after="40"/>
            </w:pPr>
            <w:r>
              <w:rPr>
                <w:b/>
                <w:bCs/>
              </w:rPr>
              <w:t xml:space="preserve">Ano</w:t>
            </w:r>
          </w:p>
        </w:tc>
        <w:tc>
          <w:tcPr>
            <w:tcW w:type="dxa" w:w="2600"/>
            <w:shd w:fill="D9D9D9" w:val="clear"/>
            <w:tcMar>
              <w:top w:type="dxa" w:w="60"/>
              <w:left w:type="dxa" w:w="100"/>
              <w:bottom w:type="dxa" w:w="60"/>
              <w:right w:type="dxa" w:w="100"/>
            </w:tcMar>
          </w:tcPr>
          <w:p>
            <w:pPr>
              <w:spacing w:after="40"/>
            </w:pPr>
            <w:r>
              <w:rPr>
                <w:b/>
                <w:bCs/>
              </w:rPr>
              <w:t xml:space="preserve">Registros no arquivo (município SP)</w:t>
            </w:r>
          </w:p>
        </w:tc>
        <w:tc>
          <w:tcPr>
            <w:tcW w:type="dxa" w:w="2600"/>
            <w:shd w:fill="D9D9D9" w:val="clear"/>
            <w:tcMar>
              <w:top w:type="dxa" w:w="60"/>
              <w:left w:type="dxa" w:w="100"/>
              <w:bottom w:type="dxa" w:w="60"/>
              <w:right w:type="dxa" w:w="100"/>
            </w:tcMar>
          </w:tcPr>
          <w:p>
            <w:pPr>
              <w:spacing w:after="40"/>
            </w:pPr>
            <w:r>
              <w:rPr>
                <w:b/>
                <w:bCs/>
              </w:rPr>
              <w:t xml:space="preserve">Com PCR_FLUASU preenchido</w:t>
            </w:r>
          </w:p>
        </w:tc>
        <w:tc>
          <w:tcPr>
            <w:tcW w:type="dxa" w:w="3100"/>
            <w:tcMar>
              <w:top w:type="dxa" w:w="60"/>
              <w:left w:type="dxa" w:w="100"/>
              <w:bottom w:type="dxa" w:w="60"/>
              <w:right w:type="dxa" w:w="100"/>
            </w:tcMar>
          </w:tcPr>
          <w:p>
            <w:pPr>
              <w:spacing w:after="40"/>
            </w:pPr>
            <w:r>
              <w:rPr>
                <w:b w:val="false"/>
                <w:bCs w:val="false"/>
              </w:rPr>
              <w:t xml:space="preserve">Observação</w:t>
            </w:r>
          </w:p>
        </w:tc>
      </w:tr>
      <w:tr>
        <w:tc>
          <w:tcPr>
            <w:tcW w:type="dxa" w:w="1800"/>
            <w:tcMar>
              <w:top w:type="dxa" w:w="60"/>
              <w:left w:type="dxa" w:w="100"/>
              <w:bottom w:type="dxa" w:w="60"/>
              <w:right w:type="dxa" w:w="100"/>
            </w:tcMar>
          </w:tcPr>
          <w:p>
            <w:pPr>
              <w:spacing w:after="40"/>
            </w:pPr>
            <w:r>
              <w:rPr>
                <w:b w:val="false"/>
                <w:bCs w:val="false"/>
              </w:rPr>
              <w:t xml:space="preserve">2009</w:t>
            </w:r>
          </w:p>
        </w:tc>
        <w:tc>
          <w:tcPr>
            <w:tcW w:type="dxa" w:w="2600"/>
            <w:tcMar>
              <w:top w:type="dxa" w:w="60"/>
              <w:left w:type="dxa" w:w="100"/>
              <w:bottom w:type="dxa" w:w="60"/>
              <w:right w:type="dxa" w:w="100"/>
            </w:tcMar>
          </w:tcPr>
          <w:p>
            <w:pPr>
              <w:spacing w:after="40"/>
            </w:pPr>
            <w:r>
              <w:rPr>
                <w:b w:val="false"/>
                <w:bCs w:val="false"/>
              </w:rPr>
              <w:t xml:space="preserve">2.908</w:t>
            </w:r>
          </w:p>
        </w:tc>
        <w:tc>
          <w:tcPr>
            <w:tcW w:type="dxa" w:w="2600"/>
            <w:tcMar>
              <w:top w:type="dxa" w:w="60"/>
              <w:left w:type="dxa" w:w="100"/>
              <w:bottom w:type="dxa" w:w="60"/>
              <w:right w:type="dxa" w:w="100"/>
            </w:tcMar>
          </w:tcPr>
          <w:p>
            <w:pPr>
              <w:spacing w:after="40"/>
            </w:pPr>
            <w:r>
              <w:rPr>
                <w:b w:val="false"/>
                <w:bCs w:val="false"/>
              </w:rPr>
              <w:t xml:space="preserve">0</w:t>
            </w:r>
          </w:p>
        </w:tc>
        <w:tc>
          <w:tcPr>
            <w:tcW w:type="dxa" w:w="3100"/>
            <w:tcMar>
              <w:top w:type="dxa" w:w="60"/>
              <w:left w:type="dxa" w:w="100"/>
              <w:bottom w:type="dxa" w:w="60"/>
              <w:right w:type="dxa" w:w="100"/>
            </w:tcMar>
          </w:tcPr>
          <w:p>
            <w:pPr>
              <w:spacing w:after="40"/>
            </w:pPr>
            <w:r>
              <w:rPr>
                <w:b w:val="false"/>
                <w:bCs w:val="false"/>
              </w:rPr>
              <w:t xml:space="preserve">Idêntico à v11 — provável ausência do campo de confirmação binária</w:t>
            </w:r>
          </w:p>
        </w:tc>
      </w:tr>
      <w:tr>
        <w:tc>
          <w:tcPr>
            <w:tcW w:type="dxa" w:w="1800"/>
            <w:tcMar>
              <w:top w:type="dxa" w:w="60"/>
              <w:left w:type="dxa" w:w="100"/>
              <w:bottom w:type="dxa" w:w="60"/>
              <w:right w:type="dxa" w:w="100"/>
            </w:tcMar>
          </w:tcPr>
          <w:p>
            <w:pPr>
              <w:spacing w:after="40"/>
            </w:pPr>
            <w:r>
              <w:rPr>
                <w:b w:val="false"/>
                <w:bCs w:val="false"/>
              </w:rPr>
              <w:t xml:space="preserve">2010</w:t>
            </w:r>
          </w:p>
        </w:tc>
        <w:tc>
          <w:tcPr>
            <w:tcW w:type="dxa" w:w="2600"/>
            <w:tcMar>
              <w:top w:type="dxa" w:w="60"/>
              <w:left w:type="dxa" w:w="100"/>
              <w:bottom w:type="dxa" w:w="60"/>
              <w:right w:type="dxa" w:w="100"/>
            </w:tcMar>
          </w:tcPr>
          <w:p>
            <w:pPr>
              <w:spacing w:after="40"/>
            </w:pPr>
            <w:r>
              <w:rPr>
                <w:b w:val="false"/>
                <w:bCs w:val="false"/>
              </w:rPr>
              <w:t xml:space="preserve">31</w:t>
            </w:r>
          </w:p>
        </w:tc>
        <w:tc>
          <w:tcPr>
            <w:tcW w:type="dxa" w:w="2600"/>
            <w:tcMar>
              <w:top w:type="dxa" w:w="60"/>
              <w:left w:type="dxa" w:w="100"/>
              <w:bottom w:type="dxa" w:w="60"/>
              <w:right w:type="dxa" w:w="100"/>
            </w:tcMar>
          </w:tcPr>
          <w:p>
            <w:pPr>
              <w:spacing w:after="40"/>
            </w:pPr>
            <w:r>
              <w:rPr>
                <w:b w:val="false"/>
                <w:bCs w:val="false"/>
              </w:rPr>
              <w:t xml:space="preserve">0</w:t>
            </w:r>
          </w:p>
        </w:tc>
        <w:tc>
          <w:tcPr>
            <w:tcW w:type="dxa" w:w="3100"/>
            <w:tcMar>
              <w:top w:type="dxa" w:w="60"/>
              <w:left w:type="dxa" w:w="100"/>
              <w:bottom w:type="dxa" w:w="60"/>
              <w:right w:type="dxa" w:w="100"/>
            </w:tcMar>
          </w:tcPr>
          <w:p>
            <w:pPr>
              <w:spacing w:after="40"/>
            </w:pPr>
            <w:r>
              <w:rPr>
                <w:b w:val="false"/>
                <w:bCs w:val="false"/>
              </w:rPr>
              <w:t xml:space="preserve">Idêntico à v11</w:t>
            </w:r>
          </w:p>
        </w:tc>
      </w:tr>
      <w:tr>
        <w:tc>
          <w:tcPr>
            <w:tcW w:type="dxa" w:w="1800"/>
            <w:tcMar>
              <w:top w:type="dxa" w:w="60"/>
              <w:left w:type="dxa" w:w="100"/>
              <w:bottom w:type="dxa" w:w="60"/>
              <w:right w:type="dxa" w:w="100"/>
            </w:tcMar>
          </w:tcPr>
          <w:p>
            <w:pPr>
              <w:spacing w:after="40"/>
            </w:pPr>
            <w:r>
              <w:rPr>
                <w:b w:val="false"/>
                <w:bCs w:val="false"/>
              </w:rPr>
              <w:t xml:space="preserve">2011</w:t>
            </w:r>
          </w:p>
        </w:tc>
        <w:tc>
          <w:tcPr>
            <w:tcW w:type="dxa" w:w="2600"/>
            <w:tcMar>
              <w:top w:type="dxa" w:w="60"/>
              <w:left w:type="dxa" w:w="100"/>
              <w:bottom w:type="dxa" w:w="60"/>
              <w:right w:type="dxa" w:w="100"/>
            </w:tcMar>
          </w:tcPr>
          <w:p>
            <w:pPr>
              <w:spacing w:after="40"/>
            </w:pPr>
            <w:r>
              <w:rPr>
                <w:b w:val="false"/>
                <w:bCs w:val="false"/>
              </w:rPr>
              <w:t xml:space="preserve">13</w:t>
            </w:r>
          </w:p>
        </w:tc>
        <w:tc>
          <w:tcPr>
            <w:tcW w:type="dxa" w:w="2600"/>
            <w:tcMar>
              <w:top w:type="dxa" w:w="60"/>
              <w:left w:type="dxa" w:w="100"/>
              <w:bottom w:type="dxa" w:w="60"/>
              <w:right w:type="dxa" w:w="100"/>
            </w:tcMar>
          </w:tcPr>
          <w:p>
            <w:pPr>
              <w:spacing w:after="40"/>
            </w:pPr>
            <w:r>
              <w:rPr>
                <w:b w:val="false"/>
                <w:bCs w:val="false"/>
              </w:rPr>
              <w:t xml:space="preserve">0</w:t>
            </w:r>
          </w:p>
        </w:tc>
        <w:tc>
          <w:tcPr>
            <w:tcW w:type="dxa" w:w="3100"/>
            <w:tcMar>
              <w:top w:type="dxa" w:w="60"/>
              <w:left w:type="dxa" w:w="100"/>
              <w:bottom w:type="dxa" w:w="60"/>
              <w:right w:type="dxa" w:w="100"/>
            </w:tcMar>
          </w:tcPr>
          <w:p>
            <w:pPr>
              <w:spacing w:after="40"/>
            </w:pPr>
            <w:r>
              <w:rPr>
                <w:b w:val="false"/>
                <w:bCs w:val="false"/>
              </w:rPr>
              <w:t xml:space="preserve">Idêntico à v11</w:t>
            </w:r>
          </w:p>
        </w:tc>
      </w:tr>
      <w:tr>
        <w:tc>
          <w:tcPr>
            <w:tcW w:type="dxa" w:w="1800"/>
            <w:tcMar>
              <w:top w:type="dxa" w:w="60"/>
              <w:left w:type="dxa" w:w="100"/>
              <w:bottom w:type="dxa" w:w="60"/>
              <w:right w:type="dxa" w:w="100"/>
            </w:tcMar>
          </w:tcPr>
          <w:p>
            <w:pPr>
              <w:spacing w:after="40"/>
            </w:pPr>
            <w:r>
              <w:rPr>
                <w:b w:val="false"/>
                <w:bCs w:val="false"/>
              </w:rPr>
              <w:t xml:space="preserve">2012</w:t>
            </w:r>
          </w:p>
        </w:tc>
        <w:tc>
          <w:tcPr>
            <w:tcW w:type="dxa" w:w="2600"/>
            <w:tcMar>
              <w:top w:type="dxa" w:w="60"/>
              <w:left w:type="dxa" w:w="100"/>
              <w:bottom w:type="dxa" w:w="60"/>
              <w:right w:type="dxa" w:w="100"/>
            </w:tcMar>
          </w:tcPr>
          <w:p>
            <w:pPr>
              <w:spacing w:after="40"/>
            </w:pPr>
            <w:r>
              <w:rPr>
                <w:b w:val="false"/>
                <w:bCs w:val="false"/>
              </w:rPr>
              <w:t xml:space="preserve">139</w:t>
            </w:r>
          </w:p>
        </w:tc>
        <w:tc>
          <w:tcPr>
            <w:tcW w:type="dxa" w:w="2600"/>
            <w:tcMar>
              <w:top w:type="dxa" w:w="60"/>
              <w:left w:type="dxa" w:w="100"/>
              <w:bottom w:type="dxa" w:w="60"/>
              <w:right w:type="dxa" w:w="100"/>
            </w:tcMar>
          </w:tcPr>
          <w:p>
            <w:pPr>
              <w:spacing w:after="40"/>
            </w:pPr>
            <w:r>
              <w:rPr>
                <w:b w:val="false"/>
                <w:bCs w:val="false"/>
              </w:rPr>
              <w:t xml:space="preserve">13</w:t>
            </w:r>
          </w:p>
        </w:tc>
        <w:tc>
          <w:tcPr>
            <w:tcW w:type="dxa" w:w="3100"/>
            <w:tcMar>
              <w:top w:type="dxa" w:w="60"/>
              <w:left w:type="dxa" w:w="100"/>
              <w:bottom w:type="dxa" w:w="60"/>
              <w:right w:type="dxa" w:w="100"/>
            </w:tcMar>
          </w:tcPr>
          <w:p>
            <w:pPr>
              <w:spacing w:after="40"/>
            </w:pPr>
            <w:r>
              <w:rPr>
                <w:b w:val="false"/>
                <w:bCs w:val="false"/>
              </w:rPr>
              <w:t xml:space="preserve">Idêntico à v11</w:t>
            </w:r>
          </w:p>
        </w:tc>
      </w:tr>
      <w:tr>
        <w:tc>
          <w:tcPr>
            <w:tcW w:type="dxa" w:w="1800"/>
            <w:tcMar>
              <w:top w:type="dxa" w:w="60"/>
              <w:left w:type="dxa" w:w="100"/>
              <w:bottom w:type="dxa" w:w="60"/>
              <w:right w:type="dxa" w:w="100"/>
            </w:tcMar>
          </w:tcPr>
          <w:p>
            <w:pPr>
              <w:spacing w:after="40"/>
            </w:pPr>
            <w:r>
              <w:rPr>
                <w:b w:val="false"/>
                <w:bCs w:val="false"/>
              </w:rPr>
              <w:t xml:space="preserve">2013–2018</w:t>
            </w:r>
          </w:p>
        </w:tc>
        <w:tc>
          <w:tcPr>
            <w:tcW w:type="dxa" w:w="2600"/>
            <w:tcMar>
              <w:top w:type="dxa" w:w="60"/>
              <w:left w:type="dxa" w:w="100"/>
              <w:bottom w:type="dxa" w:w="60"/>
              <w:right w:type="dxa" w:w="100"/>
            </w:tcMar>
          </w:tcPr>
          <w:p>
            <w:pPr>
              <w:spacing w:after="40"/>
            </w:pPr>
            <w:r>
              <w:rPr>
                <w:b w:val="false"/>
                <w:bCs w:val="false"/>
              </w:rPr>
              <w:t xml:space="preserve">3.512 (soma)</w:t>
            </w:r>
          </w:p>
        </w:tc>
        <w:tc>
          <w:tcPr>
            <w:tcW w:type="dxa" w:w="2600"/>
            <w:tcMar>
              <w:top w:type="dxa" w:w="60"/>
              <w:left w:type="dxa" w:w="100"/>
              <w:bottom w:type="dxa" w:w="60"/>
              <w:right w:type="dxa" w:w="100"/>
            </w:tcMar>
          </w:tcPr>
          <w:p>
            <w:pPr>
              <w:spacing w:after="40"/>
            </w:pPr>
            <w:r>
              <w:rPr>
                <w:b w:val="false"/>
                <w:bCs w:val="false"/>
              </w:rPr>
              <w:t xml:space="preserve">3.512 (100%)</w:t>
            </w:r>
          </w:p>
        </w:tc>
        <w:tc>
          <w:tcPr>
            <w:tcW w:type="dxa" w:w="3100"/>
            <w:tcMar>
              <w:top w:type="dxa" w:w="60"/>
              <w:left w:type="dxa" w:w="100"/>
              <w:bottom w:type="dxa" w:w="60"/>
              <w:right w:type="dxa" w:w="100"/>
            </w:tcMar>
          </w:tcPr>
          <w:p>
            <w:pPr>
              <w:spacing w:after="40"/>
            </w:pPr>
            <w:r>
              <w:rPr>
                <w:b w:val="false"/>
                <w:bCs w:val="false"/>
              </w:rPr>
              <w:t xml:space="preserve">Idêntico à v11 — arquivo já vem pré-filtrado</w:t>
            </w:r>
          </w:p>
        </w:tc>
      </w:tr>
      <w:tr>
        <w:tc>
          <w:tcPr>
            <w:tcW w:type="dxa" w:w="1800"/>
            <w:tcMar>
              <w:top w:type="dxa" w:w="60"/>
              <w:left w:type="dxa" w:w="100"/>
              <w:bottom w:type="dxa" w:w="60"/>
              <w:right w:type="dxa" w:w="100"/>
            </w:tcMar>
          </w:tcPr>
          <w:p>
            <w:pPr>
              <w:spacing w:after="40"/>
            </w:pPr>
            <w:r>
              <w:rPr>
                <w:b w:val="false"/>
                <w:bCs w:val="false"/>
              </w:rPr>
              <w:t xml:space="preserve">2019</w:t>
            </w:r>
          </w:p>
        </w:tc>
        <w:tc>
          <w:tcPr>
            <w:tcW w:type="dxa" w:w="2600"/>
            <w:tcMar>
              <w:top w:type="dxa" w:w="60"/>
              <w:left w:type="dxa" w:w="100"/>
              <w:bottom w:type="dxa" w:w="60"/>
              <w:right w:type="dxa" w:w="100"/>
            </w:tcMar>
          </w:tcPr>
          <w:p>
            <w:pPr>
              <w:spacing w:after="40"/>
            </w:pPr>
            <w:r>
              <w:rPr>
                <w:b w:val="false"/>
                <w:bCs w:val="false"/>
              </w:rPr>
              <w:t xml:space="preserve">657</w:t>
            </w:r>
          </w:p>
        </w:tc>
        <w:tc>
          <w:tcPr>
            <w:tcW w:type="dxa" w:w="2600"/>
            <w:tcMar>
              <w:top w:type="dxa" w:w="60"/>
              <w:left w:type="dxa" w:w="100"/>
              <w:bottom w:type="dxa" w:w="60"/>
              <w:right w:type="dxa" w:w="100"/>
            </w:tcMar>
          </w:tcPr>
          <w:p>
            <w:pPr>
              <w:spacing w:after="40"/>
            </w:pPr>
            <w:r>
              <w:rPr>
                <w:b w:val="false"/>
                <w:bCs w:val="false"/>
              </w:rPr>
              <w:t xml:space="preserve">467 (71%)</w:t>
            </w:r>
          </w:p>
        </w:tc>
        <w:tc>
          <w:tcPr>
            <w:tcW w:type="dxa" w:w="3100"/>
            <w:tcMar>
              <w:top w:type="dxa" w:w="60"/>
              <w:left w:type="dxa" w:w="100"/>
              <w:bottom w:type="dxa" w:w="60"/>
              <w:right w:type="dxa" w:w="100"/>
            </w:tcMar>
          </w:tcPr>
          <w:p>
            <w:pPr>
              <w:spacing w:after="40"/>
            </w:pPr>
            <w:r>
              <w:rPr>
                <w:b w:val="false"/>
                <w:bCs w:val="false"/>
              </w:rPr>
              <w:t xml:space="preserve">Novo nesta v12 — primeira verificação linha a linha de 2019</w:t>
            </w:r>
          </w:p>
        </w:tc>
      </w:tr>
      <w:tr>
        <w:tc>
          <w:tcPr>
            <w:tcW w:type="dxa" w:w="1800"/>
            <w:tcMar>
              <w:top w:type="dxa" w:w="60"/>
              <w:left w:type="dxa" w:w="100"/>
              <w:bottom w:type="dxa" w:w="60"/>
              <w:right w:type="dxa" w:w="100"/>
            </w:tcMar>
          </w:tcPr>
          <w:p>
            <w:pPr>
              <w:spacing w:after="40"/>
            </w:pPr>
            <w:r>
              <w:rPr>
                <w:b w:val="false"/>
                <w:bCs w:val="false"/>
              </w:rPr>
              <w:t xml:space="preserve">2022</w:t>
            </w:r>
          </w:p>
        </w:tc>
        <w:tc>
          <w:tcPr>
            <w:tcW w:type="dxa" w:w="2600"/>
            <w:tcMar>
              <w:top w:type="dxa" w:w="60"/>
              <w:left w:type="dxa" w:w="100"/>
              <w:bottom w:type="dxa" w:w="60"/>
              <w:right w:type="dxa" w:w="100"/>
            </w:tcMar>
          </w:tcPr>
          <w:p>
            <w:pPr>
              <w:spacing w:after="40"/>
            </w:pPr>
            <w:r>
              <w:rPr>
                <w:b w:val="false"/>
                <w:bCs w:val="false"/>
              </w:rPr>
              <w:t xml:space="preserve">533</w:t>
            </w:r>
          </w:p>
        </w:tc>
        <w:tc>
          <w:tcPr>
            <w:tcW w:type="dxa" w:w="2600"/>
            <w:tcMar>
              <w:top w:type="dxa" w:w="60"/>
              <w:left w:type="dxa" w:w="100"/>
              <w:bottom w:type="dxa" w:w="60"/>
              <w:right w:type="dxa" w:w="100"/>
            </w:tcMar>
          </w:tcPr>
          <w:p>
            <w:pPr>
              <w:spacing w:after="40"/>
            </w:pPr>
            <w:r>
              <w:rPr>
                <w:b w:val="false"/>
                <w:bCs w:val="false"/>
              </w:rPr>
              <w:t xml:space="preserve">378 (71%)</w:t>
            </w:r>
          </w:p>
        </w:tc>
        <w:tc>
          <w:tcPr>
            <w:tcW w:type="dxa" w:w="3100"/>
            <w:tcMar>
              <w:top w:type="dxa" w:w="60"/>
              <w:left w:type="dxa" w:w="100"/>
              <w:bottom w:type="dxa" w:w="60"/>
              <w:right w:type="dxa" w:w="100"/>
            </w:tcMar>
          </w:tcPr>
          <w:p>
            <w:pPr>
              <w:spacing w:after="40"/>
            </w:pPr>
            <w:r>
              <w:rPr>
                <w:b w:val="false"/>
                <w:bCs w:val="false"/>
              </w:rPr>
              <w:t xml:space="preserve">Novo nesta v12</w:t>
            </w:r>
          </w:p>
        </w:tc>
      </w:tr>
      <w:tr>
        <w:tc>
          <w:tcPr>
            <w:tcW w:type="dxa" w:w="1800"/>
            <w:tcMar>
              <w:top w:type="dxa" w:w="60"/>
              <w:left w:type="dxa" w:w="100"/>
              <w:bottom w:type="dxa" w:w="60"/>
              <w:right w:type="dxa" w:w="100"/>
            </w:tcMar>
          </w:tcPr>
          <w:p>
            <w:pPr>
              <w:spacing w:after="40"/>
            </w:pPr>
            <w:r>
              <w:rPr>
                <w:b w:val="false"/>
                <w:bCs w:val="false"/>
              </w:rPr>
              <w:t xml:space="preserve">2023</w:t>
            </w:r>
          </w:p>
        </w:tc>
        <w:tc>
          <w:tcPr>
            <w:tcW w:type="dxa" w:w="2600"/>
            <w:tcMar>
              <w:top w:type="dxa" w:w="60"/>
              <w:left w:type="dxa" w:w="100"/>
              <w:bottom w:type="dxa" w:w="60"/>
              <w:right w:type="dxa" w:w="100"/>
            </w:tcMar>
          </w:tcPr>
          <w:p>
            <w:pPr>
              <w:spacing w:after="40"/>
            </w:pPr>
            <w:r>
              <w:rPr>
                <w:b w:val="false"/>
                <w:bCs w:val="false"/>
              </w:rPr>
              <w:t xml:space="preserve">527</w:t>
            </w:r>
          </w:p>
        </w:tc>
        <w:tc>
          <w:tcPr>
            <w:tcW w:type="dxa" w:w="2600"/>
            <w:tcMar>
              <w:top w:type="dxa" w:w="60"/>
              <w:left w:type="dxa" w:w="100"/>
              <w:bottom w:type="dxa" w:w="60"/>
              <w:right w:type="dxa" w:w="100"/>
            </w:tcMar>
          </w:tcPr>
          <w:p>
            <w:pPr>
              <w:spacing w:after="40"/>
            </w:pPr>
            <w:r>
              <w:rPr>
                <w:b w:val="false"/>
                <w:bCs w:val="false"/>
              </w:rPr>
              <w:t xml:space="preserve">367 (70%)</w:t>
            </w:r>
          </w:p>
        </w:tc>
        <w:tc>
          <w:tcPr>
            <w:tcW w:type="dxa" w:w="3100"/>
            <w:tcMar>
              <w:top w:type="dxa" w:w="60"/>
              <w:left w:type="dxa" w:w="100"/>
              <w:bottom w:type="dxa" w:w="60"/>
              <w:right w:type="dxa" w:w="100"/>
            </w:tcMar>
          </w:tcPr>
          <w:p>
            <w:pPr>
              <w:spacing w:after="40"/>
            </w:pPr>
            <w:r>
              <w:rPr>
                <w:b w:val="false"/>
                <w:bCs w:val="false"/>
              </w:rPr>
              <w:t xml:space="preserve">Novo nesta v12</w:t>
            </w:r>
          </w:p>
        </w:tc>
      </w:tr>
      <w:tr>
        <w:tc>
          <w:tcPr>
            <w:tcW w:type="dxa" w:w="1800"/>
            <w:tcMar>
              <w:top w:type="dxa" w:w="60"/>
              <w:left w:type="dxa" w:w="100"/>
              <w:bottom w:type="dxa" w:w="60"/>
              <w:right w:type="dxa" w:w="100"/>
            </w:tcMar>
          </w:tcPr>
          <w:p>
            <w:pPr>
              <w:spacing w:after="40"/>
            </w:pPr>
            <w:r>
              <w:rPr>
                <w:b w:val="false"/>
                <w:bCs w:val="false"/>
              </w:rPr>
              <w:t xml:space="preserve">2024</w:t>
            </w:r>
          </w:p>
        </w:tc>
        <w:tc>
          <w:tcPr>
            <w:tcW w:type="dxa" w:w="2600"/>
            <w:tcMar>
              <w:top w:type="dxa" w:w="60"/>
              <w:left w:type="dxa" w:w="100"/>
              <w:bottom w:type="dxa" w:w="60"/>
              <w:right w:type="dxa" w:w="100"/>
            </w:tcMar>
          </w:tcPr>
          <w:p>
            <w:pPr>
              <w:spacing w:after="40"/>
            </w:pPr>
            <w:r>
              <w:rPr>
                <w:b w:val="false"/>
                <w:bCs w:val="false"/>
              </w:rPr>
              <w:t xml:space="preserve">1.351</w:t>
            </w:r>
          </w:p>
        </w:tc>
        <w:tc>
          <w:tcPr>
            <w:tcW w:type="dxa" w:w="2600"/>
            <w:tcMar>
              <w:top w:type="dxa" w:w="60"/>
              <w:left w:type="dxa" w:w="100"/>
              <w:bottom w:type="dxa" w:w="60"/>
              <w:right w:type="dxa" w:w="100"/>
            </w:tcMar>
          </w:tcPr>
          <w:p>
            <w:pPr>
              <w:spacing w:after="40"/>
            </w:pPr>
            <w:r>
              <w:rPr>
                <w:b w:val="false"/>
                <w:bCs w:val="false"/>
              </w:rPr>
              <w:t xml:space="preserve">793 (59%)</w:t>
            </w:r>
          </w:p>
        </w:tc>
        <w:tc>
          <w:tcPr>
            <w:tcW w:type="dxa" w:w="3100"/>
            <w:tcMar>
              <w:top w:type="dxa" w:w="60"/>
              <w:left w:type="dxa" w:w="100"/>
              <w:bottom w:type="dxa" w:w="60"/>
              <w:right w:type="dxa" w:w="100"/>
            </w:tcMar>
          </w:tcPr>
          <w:p>
            <w:pPr>
              <w:spacing w:after="40"/>
            </w:pPr>
            <w:r>
              <w:rPr>
                <w:b w:val="false"/>
                <w:bCs w:val="false"/>
              </w:rPr>
              <w:t xml:space="preserve">Novo nesta v12</w:t>
            </w:r>
          </w:p>
        </w:tc>
      </w:tr>
      <w:tr>
        <w:tc>
          <w:tcPr>
            <w:tcW w:type="dxa" w:w="1800"/>
            <w:tcMar>
              <w:top w:type="dxa" w:w="60"/>
              <w:left w:type="dxa" w:w="100"/>
              <w:bottom w:type="dxa" w:w="60"/>
              <w:right w:type="dxa" w:w="100"/>
            </w:tcMar>
          </w:tcPr>
          <w:p>
            <w:pPr>
              <w:spacing w:after="40"/>
            </w:pPr>
            <w:r>
              <w:rPr>
                <w:b w:val="false"/>
                <w:bCs w:val="false"/>
              </w:rPr>
              <w:t xml:space="preserve">2025</w:t>
            </w:r>
          </w:p>
        </w:tc>
        <w:tc>
          <w:tcPr>
            <w:tcW w:type="dxa" w:w="2600"/>
            <w:tcMar>
              <w:top w:type="dxa" w:w="60"/>
              <w:left w:type="dxa" w:w="100"/>
              <w:bottom w:type="dxa" w:w="60"/>
              <w:right w:type="dxa" w:w="100"/>
            </w:tcMar>
          </w:tcPr>
          <w:p>
            <w:pPr>
              <w:spacing w:after="40"/>
            </w:pPr>
            <w:r>
              <w:rPr>
                <w:b w:val="false"/>
                <w:bCs w:val="false"/>
              </w:rPr>
              <w:t xml:space="preserve">2.725</w:t>
            </w:r>
          </w:p>
        </w:tc>
        <w:tc>
          <w:tcPr>
            <w:tcW w:type="dxa" w:w="2600"/>
            <w:tcMar>
              <w:top w:type="dxa" w:w="60"/>
              <w:left w:type="dxa" w:w="100"/>
              <w:bottom w:type="dxa" w:w="60"/>
              <w:right w:type="dxa" w:w="100"/>
            </w:tcMar>
          </w:tcPr>
          <w:p>
            <w:pPr>
              <w:spacing w:after="40"/>
            </w:pPr>
            <w:r>
              <w:rPr>
                <w:b w:val="false"/>
                <w:bCs w:val="false"/>
              </w:rPr>
              <w:t xml:space="preserve">1.512 (55%)</w:t>
            </w:r>
          </w:p>
        </w:tc>
        <w:tc>
          <w:tcPr>
            <w:tcW w:type="dxa" w:w="3100"/>
            <w:tcMar>
              <w:top w:type="dxa" w:w="60"/>
              <w:left w:type="dxa" w:w="100"/>
              <w:bottom w:type="dxa" w:w="60"/>
              <w:right w:type="dxa" w:w="100"/>
            </w:tcMar>
          </w:tcPr>
          <w:p>
            <w:pPr>
              <w:spacing w:after="40"/>
            </w:pPr>
            <w:r>
              <w:rPr>
                <w:b w:val="false"/>
                <w:bCs w:val="false"/>
              </w:rPr>
              <w:t xml:space="preserve">Novo nesta v12</w:t>
            </w:r>
          </w:p>
        </w:tc>
      </w:tr>
      <w:tr>
        <w:tc>
          <w:tcPr>
            <w:tcW w:type="dxa" w:w="1800"/>
            <w:tcMar>
              <w:top w:type="dxa" w:w="60"/>
              <w:left w:type="dxa" w:w="100"/>
              <w:bottom w:type="dxa" w:w="60"/>
              <w:right w:type="dxa" w:w="100"/>
            </w:tcMar>
          </w:tcPr>
          <w:p>
            <w:pPr>
              <w:spacing w:after="40"/>
            </w:pPr>
            <w:r>
              <w:rPr>
                <w:b w:val="false"/>
                <w:bCs w:val="false"/>
              </w:rPr>
              <w:t xml:space="preserve">2026 (parcial)</w:t>
            </w:r>
          </w:p>
        </w:tc>
        <w:tc>
          <w:tcPr>
            <w:tcW w:type="dxa" w:w="2600"/>
            <w:tcMar>
              <w:top w:type="dxa" w:w="60"/>
              <w:left w:type="dxa" w:w="100"/>
              <w:bottom w:type="dxa" w:w="60"/>
              <w:right w:type="dxa" w:w="100"/>
            </w:tcMar>
          </w:tcPr>
          <w:p>
            <w:pPr>
              <w:spacing w:after="40"/>
            </w:pPr>
            <w:r>
              <w:rPr>
                <w:b w:val="false"/>
                <w:bCs w:val="false"/>
              </w:rPr>
              <w:t xml:space="preserve">743</w:t>
            </w:r>
          </w:p>
        </w:tc>
        <w:tc>
          <w:tcPr>
            <w:tcW w:type="dxa" w:w="2600"/>
            <w:tcMar>
              <w:top w:type="dxa" w:w="60"/>
              <w:left w:type="dxa" w:w="100"/>
              <w:bottom w:type="dxa" w:w="60"/>
              <w:right w:type="dxa" w:w="100"/>
            </w:tcMar>
          </w:tcPr>
          <w:p>
            <w:pPr>
              <w:spacing w:after="40"/>
            </w:pPr>
            <w:r>
              <w:rPr>
                <w:b w:val="false"/>
                <w:bCs w:val="false"/>
              </w:rPr>
              <w:t xml:space="preserve">365 (49%)</w:t>
            </w:r>
          </w:p>
        </w:tc>
        <w:tc>
          <w:tcPr>
            <w:tcW w:type="dxa" w:w="3100"/>
            <w:tcMar>
              <w:top w:type="dxa" w:w="60"/>
              <w:left w:type="dxa" w:w="100"/>
              <w:bottom w:type="dxa" w:w="60"/>
              <w:right w:type="dxa" w:w="100"/>
            </w:tcMar>
          </w:tcPr>
          <w:p>
            <w:pPr>
              <w:spacing w:after="40"/>
            </w:pPr>
            <w:r>
              <w:rPr>
                <w:b w:val="false"/>
                <w:bCs w:val="false"/>
              </w:rPr>
              <w:t xml:space="preserve">Ano em curso, ainda não fechado</w:t>
            </w:r>
          </w:p>
        </w:tc>
      </w:tr>
    </w:tbl>
    <w:p>
      <w:pPr>
        <w:spacing w:after="140"/>
      </w:pPr>
      <w:r>
        <w:t xml:space="preserve"/>
      </w:r>
    </w:p>
    <w:p>
      <w:pPr>
        <w:spacing w:after="140"/>
      </w:pPr>
      <w:r>
        <w:t xml:space="preserve">Diferente de 2009–2011 (0% de subtipagem, achado da v11), o período 2019–2026 tem entre 49% e 71% de registros com PCR_FLUASU preenchido — uma taxa de "confirmação" (na verdade, de subtipagem) bem mais alta, mas ainda claramente incompleta, e decrescente nos anos mais recentes (o que é esperável, dado o atraso natural de processamento laboratorial das notificações mais novas). O grupo precisa decidir se os 29% a 51% de registros sem PCR_FLUASU em 2019–2026 representam casos genuinamente não confirmados (corretamente excluídos) ou casos confirmados por outro caminho não capturado neste arquivo (subestimação, como em 2009–2011) — essa é exatamente a pergunta que a ausência dos campos POS_PCRFLU/TP_FLU_PCR/POS_AN_FLU/TP_FLU_AN no arquivo consolidado impede de responder com os dados disponíveis hoje.</w:t>
      </w:r>
    </w:p>
    <w:p>
      <w:pPr>
        <w:pStyle w:val="Heading2"/>
        <w:spacing w:after="140" w:before="260"/>
      </w:pPr>
      <w:r>
        <w:t xml:space="preserve">5.2 Série Semanal Consolidada — Extensão para 2009–2026</w:t>
      </w:r>
    </w:p>
    <w:p>
      <w:pPr>
        <w:spacing w:after="140"/>
      </w:pPr>
      <w:r>
        <w:t xml:space="preserve">A Seção 5.2 da v11 cobria apenas 2012–2018. Com o arquivo consolidado (que já inclui 2019 e 2022–2026), foi possível estender a série semanal real de casos com PCR_FLUASU preenchido para todo o período disponível, exceto o hiato 2020–2021 (ausente do arquivo, como esperado):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400"/>
      </w:tblGrid>
      <w:tr>
        <w:tc>
          <w:tcPr>
            <w:tcW w:type="dxa" w:w="2400"/>
            <w:shd w:fill="D9D9D9" w:val="clear"/>
            <w:tcMar>
              <w:top w:type="dxa" w:w="60"/>
              <w:left w:type="dxa" w:w="100"/>
              <w:bottom w:type="dxa" w:w="60"/>
              <w:right w:type="dxa" w:w="100"/>
            </w:tcMar>
          </w:tcPr>
          <w:p>
            <w:pPr>
              <w:spacing w:after="40"/>
            </w:pPr>
            <w:r>
              <w:rPr>
                <w:b/>
                <w:bCs/>
              </w:rPr>
              <w:t xml:space="preserve">Período</w:t>
            </w:r>
          </w:p>
        </w:tc>
        <w:tc>
          <w:tcPr>
            <w:tcW w:type="dxa" w:w="2200"/>
            <w:shd w:fill="D9D9D9" w:val="clear"/>
            <w:tcMar>
              <w:top w:type="dxa" w:w="60"/>
              <w:left w:type="dxa" w:w="100"/>
              <w:bottom w:type="dxa" w:w="60"/>
              <w:right w:type="dxa" w:w="100"/>
            </w:tcMar>
          </w:tcPr>
          <w:p>
            <w:pPr>
              <w:spacing w:after="40"/>
            </w:pPr>
            <w:r>
              <w:rPr>
                <w:b/>
                <w:bCs/>
              </w:rPr>
              <w:t xml:space="preserve">% de semanas com zero casos</w:t>
            </w:r>
          </w:p>
        </w:tc>
        <w:tc>
          <w:tcPr>
            <w:tcW w:type="dxa" w:w="2200"/>
            <w:shd w:fill="D9D9D9" w:val="clear"/>
            <w:tcMar>
              <w:top w:type="dxa" w:w="60"/>
              <w:left w:type="dxa" w:w="100"/>
              <w:bottom w:type="dxa" w:w="60"/>
              <w:right w:type="dxa" w:w="100"/>
            </w:tcMar>
          </w:tcPr>
          <w:p>
            <w:pPr>
              <w:spacing w:after="40"/>
            </w:pPr>
            <w:r>
              <w:rPr>
                <w:b/>
                <w:bCs/>
              </w:rPr>
              <w:t xml:space="preserve">Média / mediana por semana</w:t>
            </w:r>
          </w:p>
        </w:tc>
        <w:tc>
          <w:tcPr>
            <w:tcW w:type="dxa" w:w="2400"/>
            <w:shd w:fill="D9D9D9" w:val="clear"/>
            <w:tcMar>
              <w:top w:type="dxa" w:w="60"/>
              <w:left w:type="dxa" w:w="100"/>
              <w:bottom w:type="dxa" w:w="60"/>
              <w:right w:type="dxa" w:w="100"/>
            </w:tcMar>
          </w:tcPr>
          <w:p>
            <w:pPr>
              <w:spacing w:after="40"/>
            </w:pPr>
            <w:r>
              <w:rPr>
                <w:b/>
                <w:bCs/>
              </w:rPr>
              <w:t xml:space="preserve">Máximo semanal / desvio-padrão</w:t>
            </w:r>
          </w:p>
        </w:tc>
      </w:tr>
      <w:tr>
        <w:tc>
          <w:tcPr>
            <w:tcW w:type="dxa" w:w="2400"/>
            <w:tcMar>
              <w:top w:type="dxa" w:w="60"/>
              <w:left w:type="dxa" w:w="100"/>
              <w:bottom w:type="dxa" w:w="60"/>
              <w:right w:type="dxa" w:w="100"/>
            </w:tcMar>
          </w:tcPr>
          <w:p>
            <w:pPr>
              <w:spacing w:after="40"/>
            </w:pPr>
            <w:r>
              <w:rPr>
                <w:b w:val="false"/>
                <w:bCs w:val="false"/>
              </w:rPr>
              <w:t xml:space="preserve">2009–2019 (572 semanas possíveis)</w:t>
            </w:r>
          </w:p>
        </w:tc>
        <w:tc>
          <w:tcPr>
            <w:tcW w:type="dxa" w:w="2200"/>
            <w:tcMar>
              <w:top w:type="dxa" w:w="60"/>
              <w:left w:type="dxa" w:w="100"/>
              <w:bottom w:type="dxa" w:w="60"/>
              <w:right w:type="dxa" w:w="100"/>
            </w:tcMar>
          </w:tcPr>
          <w:p>
            <w:pPr>
              <w:spacing w:after="40"/>
            </w:pPr>
            <w:r>
              <w:rPr>
                <w:b w:val="false"/>
                <w:bCs w:val="false"/>
              </w:rPr>
              <w:t xml:space="preserve">≈45,1%</w:t>
            </w:r>
          </w:p>
        </w:tc>
        <w:tc>
          <w:tcPr>
            <w:tcW w:type="dxa" w:w="2200"/>
            <w:tcMar>
              <w:top w:type="dxa" w:w="60"/>
              <w:left w:type="dxa" w:w="100"/>
              <w:bottom w:type="dxa" w:w="60"/>
              <w:right w:type="dxa" w:w="100"/>
            </w:tcMar>
          </w:tcPr>
          <w:p>
            <w:pPr>
              <w:spacing w:after="40"/>
            </w:pPr>
            <w:r>
              <w:rPr>
                <w:b w:val="false"/>
                <w:bCs w:val="false"/>
              </w:rPr>
              <w:t xml:space="preserve">12,71 / 4,0</w:t>
            </w:r>
          </w:p>
        </w:tc>
        <w:tc>
          <w:tcPr>
            <w:tcW w:type="dxa" w:w="2400"/>
            <w:tcMar>
              <w:top w:type="dxa" w:w="60"/>
              <w:left w:type="dxa" w:w="100"/>
              <w:bottom w:type="dxa" w:w="60"/>
              <w:right w:type="dxa" w:w="100"/>
            </w:tcMar>
          </w:tcPr>
          <w:p>
            <w:pPr>
              <w:spacing w:after="40"/>
            </w:pPr>
            <w:r>
              <w:rPr>
                <w:b w:val="false"/>
                <w:bCs w:val="false"/>
              </w:rPr>
              <w:t xml:space="preserve">261 / 29,88</w:t>
            </w:r>
          </w:p>
        </w:tc>
      </w:tr>
      <w:tr>
        <w:tc>
          <w:tcPr>
            <w:tcW w:type="dxa" w:w="2400"/>
            <w:tcMar>
              <w:top w:type="dxa" w:w="60"/>
              <w:left w:type="dxa" w:w="100"/>
              <w:bottom w:type="dxa" w:w="60"/>
              <w:right w:type="dxa" w:w="100"/>
            </w:tcMar>
          </w:tcPr>
          <w:p>
            <w:pPr>
              <w:spacing w:after="40"/>
            </w:pPr>
            <w:r>
              <w:rPr>
                <w:b w:val="false"/>
                <w:bCs w:val="false"/>
              </w:rPr>
              <w:t xml:space="preserve">2022–2026 (260 semanas possíveis, 2026 parcial)</w:t>
            </w:r>
          </w:p>
        </w:tc>
        <w:tc>
          <w:tcPr>
            <w:tcW w:type="dxa" w:w="2200"/>
            <w:tcMar>
              <w:top w:type="dxa" w:w="60"/>
              <w:left w:type="dxa" w:w="100"/>
              <w:bottom w:type="dxa" w:w="60"/>
              <w:right w:type="dxa" w:w="100"/>
            </w:tcMar>
          </w:tcPr>
          <w:p>
            <w:pPr>
              <w:spacing w:after="40"/>
            </w:pPr>
            <w:r>
              <w:rPr>
                <w:b w:val="false"/>
                <w:bCs w:val="false"/>
              </w:rPr>
              <w:t xml:space="preserve">≈20,0%</w:t>
            </w:r>
          </w:p>
        </w:tc>
        <w:tc>
          <w:tcPr>
            <w:tcW w:type="dxa" w:w="2200"/>
            <w:tcMar>
              <w:top w:type="dxa" w:w="60"/>
              <w:left w:type="dxa" w:w="100"/>
              <w:bottom w:type="dxa" w:w="60"/>
              <w:right w:type="dxa" w:w="100"/>
            </w:tcMar>
          </w:tcPr>
          <w:p>
            <w:pPr>
              <w:spacing w:after="40"/>
            </w:pPr>
            <w:r>
              <w:rPr>
                <w:b w:val="false"/>
                <w:bCs w:val="false"/>
              </w:rPr>
              <w:t xml:space="preserve">16,42 / 9,0</w:t>
            </w:r>
          </w:p>
        </w:tc>
        <w:tc>
          <w:tcPr>
            <w:tcW w:type="dxa" w:w="2400"/>
            <w:tcMar>
              <w:top w:type="dxa" w:w="60"/>
              <w:left w:type="dxa" w:w="100"/>
              <w:bottom w:type="dxa" w:w="60"/>
              <w:right w:type="dxa" w:w="100"/>
            </w:tcMar>
          </w:tcPr>
          <w:p>
            <w:pPr>
              <w:spacing w:after="40"/>
            </w:pPr>
            <w:r>
              <w:rPr>
                <w:b w:val="false"/>
                <w:bCs w:val="false"/>
              </w:rPr>
              <w:t xml:space="preserve">126 / 20,38</w:t>
            </w:r>
          </w:p>
        </w:tc>
      </w:tr>
    </w:tbl>
    <w:p>
      <w:pPr>
        <w:spacing w:after="140"/>
      </w:pPr>
      <w:r>
        <w:t xml:space="preserve"/>
      </w:r>
    </w:p>
    <w:p>
      <w:pPr>
        <w:spacing w:after="140"/>
      </w:pPr>
      <w:r>
        <w:t xml:space="preserve">O padrão de sobredispersão identificado na v11 para 2013–2018 (variância muito maior que a média) se confirma e se mantém em 2022–2026: a série pós-hiato tem uma mediana mais alta (9,0 casos/semana, contra 4,0 em 2009–2019) e um máximo semanal ainda expressivo (126), mas proporcionalmente menos disperso que o pico histórico de 2016 (261 casos numa única semana). A recomendação já registrada na v11 — usar binomial negativa, não Poisson, como comparador de contagem, caso o grupo opte por incluir um — permanece válida e agora com base em dois períodos verificados, não apenas um.</w:t>
      </w:r>
    </w:p>
    <w:p>
      <w:pPr>
        <w:spacing w:after="140"/>
      </w:pPr>
      <w:r>
        <w:rPr>
          <w:b/>
          <w:bCs/>
        </w:rPr>
        <w:t xml:space="preserve">Ressalva metodológica: </w:t>
      </w:r>
      <w:r>
        <w:t xml:space="preserve">os números desta seção usam a mesma definição de "confirmado" (PCR_FLUASU preenchido) discutida na Evidência de Dados 6/7 — ou seja, são um piso, não a contagem final validada pelos critérios da Tabela 1 do TC2. Qualquer gráfico real × previsto construído a partir desta série precisa carregar essa mesma ressalva.</w:t>
      </w:r>
    </w:p>
    <w:p>
      <w:pPr>
        <w:pStyle w:val="Heading1"/>
        <w:spacing w:after="160" w:before="320"/>
      </w:pPr>
      <w:r>
        <w:t xml:space="preserve">6. Estratégia de Modelagem Preditiva</w:t>
      </w:r>
    </w:p>
    <w:p>
      <w:pPr>
        <w:spacing w:after="140"/>
      </w:pPr>
      <w:r>
        <w:t xml:space="preserve">Sem mudança de conteúdo desde a v11: Random Forest é o modelo principal (decisão fechada pelo grupo), comparado contra baseline, SARIMA e Prophet sob o mesmo protocolo de validação. LSTM/RNN seguem registrados como trabalho futuro. MMAING (Borges et al., 2025) segue como referência bibliográfica de detecção precoce de surto, não de previsão numérica — não adotado como modelo central.</w:t>
      </w:r>
    </w:p>
    <w:p>
      <w:pPr>
        <w:spacing w:after="140"/>
      </w:pPr>
      <w:r>
        <w:rPr>
          <w:b/>
          <w:bCs/>
        </w:rPr>
        <w:t xml:space="preserve">Status no TC2: </w:t>
      </w:r>
      <w:r>
        <w:t xml:space="preserve">sem mudança desde a v10 — RF002/RF004 (campos "Ação") seguem descrevendo Random Forest sem ambiguidade; os campos "Observações" de RF002 e RF004 continuam descrevendo o MMAING em detalhe e de forma favorável, sem a frase de contraste ("MMAING é modelo de detecção precoce de surto, não de previsão numérica de incidência, por isso não adotado como modelo central") que este documento já tem pronta desde a v10. Mesma pendência, sem alteração.</w:t>
      </w:r>
    </w:p>
    <w:p>
      <w:pPr>
        <w:pStyle w:val="Heading2"/>
        <w:spacing w:after="140" w:before="260"/>
      </w:pPr>
      <w:r>
        <w:t xml:space="preserve">6.1 Adequação do Modelo a Dados de Contagem Esparsa</w:t>
      </w:r>
    </w:p>
    <w:p>
      <w:pPr>
        <w:spacing w:after="140"/>
      </w:pPr>
      <w:r>
        <w:t xml:space="preserve">A preocupação teórica original, já substituída por evidência real na v11 para 2013–2018, agora conta com uma segunda camada de evidência: a planilha exploratória do grupo mostra que a esparsidade não é um problema exclusivo da série municipal isolada, mas um padrão dominante em quase toda a Região Metropolitana de São Paulo — 34 dos 39 municípios da RMSP são "muito esparsos" (≥75% de semanas zeradas), e o próprio município de São Paulo é a única exceção relevante da região (Evidência de Dados 9). Isso reforça, com uma escala de comparação mais ampla, a correção da decisão já tomada de manter a modelagem no nível municipal — fragmentar por bairro ou por unidade de notificação tenderia a reproduzir, dentro da própria capital, o mesmo padrão de esparsidade já visível nos municípios vizinhos menores.</w:t>
      </w:r>
    </w:p>
    <w:p>
      <w:pPr>
        <w:pStyle w:val="Heading1"/>
        <w:spacing w:after="160" w:before="320"/>
      </w:pPr>
      <w:r>
        <w:t xml:space="preserve">7. Protocolo de Validação e Métricas</w:t>
      </w:r>
    </w:p>
    <w:p>
      <w:pPr>
        <w:spacing w:after="140"/>
      </w:pPr>
      <w:r>
        <w:t xml:space="preserve">Sem mudança de conteúdo desde a v11: validação cronológica por janela deslizante (walk-forward), nunca aleatória; MAE e RMSE como métricas principais, MAPE com ressalva documentada em semanas de zero casos; acerto direcional como critério complementar; teste de Diebold-Mariano (ou Wilcoxon como alternativa não paramétrica) para significância estatística.</w:t>
      </w:r>
    </w:p>
    <w:p>
      <w:pPr>
        <w:spacing w:after="140"/>
      </w:pPr>
      <w:r>
        <w:rPr>
          <w:b/>
          <w:bCs/>
        </w:rPr>
        <w:t xml:space="preserve">Status no TC2: </w:t>
      </w:r>
      <w:r>
        <w:t xml:space="preserve">sem mudança desde a v10 — a Seção 4.7.5 (Validação do modelo preditivo) e a Seção 4.6.6 (Desenvolvimento dos modelos preditivos) seguem descrevendo apenas uma divisão simples treino/teste com MAE/RMSE/MAPE, sem baseline, SARIMA, Prophet, walk-forward, acerto direcional ou teste de significância — apesar de todos esses elementos já constarem na Hipótese (4.2) e nas Delimitações (4.3) do mesmo documento. Pendência idêntica à Evidência G (v10), ainda não resolvida.</w:t>
      </w:r>
    </w:p>
    <w:p>
      <w:pPr>
        <w:pStyle w:val="Heading1"/>
        <w:spacing w:after="160" w:before="320"/>
      </w:pPr>
      <w:r>
        <w:t xml:space="preserve">8. Arquitetura do Sistema</w:t>
      </w:r>
    </w:p>
    <w:p>
      <w:pPr>
        <w:spacing w:after="140"/>
      </w:pPr>
      <w:r>
        <w:t xml:space="preserve">Frontend (Next.js), Backend/API REST (FastAPI), banco de dados (PostgreSQL), modelo preditivo (Random Forest, serializado via Joblib), pipeline de dados (Pandas/NumPy) e infraestrutura em nuvem (AWS: EC2, RDS, S3) — descrição de alto nível sem mudança desde a v9.</w:t>
      </w:r>
    </w:p>
    <w:p>
      <w:pPr>
        <w:spacing w:after="140"/>
      </w:pPr>
      <w:r>
        <w:rPr>
          <w:b/>
          <w:bCs/>
        </w:rPr>
        <w:t xml:space="preserve">Status no TC2: </w:t>
      </w:r>
      <w:r>
        <w:t xml:space="preserve">esta descrição de alto nível está bem representada em 4.9.1, 4.9.2, 4.9.5. O esquema de banco de dados (4.9.3) continua incluindo bairro, regiao e bairro_predicao exatamente como antes — a decisão de NM_UN_INTE anunciada na Introdução ainda não chegou a este capítulo (ver Evidência J). Novo pendente nesta v12: a tabela registro_epidemiologico (4.9.3.6) tem uma FK id_bairro, mas nenhuma tabela para NM_UN_INTE/unidade de notificação — o esquema relacional inteiro precisa de uma tabela nova (ex.: unidade_notificacao) para sustentar tecnicamente a decisão já anunciada na Introdução.</w:t>
      </w:r>
    </w:p>
    <w:p>
      <w:pPr>
        <w:pStyle w:val="Heading2"/>
        <w:spacing w:after="140" w:before="260"/>
      </w:pPr>
      <w:r>
        <w:t xml:space="preserve">8.1 Atributos de Qualidade do Sistema (ISO/IEC 25010:2023)</w:t>
      </w:r>
    </w:p>
    <w:p>
      <w:pPr>
        <w:spacing w:after="140"/>
      </w:pPr>
      <w:r>
        <w:t xml:space="preserve">Sem mudança desde a v8 — o detalhamento completo por subcaracterística está no Anexo — Qualidade de Software, Dados e IA (v3), Seção 2. Ver v11 para a tabela condensada.</w:t>
      </w:r>
    </w:p>
    <w:p>
      <w:pPr>
        <w:pStyle w:val="Heading2"/>
        <w:spacing w:after="140" w:before="260"/>
      </w:pPr>
      <w:r>
        <w:t xml:space="preserve">8.2 Itens Ainda Pendentes de Detalhamento</w:t>
      </w:r>
    </w:p>
    <w:p>
      <w:pPr>
        <w:spacing w:after="140"/>
      </w:pPr>
      <w:r>
        <w:t xml:space="preserve">Sem mudança de status desde a v9: CI/CD, estratégia de cache, versionamento formal do modelo, estimativa de custos AWS e ferramenta de monitoramento seguem sem decisão concreta. Confirmado por leitura de 4.9.2.4 (Validação e monitoramento) do TC2, que trata apenas de testes durante o desenvolvimento (Pytest, Postman/Insomnia), não de monitoramento em produção.</w:t>
      </w:r>
    </w:p>
    <w:p>
      <w:pPr>
        <w:pStyle w:val="Heading1"/>
        <w:spacing w:after="160" w:before="320"/>
      </w:pPr>
      <w:r>
        <w:t xml:space="preserve">9. Cuidados de Qualidade de Dados a Documentar</w:t>
      </w:r>
    </w:p>
    <w:p>
      <w:pPr>
        <w:spacing w:after="140"/>
      </w:pPr>
      <w:r>
        <w:t xml:space="preserve">Fundamentado na ISO/IEC 25012:2008 (ver Anexo, Seção 3, para o detalhamento completo por característica). O quadro abaixo atualiza os cuidados já registrados, incorporando os achados desta v12.</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600"/>
        <w:gridCol w:w="7700"/>
      </w:tblGrid>
      <w:tr>
        <w:tc>
          <w:tcPr>
            <w:tcW w:type="dxa" w:w="2600"/>
            <w:shd w:fill="D9D9D9" w:val="clear"/>
            <w:tcMar>
              <w:top w:type="dxa" w:w="60"/>
              <w:left w:type="dxa" w:w="100"/>
              <w:bottom w:type="dxa" w:w="60"/>
              <w:right w:type="dxa" w:w="100"/>
            </w:tcMar>
          </w:tcPr>
          <w:p>
            <w:pPr>
              <w:spacing w:after="40"/>
            </w:pPr>
            <w:r>
              <w:rPr>
                <w:b/>
                <w:bCs/>
              </w:rPr>
              <w:t xml:space="preserve">Característica ISO/IEC 25012</w:t>
            </w:r>
          </w:p>
        </w:tc>
        <w:tc>
          <w:tcPr>
            <w:tcW w:type="dxa" w:w="7700"/>
            <w:shd w:fill="D9D9D9" w:val="clear"/>
            <w:tcMar>
              <w:top w:type="dxa" w:w="60"/>
              <w:left w:type="dxa" w:w="100"/>
              <w:bottom w:type="dxa" w:w="60"/>
              <w:right w:type="dxa" w:w="100"/>
            </w:tcMar>
          </w:tcPr>
          <w:p>
            <w:pPr>
              <w:spacing w:after="40"/>
            </w:pPr>
            <w:r>
              <w:rPr>
                <w:b/>
                <w:bCs/>
              </w:rPr>
              <w:t xml:space="preserve">Cuidado já registrado / achado novo (v12)</w:t>
            </w:r>
          </w:p>
        </w:tc>
      </w:tr>
      <w:tr>
        <w:tc>
          <w:tcPr>
            <w:tcW w:type="dxa" w:w="2600"/>
            <w:tcMar>
              <w:top w:type="dxa" w:w="60"/>
              <w:left w:type="dxa" w:w="100"/>
              <w:bottom w:type="dxa" w:w="60"/>
              <w:right w:type="dxa" w:w="100"/>
            </w:tcMar>
          </w:tcPr>
          <w:p>
            <w:pPr>
              <w:spacing w:after="40"/>
            </w:pPr>
            <w:r>
              <w:rPr>
                <w:b w:val="false"/>
                <w:bCs w:val="false"/>
              </w:rPr>
              <w:t xml:space="preserve">Exatidão</w:t>
            </w:r>
          </w:p>
        </w:tc>
        <w:tc>
          <w:tcPr>
            <w:tcW w:type="dxa" w:w="7700"/>
            <w:tcMar>
              <w:top w:type="dxa" w:w="60"/>
              <w:left w:type="dxa" w:w="100"/>
              <w:bottom w:type="dxa" w:w="60"/>
              <w:right w:type="dxa" w:w="100"/>
            </w:tcMar>
          </w:tcPr>
          <w:p>
            <w:pPr>
              <w:spacing w:after="40"/>
            </w:pPr>
            <w:r>
              <w:rPr>
                <w:b w:val="false"/>
                <w:bCs w:val="false"/>
              </w:rPr>
              <w:t xml:space="preserve">Novo, crítico (v12): a Tabela 1 do TC2 documenta um critério de confirmação (CLASSI_FIN + PCR_RESUL + POS_PCRFLU/TP_FLU_PCR ou POS_AN_FLU/TP_FLU_AN) que não pode ter sido aplicado na construção do arquivo consolidado real — nenhum desses campos está presente nele (Evidência de Dados 6). A exatidão do critério documentado não pôde ser verificada nos dados de fato disponíveis, em nenhum ano da série, não apenas em 2009–2012 como se pensava na v11.</w:t>
            </w:r>
          </w:p>
        </w:tc>
      </w:tr>
      <w:tr>
        <w:tc>
          <w:tcPr>
            <w:tcW w:type="dxa" w:w="2600"/>
            <w:tcMar>
              <w:top w:type="dxa" w:w="60"/>
              <w:left w:type="dxa" w:w="100"/>
              <w:bottom w:type="dxa" w:w="60"/>
              <w:right w:type="dxa" w:w="100"/>
            </w:tcMar>
          </w:tcPr>
          <w:p>
            <w:pPr>
              <w:spacing w:after="40"/>
            </w:pPr>
            <w:r>
              <w:rPr>
                <w:b w:val="false"/>
                <w:bCs w:val="false"/>
              </w:rPr>
              <w:t xml:space="preserve">Consistência</w:t>
            </w:r>
          </w:p>
        </w:tc>
        <w:tc>
          <w:tcPr>
            <w:tcW w:type="dxa" w:w="7700"/>
            <w:tcMar>
              <w:top w:type="dxa" w:w="60"/>
              <w:left w:type="dxa" w:w="100"/>
              <w:bottom w:type="dxa" w:w="60"/>
              <w:right w:type="dxa" w:w="100"/>
            </w:tcMar>
          </w:tcPr>
          <w:p>
            <w:pPr>
              <w:spacing w:after="40"/>
            </w:pPr>
            <w:r>
              <w:rPr>
                <w:b w:val="false"/>
                <w:bCs w:val="false"/>
              </w:rPr>
              <w:t xml:space="preserve">Novo (v12): o código de subtipo antigo ("5"/H3N2v, esquema de 6 categorias) aparece em 483 registros de 2019–2026 — período em que a codificação moderna de 4 categorias já deveria estar em uso, segundo a própria Tabela 1 do TC2. A inconsistência de codificação, antes vista como um problema apenas do período SINAN legado, atravessa toda a série.</w:t>
            </w:r>
          </w:p>
        </w:tc>
      </w:tr>
      <w:tr>
        <w:tc>
          <w:tcPr>
            <w:tcW w:type="dxa" w:w="2600"/>
            <w:tcMar>
              <w:top w:type="dxa" w:w="60"/>
              <w:left w:type="dxa" w:w="100"/>
              <w:bottom w:type="dxa" w:w="60"/>
              <w:right w:type="dxa" w:w="100"/>
            </w:tcMar>
          </w:tcPr>
          <w:p>
            <w:pPr>
              <w:spacing w:after="40"/>
            </w:pPr>
            <w:r>
              <w:rPr>
                <w:b w:val="false"/>
                <w:bCs w:val="false"/>
              </w:rPr>
              <w:t xml:space="preserve">Completude</w:t>
            </w:r>
          </w:p>
        </w:tc>
        <w:tc>
          <w:tcPr>
            <w:tcW w:type="dxa" w:w="7700"/>
            <w:tcMar>
              <w:top w:type="dxa" w:w="60"/>
              <w:left w:type="dxa" w:w="100"/>
              <w:bottom w:type="dxa" w:w="60"/>
              <w:right w:type="dxa" w:w="100"/>
            </w:tcMar>
          </w:tcPr>
          <w:p>
            <w:pPr>
              <w:spacing w:after="40"/>
            </w:pPr>
            <w:r>
              <w:rPr>
                <w:b w:val="false"/>
                <w:bCs w:val="false"/>
              </w:rPr>
              <w:t xml:space="preserve">Mantido da v11 (2009–2012, subestimação por ausência do campo de confirmação binária) + achado novo: 29% a 51% dos registros de 2019–2026 também não têm PCR_FLUASU preenchido, uma taxa de "não subtipagem" que decresce ano a ano — consistente com atraso de processamento laboratorial, mas ainda não quantificado como tal no TC2.</w:t>
            </w:r>
          </w:p>
        </w:tc>
      </w:tr>
      <w:tr>
        <w:tc>
          <w:tcPr>
            <w:tcW w:type="dxa" w:w="2600"/>
            <w:tcMar>
              <w:top w:type="dxa" w:w="60"/>
              <w:left w:type="dxa" w:w="100"/>
              <w:bottom w:type="dxa" w:w="60"/>
              <w:right w:type="dxa" w:w="100"/>
            </w:tcMar>
          </w:tcPr>
          <w:p>
            <w:pPr>
              <w:spacing w:after="40"/>
            </w:pPr>
            <w:r>
              <w:rPr>
                <w:b w:val="false"/>
                <w:bCs w:val="false"/>
              </w:rPr>
              <w:t xml:space="preserve">Rastreabilidade</w:t>
            </w:r>
          </w:p>
        </w:tc>
        <w:tc>
          <w:tcPr>
            <w:tcW w:type="dxa" w:w="7700"/>
            <w:tcMar>
              <w:top w:type="dxa" w:w="60"/>
              <w:left w:type="dxa" w:w="100"/>
              <w:bottom w:type="dxa" w:w="60"/>
              <w:right w:type="dxa" w:w="100"/>
            </w:tcMar>
          </w:tcPr>
          <w:p>
            <w:pPr>
              <w:spacing w:after="40"/>
            </w:pPr>
            <w:r>
              <w:rPr>
                <w:b w:val="false"/>
                <w:bCs w:val="false"/>
              </w:rPr>
              <w:t xml:space="preserve">Novo (v12): a planilha exploratória do grupo documenta 4.218 registros com divergência entre SEM_PRI original e a semana derivada de DT_SIN_PRI (99,5% deles em 2026). A decisão de usar a semana derivada da data, preservando o campo original, é boa prática — mas precisa ser declarada no corpo do TC2, não apenas na planilha de apoio.</w:t>
            </w:r>
          </w:p>
        </w:tc>
      </w:tr>
      <w:tr>
        <w:tc>
          <w:tcPr>
            <w:tcW w:type="dxa" w:w="2600"/>
            <w:tcMar>
              <w:top w:type="dxa" w:w="60"/>
              <w:left w:type="dxa" w:w="100"/>
              <w:bottom w:type="dxa" w:w="60"/>
              <w:right w:type="dxa" w:w="100"/>
            </w:tcMar>
          </w:tcPr>
          <w:p>
            <w:pPr>
              <w:spacing w:after="40"/>
            </w:pPr>
            <w:r>
              <w:rPr>
                <w:b w:val="false"/>
                <w:bCs w:val="false"/>
              </w:rPr>
              <w:t xml:space="preserve">Credibilidade / Atualidade</w:t>
            </w:r>
          </w:p>
        </w:tc>
        <w:tc>
          <w:tcPr>
            <w:tcW w:type="dxa" w:w="7700"/>
            <w:tcMar>
              <w:top w:type="dxa" w:w="60"/>
              <w:left w:type="dxa" w:w="100"/>
              <w:bottom w:type="dxa" w:w="60"/>
              <w:right w:type="dxa" w:w="100"/>
            </w:tcMar>
          </w:tcPr>
          <w:p>
            <w:pPr>
              <w:spacing w:after="40"/>
            </w:pPr>
            <w:r>
              <w:rPr>
                <w:b w:val="false"/>
                <w:bCs w:val="false"/>
              </w:rPr>
              <w:t xml:space="preserve">Sem mudança desde a v9/v10: dados de 2025 em diante sujeitos a reclassificação retroativa; TC2 já opera a regra de excluir as oito semanas mais recentes do treinamento.</w:t>
            </w:r>
          </w:p>
        </w:tc>
      </w:tr>
      <w:tr>
        <w:tc>
          <w:tcPr>
            <w:tcW w:type="dxa" w:w="2600"/>
            <w:tcMar>
              <w:top w:type="dxa" w:w="60"/>
              <w:left w:type="dxa" w:w="100"/>
              <w:bottom w:type="dxa" w:w="60"/>
              <w:right w:type="dxa" w:w="100"/>
            </w:tcMar>
          </w:tcPr>
          <w:p>
            <w:pPr>
              <w:spacing w:after="40"/>
            </w:pPr>
            <w:r>
              <w:rPr>
                <w:b w:val="false"/>
                <w:bCs w:val="false"/>
              </w:rPr>
              <w:t xml:space="preserve">Confidencialidade</w:t>
            </w:r>
          </w:p>
        </w:tc>
        <w:tc>
          <w:tcPr>
            <w:tcW w:type="dxa" w:w="7700"/>
            <w:tcMar>
              <w:top w:type="dxa" w:w="60"/>
              <w:left w:type="dxa" w:w="100"/>
              <w:bottom w:type="dxa" w:w="60"/>
              <w:right w:type="dxa" w:w="100"/>
            </w:tcMar>
          </w:tcPr>
          <w:p>
            <w:pPr>
              <w:spacing w:after="40"/>
            </w:pPr>
            <w:r>
              <w:rPr>
                <w:b w:val="false"/>
                <w:bCs w:val="false"/>
              </w:rPr>
              <w:t xml:space="preserve">Reforçado pela Introdução do TC2, que agora liga explicitamente a ausência de bairro à LGPD. Nova tensão a discutir (v12): NM_UN_INTE identifica a unidade de saúde que notificou o caso — uma granularidade que, embora não seja um dado pessoal, é potencialmente mais identificável territorialmente do que um bairro (hospitais têm endereço único e conhecido publicamente), o que merece uma linha própria na discussão de minimização de dados.</w:t>
            </w:r>
          </w:p>
        </w:tc>
      </w:tr>
    </w:tbl>
    <w:p>
      <w:pPr>
        <w:pStyle w:val="Heading1"/>
        <w:spacing w:after="160" w:before="320"/>
      </w:pPr>
      <w:r>
        <w:t xml:space="preserve">10. Perguntas Antecipadas de Banca/Orientação</w:t>
      </w:r>
    </w:p>
    <w:p>
      <w:pPr>
        <w:pStyle w:val="Heading2"/>
        <w:spacing w:after="140" w:before="260"/>
      </w:pPr>
      <w:r>
        <w:t xml:space="preserve">10.1 a 10.4 — sem mudança</w:t>
      </w:r>
    </w:p>
    <w:p>
      <w:pPr>
        <w:spacing w:after="140"/>
      </w:pPr>
      <w:r>
        <w:t xml:space="preserve">As respostas às perguntas já registradas na v11 (casos em andamento, atualização diária a partir de 2025, viabilidade técnica do filtro por bairro e zero casos em 2009–2011) permanecem válidas sem alteração de conteúdo — apenas a 10.3 ganha um desdobramento novo, abaixo.</w:t>
      </w:r>
    </w:p>
    <w:p>
      <w:pPr>
        <w:pStyle w:val="Heading2"/>
        <w:spacing w:after="140" w:before="260"/>
      </w:pPr>
      <w:r>
        <w:t xml:space="preserve">10.5 Por que a Introdução fala em NM_UN_INTE, mas o restante do trabalho ainda descreve bairro/região? (novo, v12)</w:t>
      </w:r>
    </w:p>
    <w:p>
      <w:pPr>
        <w:spacing w:after="140"/>
      </w:pPr>
      <w:r>
        <w:t xml:space="preserve">Esta pergunta é uma decorrência natural da Evidência J: a banca, ao ler o TC2 do início ao fim, provavelmente notará que a Introdução anuncia uma decisão (NM_UN_INTE) que os Requisitos Funcionais, as Etapas do Projeto, a Documentação da Arquitetura e o próprio DER continuam contradizendo. A resposta honesta, hoje, é que a correção foi feita apenas no capítulo mais recentemente revisado (a Introdução) e ainda não propagada — o que é uma explicação aceitável se dita antes da pergunta ser feita, e um problema de credibilidade se a banca precisar apontá-la primeiro. Recomenda-se fortemente que a propagação (Evidência J) seja concluída antes da entrega, não apenas explicada verbalmente na defesa.</w:t>
      </w:r>
    </w:p>
    <w:p>
      <w:pPr>
        <w:pStyle w:val="Heading2"/>
        <w:spacing w:after="140" w:before="260"/>
      </w:pPr>
      <w:r>
        <w:t xml:space="preserve">10.6 Por que os campos de confirmação documentados na Tabela 1 não aparecem no arquivo de dados usado nas análises? (novo, v12)</w:t>
      </w:r>
    </w:p>
    <w:p>
      <w:pPr>
        <w:spacing w:after="140"/>
      </w:pPr>
      <w:r>
        <w:t xml:space="preserve">Decorre diretamente da Evidência de Dados 6. A resposta preparada, mas que depende de ação do grupo antes da defesa: o arquivo consolidado foi construído com um critério de subtipagem (PCR_FLUASU preenchido) mais simples do que o critério de confirmação completo documentado na Tabela 1 (CLASSI_FIN, PCR_RESUL, POS_PCRFLU/TP_FLU_PCR, POS_AN_FLU/TP_FLU_AN). Isso não invalida o trabalho já feito, mas significa que, por ora, os números de "casos confirmados" apresentados no TC2 são, tecnicamente, números de "casos subtipados" — um piso, não o valor final. Esta resposta só fica robusta se o grupo re-extrair os dados com os campos corretos antes da defesa, ou se decidir formalmente e registrar por escrito que o critério de subtipagem será o critério final do projeto, com a ressalva correspondente.</w:t>
      </w:r>
    </w:p>
    <w:p>
      <w:pPr>
        <w:pStyle w:val="Heading1"/>
        <w:spacing w:after="160" w:before="320"/>
      </w:pPr>
      <w:r>
        <w:t xml:space="preserve">11. Considerações Éticas, de Privacidade e Proteção de Dados (LGPD)</w:t>
      </w:r>
    </w:p>
    <w:p>
      <w:pPr>
        <w:spacing w:after="140"/>
      </w:pPr>
      <w:r>
        <w:t xml:space="preserve">Mantidos os pontos já registrados desde a v9/v10/v11: anonimização e agregação por semana/localidade; limites da inferência epidemiológica; viés de seleção (SRAG capta apenas casos graves/hospitalizados); uso responsável e não discriminatório; transparência metodológica via versionamento público do código.</w:t>
      </w:r>
    </w:p>
    <w:p>
      <w:pPr>
        <w:spacing w:after="140"/>
      </w:pPr>
      <w:r>
        <w:rPr>
          <w:b/>
          <w:bCs/>
        </w:rPr>
        <w:t xml:space="preserve">Atualização (v12): </w:t>
      </w:r>
      <w:r>
        <w:t xml:space="preserve">a Introdução do TC2 já liga explicitamente a ausência de bairro à LGPD (Lei nº 13.709/2018), um avanço real em relação à v11, quando essa ligação só existia neste documento de apoio. Fica pendente, porém, discutir a nova tensão introduzida pela própria decisão de NM_UN_INTE: usar o nome da unidade de saúde notificadora como filtro de consulta é, por um lado, uma alternativa tecnicamente correta ao bairro (não exige inferência geográfica adicional, é um campo real da base), mas por outro lado é uma granularidade territorialmente mais específica do que um bairro genérico — um hospital tem endereço único e publicamente conhecido, o que pode, em tese, permitir alguma inferência sobre a região de origem dos pacientes atendidos por ele, especialmente em unidades menores ou mais isoladas geograficamente. Recomenda-se que a subseção de Considerações Éticas ainda pendente (ver Status abaixo) inclua uma frase específica sobre esse ponto, mesmo que a conclusão seja de que o risco é baixo e aceitável para um protótipo acadêmico.</w:t>
      </w:r>
    </w:p>
    <w:p>
      <w:pPr>
        <w:spacing w:after="140"/>
      </w:pPr>
      <w:r>
        <w:rPr>
          <w:b/>
          <w:bCs/>
        </w:rPr>
        <w:t xml:space="preserve">Status no TC2: </w:t>
      </w:r>
      <w:r>
        <w:t xml:space="preserve">ainda sem subseção própria de Considerações Éticas na Metodologia — sem mudança estrutural desde a v9. A Seção 3.3 (DataSUS) segue com a menção breve a anonimização/LGPD, agora reforçada pela Introdução.</w:t>
      </w:r>
    </w:p>
    <w:p>
      <w:pPr>
        <w:pStyle w:val="Heading1"/>
        <w:spacing w:after="160" w:before="320"/>
      </w:pPr>
      <w:r>
        <w:t xml:space="preserve">12. Próximos Passos Técnicos Imediatos</w:t>
      </w:r>
    </w:p>
    <w:p>
      <w:pPr>
        <w:spacing w:after="140"/>
      </w:pPr>
      <w:r>
        <w:t xml:space="preserve">Lista reescrita para refletir o estado do TC2 e os achados desta v12, em ordem aproximada de prioridade.</w:t>
      </w:r>
    </w:p>
    <w:p>
      <w:pPr>
        <w:pStyle w:val="Heading3"/>
        <w:spacing w:after="100" w:before="200"/>
      </w:pPr>
      <w:r>
        <w:t xml:space="preserve">Prioridade crítica — decisões que afetam a validade dos números já apresentados</w:t>
      </w:r>
    </w:p>
    <w:p>
      <w:pPr>
        <w:pStyle w:val="ListParagraph"/>
        <w:numPr>
          <w:ilvl w:val="0"/>
          <w:numId w:val="1"/>
        </w:numPr>
        <w:spacing w:after="80"/>
      </w:pPr>
      <w:r>
        <w:t xml:space="preserve">Esclarecer, com quem preparou o arquivo consolidado, se os campos CLASSI_FIN/PCR_RESUL/POS_PCRFLU/TP_FLU_PCR/POS_AN_FLU/TP_FLU_AN existem em alguma extração anterior e simplesmente não foram incluídos no CSV final, ou se a extração nunca os capturou — e, a partir disso, decidir entre re-extrair com esses campos ou formalizar o critério de subtipo (PCR_FLUASU) como critério definitivo, com a ressalva correspondente registrada no texto (Evidência de Dados 6, Seção 5).</w:t>
      </w:r>
    </w:p>
    <w:p>
      <w:pPr>
        <w:pStyle w:val="ListParagraph"/>
        <w:numPr>
          <w:ilvl w:val="0"/>
          <w:numId w:val="1"/>
        </w:numPr>
        <w:spacing w:after="80"/>
      </w:pPr>
      <w:r>
        <w:t xml:space="preserve">Investigar por que o código de subtipo antigo ("5"/H3N2v, esquema de 6 categorias) aparece em quase 500 registros de 2019–2026, quando a Tabela 1 do TC2 documenta a codificação moderna de 4 categorias como vigente para esse período — confirmar se há dois processos de extração diferentes rodando em paralelo (Evidência de Dados 7).</w:t>
      </w:r>
    </w:p>
    <w:p>
      <w:pPr>
        <w:pStyle w:val="ListParagraph"/>
        <w:numPr>
          <w:ilvl w:val="0"/>
          <w:numId w:val="1"/>
        </w:numPr>
        <w:spacing w:after="80"/>
      </w:pPr>
      <w:r>
        <w:t xml:space="preserve">Repetir, para 2009–2012, a recomendação já registrada na v11: re-extrair incluindo o campo RES_FLUA (confirmação binária), sem o qual os números de 2009–2011 (zero casos) não devem ser apresentados como achado epidemiológico.</w:t>
      </w:r>
    </w:p>
    <w:p>
      <w:pPr>
        <w:pStyle w:val="ListParagraph"/>
        <w:numPr>
          <w:ilvl w:val="0"/>
          <w:numId w:val="1"/>
        </w:numPr>
        <w:spacing w:after="80"/>
      </w:pPr>
      <w:r>
        <w:t xml:space="preserve">Sinalizar, na planilha exploratória e em qualquer número dela citado no TC2, a diferença entre "registros no arquivo" (todos os anos) e "registros confirmados/subtipados" — hoje a planilha soma os dois sem distinção (Evidência de Dados 8).</w:t>
      </w:r>
    </w:p>
    <w:p>
      <w:pPr>
        <w:pStyle w:val="Heading3"/>
        <w:spacing w:after="100" w:before="200"/>
      </w:pPr>
      <w:r>
        <w:t xml:space="preserve">Prioridade alta — propagação da decisão de NM_UN_INTE, herdada da Introdução</w:t>
      </w:r>
    </w:p>
    <w:p>
      <w:pPr>
        <w:pStyle w:val="ListParagraph"/>
        <w:numPr>
          <w:ilvl w:val="0"/>
          <w:numId w:val="1"/>
        </w:numPr>
        <w:spacing w:after="80"/>
      </w:pPr>
      <w:r>
        <w:t xml:space="preserve">Atualizar RF001, RF002 e RF004 para substituir "bairro"/"região" por NM_UN_INTE nos campos de Entradas, mantendo explícito que a modelagem preditiva (RF002/RF004) segue municipal.</w:t>
      </w:r>
    </w:p>
    <w:p>
      <w:pPr>
        <w:pStyle w:val="ListParagraph"/>
        <w:numPr>
          <w:ilvl w:val="0"/>
          <w:numId w:val="1"/>
        </w:numPr>
        <w:spacing w:after="80"/>
      </w:pPr>
      <w:r>
        <w:t xml:space="preserve">Atualizar as Seções 4.6.2 a 4.6.5 (Etapas do Projeto), 4.9.1.2 e 4.9.2.2 (Documentação Técnica da Arquitetura) para refletir a mesma troca — com atenção especial à promessa de "mapa de calor por bairro" em 4.6.5, hoje tecnicamente inviável e que precisa ser removida ou reformulada para NM_UN_INTE.</w:t>
      </w:r>
    </w:p>
    <w:p>
      <w:pPr>
        <w:pStyle w:val="ListParagraph"/>
        <w:numPr>
          <w:ilvl w:val="0"/>
          <w:numId w:val="1"/>
        </w:numPr>
        <w:spacing w:after="80"/>
      </w:pPr>
      <w:r>
        <w:t xml:space="preserve">Redesenhar o esquema de banco de dados (Seção 4.9.3): remover ou redefinir as tabelas bairro, regiao e bairro_predicao, e criar uma tabela equivalente para a unidade de notificação (ex.: unidade_notificacao), com a FK correspondente em registro_epidemiologico.</w:t>
      </w:r>
    </w:p>
    <w:p>
      <w:pPr>
        <w:pStyle w:val="ListParagraph"/>
        <w:numPr>
          <w:ilvl w:val="0"/>
          <w:numId w:val="1"/>
        </w:numPr>
        <w:spacing w:after="80"/>
      </w:pPr>
      <w:r>
        <w:t xml:space="preserve">Atualizar o texto de apoio do DER (4.8.4) e a legenda da Figura 3 para refletir o novo esquema, e revisar a Lista de Quadros/Sumário em consequência.</w:t>
      </w:r>
    </w:p>
    <w:p>
      <w:pPr>
        <w:pStyle w:val="ListParagraph"/>
        <w:numPr>
          <w:ilvl w:val="0"/>
          <w:numId w:val="1"/>
        </w:numPr>
        <w:spacing w:after="80"/>
      </w:pPr>
      <w:r>
        <w:t xml:space="preserve">Inserir, na Seção 4.3 (Delimitações de escopo), a mesma decisão de NM_UN_INTE hoje registrada apenas na Introdução — hoje a seção que deveria ser a referência formal de escopo geográfico não menciona nem bairro nem NM_UN_INTE.</w:t>
      </w:r>
    </w:p>
    <w:p>
      <w:pPr>
        <w:pStyle w:val="Heading3"/>
        <w:spacing w:after="100" w:before="200"/>
      </w:pPr>
      <w:r>
        <w:t xml:space="preserve">Prioridade formal/editorial</w:t>
      </w:r>
    </w:p>
    <w:p>
      <w:pPr>
        <w:pStyle w:val="ListParagraph"/>
        <w:numPr>
          <w:ilvl w:val="0"/>
          <w:numId w:val="1"/>
        </w:numPr>
        <w:spacing w:after="80"/>
      </w:pPr>
      <w:r>
        <w:t xml:space="preserve">Corrigir as três ocorrências residuais de "estado de São Paulo" (fim de 3.1, apresentação da Tabela 1 em 3.3, fechamento de 4.3) para "município de São Paulo" (Evidência K/tabela de pendências).</w:t>
      </w:r>
    </w:p>
    <w:p>
      <w:pPr>
        <w:pStyle w:val="ListParagraph"/>
        <w:numPr>
          <w:ilvl w:val="0"/>
          <w:numId w:val="1"/>
        </w:numPr>
        <w:spacing w:after="80"/>
      </w:pPr>
      <w:r>
        <w:t xml:space="preserve">Atualizar as remissões internas de RF003 ("3.4.3") e RF004 ("etapa 3.4.8") para a numeração vigente do TC2 (4.6.3 e 4.6.8, respectivamente) — Evidência K.</w:t>
      </w:r>
    </w:p>
    <w:p>
      <w:pPr>
        <w:pStyle w:val="ListParagraph"/>
        <w:numPr>
          <w:ilvl w:val="0"/>
          <w:numId w:val="1"/>
        </w:numPr>
        <w:spacing w:after="80"/>
      </w:pPr>
      <w:r>
        <w:t xml:space="preserve">Adicionar "4.9.2.4 Validação e monitoramento" ao Sumário; uniformizar o título do Capítulo 5 ("Resultados Esperados" no Sumário vs. "Resultados Obtidos" no corpo) e redigir seu conteúdo, hoje vazio.</w:t>
      </w:r>
    </w:p>
    <w:p>
      <w:pPr>
        <w:pStyle w:val="ListParagraph"/>
        <w:numPr>
          <w:ilvl w:val="0"/>
          <w:numId w:val="1"/>
        </w:numPr>
        <w:spacing w:after="80"/>
      </w:pPr>
      <w:r>
        <w:t xml:space="preserve">Corrigir "MER" para "DER" em 4.6.3, e revisar o parágrafo introdutório de 4.8.4, que cita entidades em camelCase ("periodoEpidemiologico", "tipoNotificação" etc.) inexistentes no esquema real de 4.9.3.</w:t>
      </w:r>
    </w:p>
    <w:p>
      <w:pPr>
        <w:pStyle w:val="ListParagraph"/>
        <w:numPr>
          <w:ilvl w:val="0"/>
          <w:numId w:val="1"/>
        </w:numPr>
        <w:spacing w:after="80"/>
      </w:pPr>
      <w:r>
        <w:t xml:space="preserve">Adicionar NM_UN_INTE e LGPD à Lista de Abreviaturas e Siglas; confirmar se AESOP, DATAPREV e NutelesApp são de fato citadas no corpo do texto ou devem ser removidas da lista.</w:t>
      </w:r>
    </w:p>
    <w:p>
      <w:pPr>
        <w:pStyle w:val="ListParagraph"/>
        <w:numPr>
          <w:ilvl w:val="0"/>
          <w:numId w:val="1"/>
        </w:numPr>
        <w:spacing w:after="80"/>
      </w:pPr>
      <w:r>
        <w:t xml:space="preserve">Confirmar visualmente que a marcação de destaque sobre a citação de sífilis congênita foi de fato removida do corpo da Seção 3.5 (a referência já está correta na lista de Referências).</w:t>
      </w:r>
    </w:p>
    <w:p>
      <w:pPr>
        <w:pStyle w:val="Heading3"/>
        <w:spacing w:after="100" w:before="200"/>
      </w:pPr>
      <w:r>
        <w:t xml:space="preserve">Prioridade média — enriquecimento metodológico, herdado sem mudança da v11</w:t>
      </w:r>
    </w:p>
    <w:p>
      <w:pPr>
        <w:pStyle w:val="ListParagraph"/>
        <w:numPr>
          <w:ilvl w:val="0"/>
          <w:numId w:val="1"/>
        </w:numPr>
        <w:spacing w:after="80"/>
      </w:pPr>
      <w:r>
        <w:t xml:space="preserve">Transpor para 4.6.6/4.7.5 os elementos já presentes em 4.2/4.3 do próprio TC2, mas não operacionalizados: baseline, SARIMA, Prophet, walk-forward, acerto direcional, teste de Diebold-Mariano/Wilcoxon (Evidência G, v10).</w:t>
      </w:r>
    </w:p>
    <w:p>
      <w:pPr>
        <w:pStyle w:val="ListParagraph"/>
        <w:numPr>
          <w:ilvl w:val="0"/>
          <w:numId w:val="1"/>
        </w:numPr>
        <w:spacing w:after="80"/>
      </w:pPr>
      <w:r>
        <w:t xml:space="preserve">Inserir a frase de contraste MMAING × Random Forest nos campos "Observações" de RF002/RF004 e na Seção 3.5 (Trabalhos relacionados) — conteúdo já pronto na Seção 6 deste documento.</w:t>
      </w:r>
    </w:p>
    <w:p>
      <w:pPr>
        <w:pStyle w:val="ListParagraph"/>
        <w:numPr>
          <w:ilvl w:val="0"/>
          <w:numId w:val="1"/>
        </w:numPr>
        <w:spacing w:after="80"/>
      </w:pPr>
      <w:r>
        <w:t xml:space="preserve">Completar a Seção 3.5 com Google Flu Trends, HealthMap e ProMED-mail, no mesmo padrão já usado para InfoGripe/FluSight.</w:t>
      </w:r>
    </w:p>
    <w:p>
      <w:pPr>
        <w:pStyle w:val="ListParagraph"/>
        <w:numPr>
          <w:ilvl w:val="0"/>
          <w:numId w:val="1"/>
        </w:numPr>
        <w:spacing w:after="80"/>
      </w:pPr>
      <w:r>
        <w:t xml:space="preserve">Reestruturar a Seção 2.2 (Objetivos específicos) como tabela Objetivo × Entregável × Critério — conteúdo pronto na Seção 3.1 deste documento.</w:t>
      </w:r>
    </w:p>
    <w:p>
      <w:pPr>
        <w:pStyle w:val="ListParagraph"/>
        <w:numPr>
          <w:ilvl w:val="0"/>
          <w:numId w:val="1"/>
        </w:numPr>
        <w:spacing w:after="80"/>
      </w:pPr>
      <w:r>
        <w:t xml:space="preserve">Criar, na Metodologia, uma subseção dedicada de Considerações Éticas/LGPD, incorporando a nova discussão sobre NM_UN_INTE e minimização de dados (Seção 11 deste documento).</w:t>
      </w:r>
    </w:p>
    <w:p>
      <w:pPr>
        <w:pStyle w:val="ListParagraph"/>
        <w:numPr>
          <w:ilvl w:val="0"/>
          <w:numId w:val="1"/>
        </w:numPr>
        <w:spacing w:after="80"/>
      </w:pPr>
      <w:r>
        <w:t xml:space="preserve">Incorporar o Anexo — Qualidade de Software, Dados e IA ao Capítulo 4.9 (substituindo as subseções 4.9.1–4.9.5 por conteúdo equivalente aos Atributos de Qualidade) — pendência de longa data, sem mudança de status desde a v8.</w:t>
      </w:r>
    </w:p>
    <w:p>
      <w:pPr>
        <w:pStyle w:val="ListParagraph"/>
        <w:numPr>
          <w:ilvl w:val="0"/>
          <w:numId w:val="1"/>
        </w:numPr>
        <w:spacing w:after="80"/>
      </w:pPr>
      <w:r>
        <w:t xml:space="preserve">Decidir ferramenta e fluxo de CI/CD, estratégia de cache, convenção de versionamento do modelo, estimativa de custos AWS e ferramenta de monitoramento (Seção 8.2).</w:t>
      </w:r>
    </w:p>
    <w:p>
      <w:pPr>
        <w:pStyle w:val="ListParagraph"/>
        <w:numPr>
          <w:ilvl w:val="0"/>
          <w:numId w:val="1"/>
        </w:numPr>
        <w:spacing w:after="80"/>
      </w:pPr>
      <w:r>
        <w:t xml:space="preserve">Reescrever Resumo e Abstract para refletir Random Forest, baseline/SARIMA/Prophet, horizonte de 6 semanas, Influenza A isolada, município de São Paulo e NM_UN_INTE — hoje deliberadamente desatualizados.</w:t>
      </w:r>
    </w:p>
    <w:p>
      <w:pPr>
        <w:pStyle w:val="ListParagraph"/>
        <w:numPr>
          <w:ilvl w:val="0"/>
          <w:numId w:val="1"/>
        </w:numPr>
        <w:spacing w:after="80"/>
      </w:pPr>
      <w:r>
        <w:t xml:space="preserve">Avaliar se o conceito de RMSP (Região Metropolitana de São Paulo), já explorado na planilha do grupo, deve ser citado no TC1/TC2 como argumento adicional a favor da modelagem em nível municipal (Evidência de Dados 9).</w:t>
      </w:r>
    </w:p>
    <w:p>
      <w:pPr>
        <w:pStyle w:val="Heading1"/>
        <w:spacing w:after="160" w:before="320"/>
      </w:pPr>
      <w:r>
        <w:t xml:space="preserve">13. Destino dos Tópicos ao TCC Oficial (TCC C D H M — TC2)</w:t>
      </w:r>
    </w:p>
    <w:p>
      <w:pPr>
        <w:spacing w:after="140"/>
      </w:pPr>
      <w:r>
        <w:t xml:space="preserve">Atualizada para a numeração vigente do TC2 (Capítulo 4, não mais Capítulo 3). Coluna de status seguindo o mesmo padrão da v10/v11.</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2900"/>
        <w:gridCol w:w="1300"/>
        <w:gridCol w:w="2600"/>
      </w:tblGrid>
      <w:tr>
        <w:tc>
          <w:tcPr>
            <w:tcW w:type="dxa" w:w="2500"/>
            <w:shd w:fill="D9D9D9" w:val="clear"/>
            <w:tcMar>
              <w:top w:type="dxa" w:w="60"/>
              <w:left w:type="dxa" w:w="100"/>
              <w:bottom w:type="dxa" w:w="60"/>
              <w:right w:type="dxa" w:w="100"/>
            </w:tcMar>
          </w:tcPr>
          <w:p>
            <w:pPr>
              <w:spacing w:after="40"/>
            </w:pPr>
            <w:r>
              <w:rPr>
                <w:b/>
                <w:bCs/>
              </w:rPr>
              <w:t xml:space="preserve">Seção do documento de apoio</w:t>
            </w:r>
          </w:p>
        </w:tc>
        <w:tc>
          <w:tcPr>
            <w:tcW w:type="dxa" w:w="2900"/>
            <w:shd w:fill="D9D9D9" w:val="clear"/>
            <w:tcMar>
              <w:top w:type="dxa" w:w="60"/>
              <w:left w:type="dxa" w:w="100"/>
              <w:bottom w:type="dxa" w:w="60"/>
              <w:right w:type="dxa" w:w="100"/>
            </w:tcMar>
          </w:tcPr>
          <w:p>
            <w:pPr>
              <w:spacing w:after="40"/>
            </w:pPr>
            <w:r>
              <w:rPr>
                <w:b/>
                <w:bCs/>
              </w:rPr>
              <w:t xml:space="preserve">Destino no TC2</w:t>
            </w:r>
          </w:p>
        </w:tc>
        <w:tc>
          <w:tcPr>
            <w:tcW w:type="dxa" w:w="1300"/>
            <w:shd w:fill="D9D9D9" w:val="clear"/>
            <w:tcMar>
              <w:top w:type="dxa" w:w="60"/>
              <w:left w:type="dxa" w:w="100"/>
              <w:bottom w:type="dxa" w:w="60"/>
              <w:right w:type="dxa" w:w="100"/>
            </w:tcMar>
          </w:tcPr>
          <w:p>
            <w:pPr>
              <w:spacing w:after="40"/>
            </w:pPr>
            <w:r>
              <w:rPr>
                <w:b/>
                <w:bCs/>
              </w:rPr>
              <w:t xml:space="preserve">Status</w:t>
            </w:r>
          </w:p>
        </w:tc>
        <w:tc>
          <w:tcPr>
            <w:tcW w:type="dxa" w:w="2600"/>
            <w:shd w:fill="D9D9D9" w:val="clear"/>
            <w:tcMar>
              <w:top w:type="dxa" w:w="60"/>
              <w:left w:type="dxa" w:w="100"/>
              <w:bottom w:type="dxa" w:w="60"/>
              <w:right w:type="dxa" w:w="100"/>
            </w:tcMar>
          </w:tcPr>
          <w:p>
            <w:pPr>
              <w:spacing w:after="40"/>
            </w:pPr>
            <w:r>
              <w:rPr>
                <w:b/>
                <w:bCs/>
              </w:rPr>
              <w:t xml:space="preserve">Observação</w:t>
            </w:r>
          </w:p>
        </w:tc>
      </w:tr>
      <w:tr>
        <w:tc>
          <w:tcPr>
            <w:tcW w:type="dxa" w:w="2500"/>
            <w:tcMar>
              <w:top w:type="dxa" w:w="60"/>
              <w:left w:type="dxa" w:w="100"/>
              <w:bottom w:type="dxa" w:w="60"/>
              <w:right w:type="dxa" w:w="100"/>
            </w:tcMar>
          </w:tcPr>
          <w:p>
            <w:pPr>
              <w:spacing w:after="40"/>
            </w:pPr>
            <w:r>
              <w:rPr>
                <w:b w:val="false"/>
                <w:bCs w:val="false"/>
              </w:rPr>
              <w:t xml:space="preserve">1. Visão Geral do Projeto</w:t>
            </w:r>
          </w:p>
        </w:tc>
        <w:tc>
          <w:tcPr>
            <w:tcW w:type="dxa" w:w="2900"/>
            <w:tcMar>
              <w:top w:type="dxa" w:w="60"/>
              <w:left w:type="dxa" w:w="100"/>
              <w:bottom w:type="dxa" w:w="60"/>
              <w:right w:type="dxa" w:w="100"/>
            </w:tcMar>
          </w:tcPr>
          <w:p>
            <w:pPr>
              <w:spacing w:after="40"/>
            </w:pPr>
            <w:r>
              <w:rPr>
                <w:b w:val="false"/>
                <w:bCs w:val="false"/>
              </w:rPr>
              <w:t xml:space="preserve">1. Introdução (fechamento)</w:t>
            </w:r>
          </w:p>
        </w:tc>
        <w:tc>
          <w:tcPr>
            <w:tcW w:type="dxa" w:w="1300"/>
            <w:tcMar>
              <w:top w:type="dxa" w:w="60"/>
              <w:left w:type="dxa" w:w="100"/>
              <w:bottom w:type="dxa" w:w="60"/>
              <w:right w:type="dxa" w:w="100"/>
            </w:tcMar>
          </w:tcPr>
          <w:p>
            <w:pPr>
              <w:spacing w:after="40"/>
            </w:pPr>
            <w:r>
              <w:rPr>
                <w:b w:val="false"/>
                <w:bCs w:val="false"/>
              </w:rPr>
              <w:t xml:space="preserve">Concluído</w:t>
            </w:r>
          </w:p>
        </w:tc>
        <w:tc>
          <w:tcPr>
            <w:tcW w:type="dxa" w:w="2600"/>
            <w:tcMar>
              <w:top w:type="dxa" w:w="60"/>
              <w:left w:type="dxa" w:w="100"/>
              <w:bottom w:type="dxa" w:w="60"/>
              <w:right w:type="dxa" w:w="100"/>
            </w:tcMar>
          </w:tcPr>
          <w:p>
            <w:pPr>
              <w:spacing w:after="40"/>
            </w:pPr>
            <w:r>
              <w:rPr>
                <w:b w:val="false"/>
                <w:bCs w:val="false"/>
              </w:rPr>
              <w:t xml:space="preserve">Formulação de recusa explícita já inserida, sem suavização</w:t>
            </w:r>
          </w:p>
        </w:tc>
      </w:tr>
      <w:tr>
        <w:tc>
          <w:tcPr>
            <w:tcW w:type="dxa" w:w="2500"/>
            <w:tcMar>
              <w:top w:type="dxa" w:w="60"/>
              <w:left w:type="dxa" w:w="100"/>
              <w:bottom w:type="dxa" w:w="60"/>
              <w:right w:type="dxa" w:w="100"/>
            </w:tcMar>
          </w:tcPr>
          <w:p>
            <w:pPr>
              <w:spacing w:after="40"/>
            </w:pPr>
            <w:r>
              <w:rPr>
                <w:b w:val="false"/>
                <w:bCs w:val="false"/>
              </w:rPr>
              <w:t xml:space="preserve">1.1 Justificativa da Delimitação para Influenza A</w:t>
            </w:r>
          </w:p>
        </w:tc>
        <w:tc>
          <w:tcPr>
            <w:tcW w:type="dxa" w:w="2900"/>
            <w:tcMar>
              <w:top w:type="dxa" w:w="60"/>
              <w:left w:type="dxa" w:w="100"/>
              <w:bottom w:type="dxa" w:w="60"/>
              <w:right w:type="dxa" w:w="100"/>
            </w:tcMar>
          </w:tcPr>
          <w:p>
            <w:pPr>
              <w:spacing w:after="40"/>
            </w:pPr>
            <w:r>
              <w:rPr>
                <w:b w:val="false"/>
                <w:bCs w:val="false"/>
              </w:rPr>
              <w:t xml:space="preserve">1. Introdução</w:t>
            </w:r>
          </w:p>
        </w:tc>
        <w:tc>
          <w:tcPr>
            <w:tcW w:type="dxa" w:w="1300"/>
            <w:tcMar>
              <w:top w:type="dxa" w:w="60"/>
              <w:left w:type="dxa" w:w="100"/>
              <w:bottom w:type="dxa" w:w="60"/>
              <w:right w:type="dxa" w:w="100"/>
            </w:tcMar>
          </w:tcPr>
          <w:p>
            <w:pPr>
              <w:spacing w:after="40"/>
            </w:pPr>
            <w:r>
              <w:rPr>
                <w:b w:val="false"/>
                <w:bCs w:val="false"/>
              </w:rPr>
              <w:t xml:space="preserve">Concluído</w:t>
            </w:r>
          </w:p>
        </w:tc>
        <w:tc>
          <w:tcPr>
            <w:tcW w:type="dxa" w:w="2600"/>
            <w:tcMar>
              <w:top w:type="dxa" w:w="60"/>
              <w:left w:type="dxa" w:w="100"/>
              <w:bottom w:type="dxa" w:w="60"/>
              <w:right w:type="dxa" w:w="100"/>
            </w:tcMar>
          </w:tcPr>
          <w:p>
            <w:pPr>
              <w:spacing w:after="40"/>
            </w:pPr>
            <w:r>
              <w:rPr>
                <w:b w:val="false"/>
                <w:bCs w:val="false"/>
              </w:rPr>
              <w:t xml:space="preserve">Sem resíduo de "A e B" ou "estado" nesta parte específica</w:t>
            </w:r>
          </w:p>
        </w:tc>
      </w:tr>
      <w:tr>
        <w:tc>
          <w:tcPr>
            <w:tcW w:type="dxa" w:w="2500"/>
            <w:tcMar>
              <w:top w:type="dxa" w:w="60"/>
              <w:left w:type="dxa" w:w="100"/>
              <w:bottom w:type="dxa" w:w="60"/>
              <w:right w:type="dxa" w:w="100"/>
            </w:tcMar>
          </w:tcPr>
          <w:p>
            <w:pPr>
              <w:spacing w:after="40"/>
            </w:pPr>
            <w:r>
              <w:rPr>
                <w:b w:val="false"/>
                <w:bCs w:val="false"/>
              </w:rPr>
              <w:t xml:space="preserve">2. Posicionamento Científico</w:t>
            </w:r>
          </w:p>
        </w:tc>
        <w:tc>
          <w:tcPr>
            <w:tcW w:type="dxa" w:w="2900"/>
            <w:tcMar>
              <w:top w:type="dxa" w:w="60"/>
              <w:left w:type="dxa" w:w="100"/>
              <w:bottom w:type="dxa" w:w="60"/>
              <w:right w:type="dxa" w:w="100"/>
            </w:tcMar>
          </w:tcPr>
          <w:p>
            <w:pPr>
              <w:spacing w:after="40"/>
            </w:pPr>
            <w:r>
              <w:rPr>
                <w:b w:val="false"/>
                <w:bCs w:val="false"/>
              </w:rPr>
              <w:t xml:space="preserve">4.1 Tipo de pesquisa</w:t>
            </w:r>
          </w:p>
        </w:tc>
        <w:tc>
          <w:tcPr>
            <w:tcW w:type="dxa" w:w="1300"/>
            <w:tcMar>
              <w:top w:type="dxa" w:w="60"/>
              <w:left w:type="dxa" w:w="100"/>
              <w:bottom w:type="dxa" w:w="60"/>
              <w:right w:type="dxa" w:w="100"/>
            </w:tcMar>
          </w:tcPr>
          <w:p>
            <w:pPr>
              <w:spacing w:after="40"/>
            </w:pPr>
            <w:r>
              <w:rPr>
                <w:b w:val="false"/>
                <w:bCs w:val="false"/>
              </w:rPr>
              <w:t xml:space="preserve">Concluído</w:t>
            </w:r>
          </w:p>
        </w:tc>
        <w:tc>
          <w:tcPr>
            <w:tcW w:type="dxa" w:w="2600"/>
            <w:tcMar>
              <w:top w:type="dxa" w:w="60"/>
              <w:left w:type="dxa" w:w="100"/>
              <w:bottom w:type="dxa" w:w="60"/>
              <w:right w:type="dxa" w:w="100"/>
            </w:tcMar>
          </w:tcPr>
          <w:p>
            <w:pPr>
              <w:spacing w:after="40"/>
            </w:pPr>
            <w:r>
              <w:rPr>
                <w:b w:val="false"/>
                <w:bCs w:val="false"/>
              </w:rPr>
              <w:t xml:space="preserve">Sem mudança desde a v10</w:t>
            </w:r>
          </w:p>
        </w:tc>
      </w:tr>
      <w:tr>
        <w:tc>
          <w:tcPr>
            <w:tcW w:type="dxa" w:w="2500"/>
            <w:tcMar>
              <w:top w:type="dxa" w:w="60"/>
              <w:left w:type="dxa" w:w="100"/>
              <w:bottom w:type="dxa" w:w="60"/>
              <w:right w:type="dxa" w:w="100"/>
            </w:tcMar>
          </w:tcPr>
          <w:p>
            <w:pPr>
              <w:spacing w:after="40"/>
            </w:pPr>
            <w:r>
              <w:rPr>
                <w:b w:val="false"/>
                <w:bCs w:val="false"/>
              </w:rPr>
              <w:t xml:space="preserve">2.1 Hipótese de Pesquisa</w:t>
            </w:r>
          </w:p>
        </w:tc>
        <w:tc>
          <w:tcPr>
            <w:tcW w:type="dxa" w:w="2900"/>
            <w:tcMar>
              <w:top w:type="dxa" w:w="60"/>
              <w:left w:type="dxa" w:w="100"/>
              <w:bottom w:type="dxa" w:w="60"/>
              <w:right w:type="dxa" w:w="100"/>
            </w:tcMar>
          </w:tcPr>
          <w:p>
            <w:pPr>
              <w:spacing w:after="40"/>
            </w:pPr>
            <w:r>
              <w:rPr>
                <w:b w:val="false"/>
                <w:bCs w:val="false"/>
              </w:rPr>
              <w:t xml:space="preserve">4.2 Hipótese de pesquisa</w:t>
            </w:r>
          </w:p>
        </w:tc>
        <w:tc>
          <w:tcPr>
            <w:tcW w:type="dxa" w:w="1300"/>
            <w:tcMar>
              <w:top w:type="dxa" w:w="60"/>
              <w:left w:type="dxa" w:w="100"/>
              <w:bottom w:type="dxa" w:w="60"/>
              <w:right w:type="dxa" w:w="100"/>
            </w:tcMar>
          </w:tcPr>
          <w:p>
            <w:pPr>
              <w:spacing w:after="40"/>
            </w:pPr>
            <w:r>
              <w:rPr>
                <w:b w:val="false"/>
                <w:bCs w:val="false"/>
              </w:rPr>
              <w:t xml:space="preserve">Concluído</w:t>
            </w:r>
          </w:p>
        </w:tc>
        <w:tc>
          <w:tcPr>
            <w:tcW w:type="dxa" w:w="2600"/>
            <w:tcMar>
              <w:top w:type="dxa" w:w="60"/>
              <w:left w:type="dxa" w:w="100"/>
              <w:bottom w:type="dxa" w:w="60"/>
              <w:right w:type="dxa" w:w="100"/>
            </w:tcMar>
          </w:tcPr>
          <w:p>
            <w:pPr>
              <w:spacing w:after="40"/>
            </w:pPr>
            <w:r>
              <w:rPr>
                <w:b w:val="false"/>
                <w:bCs w:val="false"/>
              </w:rPr>
              <w:t xml:space="preserve">Renumerado de 3.2 para 4.2; conteúdo sem mudança</w:t>
            </w:r>
          </w:p>
        </w:tc>
      </w:tr>
      <w:tr>
        <w:tc>
          <w:tcPr>
            <w:tcW w:type="dxa" w:w="2500"/>
            <w:tcMar>
              <w:top w:type="dxa" w:w="60"/>
              <w:left w:type="dxa" w:w="100"/>
              <w:bottom w:type="dxa" w:w="60"/>
              <w:right w:type="dxa" w:w="100"/>
            </w:tcMar>
          </w:tcPr>
          <w:p>
            <w:pPr>
              <w:spacing w:after="40"/>
            </w:pPr>
            <w:r>
              <w:rPr>
                <w:b w:val="false"/>
                <w:bCs w:val="false"/>
              </w:rPr>
              <w:t xml:space="preserve">3. Delimitações Obrigatórias (geográfico/modelagem)</w:t>
            </w:r>
          </w:p>
        </w:tc>
        <w:tc>
          <w:tcPr>
            <w:tcW w:type="dxa" w:w="2900"/>
            <w:tcMar>
              <w:top w:type="dxa" w:w="60"/>
              <w:left w:type="dxa" w:w="100"/>
              <w:bottom w:type="dxa" w:w="60"/>
              <w:right w:type="dxa" w:w="100"/>
            </w:tcMar>
          </w:tcPr>
          <w:p>
            <w:pPr>
              <w:spacing w:after="40"/>
            </w:pPr>
            <w:r>
              <w:rPr>
                <w:b w:val="false"/>
                <w:bCs w:val="false"/>
              </w:rPr>
              <w:t xml:space="preserve">4.3 Delimitações de escopo</w:t>
            </w:r>
          </w:p>
        </w:tc>
        <w:tc>
          <w:tcPr>
            <w:tcW w:type="dxa" w:w="1300"/>
            <w:tcMar>
              <w:top w:type="dxa" w:w="60"/>
              <w:left w:type="dxa" w:w="100"/>
              <w:bottom w:type="dxa" w:w="60"/>
              <w:right w:type="dxa" w:w="100"/>
            </w:tcMar>
          </w:tcPr>
          <w:p>
            <w:pPr>
              <w:spacing w:after="40"/>
            </w:pPr>
            <w:r>
              <w:rPr>
                <w:b w:val="false"/>
                <w:bCs w:val="false"/>
              </w:rPr>
              <w:t xml:space="preserve">Concluído</w:t>
            </w:r>
          </w:p>
        </w:tc>
        <w:tc>
          <w:tcPr>
            <w:tcW w:type="dxa" w:w="2600"/>
            <w:tcMar>
              <w:top w:type="dxa" w:w="60"/>
              <w:left w:type="dxa" w:w="100"/>
              <w:bottom w:type="dxa" w:w="60"/>
              <w:right w:type="dxa" w:w="100"/>
            </w:tcMar>
          </w:tcPr>
          <w:p>
            <w:pPr>
              <w:spacing w:after="40"/>
            </w:pPr>
            <w:r>
              <w:rPr>
                <w:b w:val="false"/>
                <w:bCs w:val="false"/>
              </w:rPr>
              <w:t xml:space="preserve">— </w:t>
            </w:r>
          </w:p>
        </w:tc>
      </w:tr>
      <w:tr>
        <w:tc>
          <w:tcPr>
            <w:tcW w:type="dxa" w:w="2500"/>
            <w:tcMar>
              <w:top w:type="dxa" w:w="60"/>
              <w:left w:type="dxa" w:w="100"/>
              <w:bottom w:type="dxa" w:w="60"/>
              <w:right w:type="dxa" w:w="100"/>
            </w:tcMar>
          </w:tcPr>
          <w:p>
            <w:pPr>
              <w:spacing w:after="40"/>
            </w:pPr>
            <w:r>
              <w:rPr>
                <w:b w:val="false"/>
                <w:bCs w:val="false"/>
              </w:rPr>
              <w:t xml:space="preserve">3. Delimitações Obrigatórias (NM_UN_INTE, novo v12)</w:t>
            </w:r>
          </w:p>
        </w:tc>
        <w:tc>
          <w:tcPr>
            <w:tcW w:type="dxa" w:w="2900"/>
            <w:tcMar>
              <w:top w:type="dxa" w:w="60"/>
              <w:left w:type="dxa" w:w="100"/>
              <w:bottom w:type="dxa" w:w="60"/>
              <w:right w:type="dxa" w:w="100"/>
            </w:tcMar>
          </w:tcPr>
          <w:p>
            <w:pPr>
              <w:spacing w:after="40"/>
            </w:pPr>
            <w:r>
              <w:rPr>
                <w:b w:val="false"/>
                <w:bCs w:val="false"/>
              </w:rPr>
              <w:t xml:space="preserve">4.3 Delimitações de escopo</w:t>
            </w:r>
          </w:p>
        </w:tc>
        <w:tc>
          <w:tcPr>
            <w:tcW w:type="dxa" w:w="1300"/>
            <w:tcMar>
              <w:top w:type="dxa" w:w="60"/>
              <w:left w:type="dxa" w:w="100"/>
              <w:bottom w:type="dxa" w:w="60"/>
              <w:right w:type="dxa" w:w="100"/>
            </w:tcMar>
          </w:tcPr>
          <w:p>
            <w:pPr>
              <w:spacing w:after="40"/>
            </w:pPr>
            <w:r>
              <w:rPr>
                <w:b w:val="false"/>
                <w:bCs w:val="false"/>
              </w:rPr>
              <w:t xml:space="preserve">Pendente</w:t>
            </w:r>
          </w:p>
        </w:tc>
        <w:tc>
          <w:tcPr>
            <w:tcW w:type="dxa" w:w="2600"/>
            <w:tcMar>
              <w:top w:type="dxa" w:w="60"/>
              <w:left w:type="dxa" w:w="100"/>
              <w:bottom w:type="dxa" w:w="60"/>
              <w:right w:type="dxa" w:w="100"/>
            </w:tcMar>
          </w:tcPr>
          <w:p>
            <w:pPr>
              <w:spacing w:after="40"/>
            </w:pPr>
            <w:r>
              <w:rPr>
                <w:b w:val="false"/>
                <w:bCs w:val="false"/>
              </w:rPr>
              <w:t xml:space="preserve">Decisão só está na Introdução; 4.3 nem menciona bairro nem NM_UN_INTE</w:t>
            </w:r>
          </w:p>
        </w:tc>
      </w:tr>
      <w:tr>
        <w:tc>
          <w:tcPr>
            <w:tcW w:type="dxa" w:w="2500"/>
            <w:tcMar>
              <w:top w:type="dxa" w:w="60"/>
              <w:left w:type="dxa" w:w="100"/>
              <w:bottom w:type="dxa" w:w="60"/>
              <w:right w:type="dxa" w:w="100"/>
            </w:tcMar>
          </w:tcPr>
          <w:p>
            <w:pPr>
              <w:spacing w:after="40"/>
            </w:pPr>
            <w:r>
              <w:rPr>
                <w:b w:val="false"/>
                <w:bCs w:val="false"/>
              </w:rPr>
              <w:t xml:space="preserve">3.1 Objetivos Específicos: Entregável e Critério</w:t>
            </w:r>
          </w:p>
        </w:tc>
        <w:tc>
          <w:tcPr>
            <w:tcW w:type="dxa" w:w="2900"/>
            <w:tcMar>
              <w:top w:type="dxa" w:w="60"/>
              <w:left w:type="dxa" w:w="100"/>
              <w:bottom w:type="dxa" w:w="60"/>
              <w:right w:type="dxa" w:w="100"/>
            </w:tcMar>
          </w:tcPr>
          <w:p>
            <w:pPr>
              <w:spacing w:after="40"/>
            </w:pPr>
            <w:r>
              <w:rPr>
                <w:b w:val="false"/>
                <w:bCs w:val="false"/>
              </w:rPr>
              <w:t xml:space="preserve">2.2 Objetivos específicos</w:t>
            </w:r>
          </w:p>
        </w:tc>
        <w:tc>
          <w:tcPr>
            <w:tcW w:type="dxa" w:w="1300"/>
            <w:tcMar>
              <w:top w:type="dxa" w:w="60"/>
              <w:left w:type="dxa" w:w="100"/>
              <w:bottom w:type="dxa" w:w="60"/>
              <w:right w:type="dxa" w:w="100"/>
            </w:tcMar>
          </w:tcPr>
          <w:p>
            <w:pPr>
              <w:spacing w:after="40"/>
            </w:pPr>
            <w:r>
              <w:rPr>
                <w:b w:val="false"/>
                <w:bCs w:val="false"/>
              </w:rPr>
              <w:t xml:space="preserve">Parcial</w:t>
            </w:r>
          </w:p>
        </w:tc>
        <w:tc>
          <w:tcPr>
            <w:tcW w:type="dxa" w:w="2600"/>
            <w:tcMar>
              <w:top w:type="dxa" w:w="60"/>
              <w:left w:type="dxa" w:w="100"/>
              <w:bottom w:type="dxa" w:w="60"/>
              <w:right w:type="dxa" w:w="100"/>
            </w:tcMar>
          </w:tcPr>
          <w:p>
            <w:pPr>
              <w:spacing w:after="40"/>
            </w:pPr>
            <w:r>
              <w:rPr>
                <w:b w:val="false"/>
                <w:bCs w:val="false"/>
              </w:rPr>
              <w:t xml:space="preserve">Lista simples, não tabela; item (a) já reflete NM_UN_INTE</w:t>
            </w:r>
          </w:p>
        </w:tc>
      </w:tr>
      <w:tr>
        <w:tc>
          <w:tcPr>
            <w:tcW w:type="dxa" w:w="2500"/>
            <w:tcMar>
              <w:top w:type="dxa" w:w="60"/>
              <w:left w:type="dxa" w:w="100"/>
              <w:bottom w:type="dxa" w:w="60"/>
              <w:right w:type="dxa" w:w="100"/>
            </w:tcMar>
          </w:tcPr>
          <w:p>
            <w:pPr>
              <w:spacing w:after="40"/>
            </w:pPr>
            <w:r>
              <w:rPr>
                <w:b w:val="false"/>
                <w:bCs w:val="false"/>
              </w:rPr>
              <w:t xml:space="preserve">4. Trabalhos Correlatos</w:t>
            </w:r>
          </w:p>
        </w:tc>
        <w:tc>
          <w:tcPr>
            <w:tcW w:type="dxa" w:w="2900"/>
            <w:tcMar>
              <w:top w:type="dxa" w:w="60"/>
              <w:left w:type="dxa" w:w="100"/>
              <w:bottom w:type="dxa" w:w="60"/>
              <w:right w:type="dxa" w:w="100"/>
            </w:tcMar>
          </w:tcPr>
          <w:p>
            <w:pPr>
              <w:spacing w:after="40"/>
            </w:pPr>
            <w:r>
              <w:rPr>
                <w:b w:val="false"/>
                <w:bCs w:val="false"/>
              </w:rPr>
              <w:t xml:space="preserve">3.5 Trabalhos relacionados</w:t>
            </w:r>
          </w:p>
        </w:tc>
        <w:tc>
          <w:tcPr>
            <w:tcW w:type="dxa" w:w="1300"/>
            <w:tcMar>
              <w:top w:type="dxa" w:w="60"/>
              <w:left w:type="dxa" w:w="100"/>
              <w:bottom w:type="dxa" w:w="60"/>
              <w:right w:type="dxa" w:w="100"/>
            </w:tcMar>
          </w:tcPr>
          <w:p>
            <w:pPr>
              <w:spacing w:after="40"/>
            </w:pPr>
            <w:r>
              <w:rPr>
                <w:b w:val="false"/>
                <w:bCs w:val="false"/>
              </w:rPr>
              <w:t xml:space="preserve">Parcial</w:t>
            </w:r>
          </w:p>
        </w:tc>
        <w:tc>
          <w:tcPr>
            <w:tcW w:type="dxa" w:w="2600"/>
            <w:tcMar>
              <w:top w:type="dxa" w:w="60"/>
              <w:left w:type="dxa" w:w="100"/>
              <w:bottom w:type="dxa" w:w="60"/>
              <w:right w:type="dxa" w:w="100"/>
            </w:tcMar>
          </w:tcPr>
          <w:p>
            <w:pPr>
              <w:spacing w:after="40"/>
            </w:pPr>
            <w:r>
              <w:rPr>
                <w:b w:val="false"/>
                <w:bCs w:val="false"/>
              </w:rPr>
              <w:t xml:space="preserve">Faltam Google Flu Trends, HealthMap, ProMED-mail</w:t>
            </w:r>
          </w:p>
        </w:tc>
      </w:tr>
      <w:tr>
        <w:tc>
          <w:tcPr>
            <w:tcW w:type="dxa" w:w="2500"/>
            <w:tcMar>
              <w:top w:type="dxa" w:w="60"/>
              <w:left w:type="dxa" w:w="100"/>
              <w:bottom w:type="dxa" w:w="60"/>
              <w:right w:type="dxa" w:w="100"/>
            </w:tcMar>
          </w:tcPr>
          <w:p>
            <w:pPr>
              <w:spacing w:after="40"/>
            </w:pPr>
            <w:r>
              <w:rPr>
                <w:b w:val="false"/>
                <w:bCs w:val="false"/>
              </w:rPr>
              <w:t xml:space="preserve">5. Variável-Alvo (Definição Operacional)</w:t>
            </w:r>
          </w:p>
        </w:tc>
        <w:tc>
          <w:tcPr>
            <w:tcW w:type="dxa" w:w="2900"/>
            <w:tcMar>
              <w:top w:type="dxa" w:w="60"/>
              <w:left w:type="dxa" w:w="100"/>
              <w:bottom w:type="dxa" w:w="60"/>
              <w:right w:type="dxa" w:w="100"/>
            </w:tcMar>
          </w:tcPr>
          <w:p>
            <w:pPr>
              <w:spacing w:after="40"/>
            </w:pPr>
            <w:r>
              <w:rPr>
                <w:b w:val="false"/>
                <w:bCs w:val="false"/>
              </w:rPr>
              <w:t xml:space="preserve">3.3 DataSUS (Tabela 1)</w:t>
            </w:r>
          </w:p>
        </w:tc>
        <w:tc>
          <w:tcPr>
            <w:tcW w:type="dxa" w:w="1300"/>
            <w:tcMar>
              <w:top w:type="dxa" w:w="60"/>
              <w:left w:type="dxa" w:w="100"/>
              <w:bottom w:type="dxa" w:w="60"/>
              <w:right w:type="dxa" w:w="100"/>
            </w:tcMar>
          </w:tcPr>
          <w:p>
            <w:pPr>
              <w:spacing w:after="40"/>
            </w:pPr>
            <w:r>
              <w:rPr>
                <w:b w:val="false"/>
                <w:bCs w:val="false"/>
              </w:rPr>
              <w:t xml:space="preserve">Parcial</w:t>
            </w:r>
          </w:p>
        </w:tc>
        <w:tc>
          <w:tcPr>
            <w:tcW w:type="dxa" w:w="2600"/>
            <w:tcMar>
              <w:top w:type="dxa" w:w="60"/>
              <w:left w:type="dxa" w:w="100"/>
              <w:bottom w:type="dxa" w:w="60"/>
              <w:right w:type="dxa" w:w="100"/>
            </w:tcMar>
          </w:tcPr>
          <w:p>
            <w:pPr>
              <w:spacing w:after="40"/>
            </w:pPr>
            <w:r>
              <w:rPr>
                <w:b w:val="false"/>
                <w:bCs w:val="false"/>
              </w:rPr>
              <w:t xml:space="preserve">Critério documentado não bate com o arquivo de dados real (Evidência de Dados 6)</w:t>
            </w:r>
          </w:p>
        </w:tc>
      </w:tr>
      <w:tr>
        <w:tc>
          <w:tcPr>
            <w:tcW w:type="dxa" w:w="2500"/>
            <w:tcMar>
              <w:top w:type="dxa" w:w="60"/>
              <w:left w:type="dxa" w:w="100"/>
              <w:bottom w:type="dxa" w:w="60"/>
              <w:right w:type="dxa" w:w="100"/>
            </w:tcMar>
          </w:tcPr>
          <w:p>
            <w:pPr>
              <w:spacing w:after="40"/>
            </w:pPr>
            <w:r>
              <w:rPr>
                <w:b w:val="false"/>
                <w:bCs w:val="false"/>
              </w:rPr>
              <w:t xml:space="preserve">5.1 / 5.2 Levantamento e Série Semanal</w:t>
            </w:r>
          </w:p>
        </w:tc>
        <w:tc>
          <w:tcPr>
            <w:tcW w:type="dxa" w:w="2900"/>
            <w:tcMar>
              <w:top w:type="dxa" w:w="60"/>
              <w:left w:type="dxa" w:w="100"/>
              <w:bottom w:type="dxa" w:w="60"/>
              <w:right w:type="dxa" w:w="100"/>
            </w:tcMar>
          </w:tcPr>
          <w:p>
            <w:pPr>
              <w:spacing w:after="40"/>
            </w:pPr>
            <w:r>
              <w:rPr>
                <w:b w:val="false"/>
                <w:bCs w:val="false"/>
              </w:rPr>
              <w:t xml:space="preserve">4.6.2 / 4.6.6</w:t>
            </w:r>
          </w:p>
        </w:tc>
        <w:tc>
          <w:tcPr>
            <w:tcW w:type="dxa" w:w="1300"/>
            <w:tcMar>
              <w:top w:type="dxa" w:w="60"/>
              <w:left w:type="dxa" w:w="100"/>
              <w:bottom w:type="dxa" w:w="60"/>
              <w:right w:type="dxa" w:w="100"/>
            </w:tcMar>
          </w:tcPr>
          <w:p>
            <w:pPr>
              <w:spacing w:after="40"/>
            </w:pPr>
            <w:r>
              <w:rPr>
                <w:b w:val="false"/>
                <w:bCs w:val="false"/>
              </w:rPr>
              <w:t xml:space="preserve">Pendente</w:t>
            </w:r>
          </w:p>
        </w:tc>
        <w:tc>
          <w:tcPr>
            <w:tcW w:type="dxa" w:w="2600"/>
            <w:tcMar>
              <w:top w:type="dxa" w:w="60"/>
              <w:left w:type="dxa" w:w="100"/>
              <w:bottom w:type="dxa" w:w="60"/>
              <w:right w:type="dxa" w:w="100"/>
            </w:tcMar>
          </w:tcPr>
          <w:p>
            <w:pPr>
              <w:spacing w:after="40"/>
            </w:pPr>
            <w:r>
              <w:rPr>
                <w:b w:val="false"/>
                <w:bCs w:val="false"/>
              </w:rPr>
              <w:t xml:space="preserve">Números novos desta v12 ainda não têm equivalente redigido no TC2</w:t>
            </w:r>
          </w:p>
        </w:tc>
      </w:tr>
      <w:tr>
        <w:tc>
          <w:tcPr>
            <w:tcW w:type="dxa" w:w="2500"/>
            <w:tcMar>
              <w:top w:type="dxa" w:w="60"/>
              <w:left w:type="dxa" w:w="100"/>
              <w:bottom w:type="dxa" w:w="60"/>
              <w:right w:type="dxa" w:w="100"/>
            </w:tcMar>
          </w:tcPr>
          <w:p>
            <w:pPr>
              <w:spacing w:after="40"/>
            </w:pPr>
            <w:r>
              <w:rPr>
                <w:b w:val="false"/>
                <w:bCs w:val="false"/>
              </w:rPr>
              <w:t xml:space="preserve">6. Estratégia de Modelagem Preditiva</w:t>
            </w:r>
          </w:p>
        </w:tc>
        <w:tc>
          <w:tcPr>
            <w:tcW w:type="dxa" w:w="2900"/>
            <w:tcMar>
              <w:top w:type="dxa" w:w="60"/>
              <w:left w:type="dxa" w:w="100"/>
              <w:bottom w:type="dxa" w:w="60"/>
              <w:right w:type="dxa" w:w="100"/>
            </w:tcMar>
          </w:tcPr>
          <w:p>
            <w:pPr>
              <w:spacing w:after="40"/>
            </w:pPr>
            <w:r>
              <w:rPr>
                <w:b w:val="false"/>
                <w:bCs w:val="false"/>
              </w:rPr>
              <w:t xml:space="preserve">4.6.6 + 3.5</w:t>
            </w:r>
          </w:p>
        </w:tc>
        <w:tc>
          <w:tcPr>
            <w:tcW w:type="dxa" w:w="1300"/>
            <w:tcMar>
              <w:top w:type="dxa" w:w="60"/>
              <w:left w:type="dxa" w:w="100"/>
              <w:bottom w:type="dxa" w:w="60"/>
              <w:right w:type="dxa" w:w="100"/>
            </w:tcMar>
          </w:tcPr>
          <w:p>
            <w:pPr>
              <w:spacing w:after="40"/>
            </w:pPr>
            <w:r>
              <w:rPr>
                <w:b w:val="false"/>
                <w:bCs w:val="false"/>
              </w:rPr>
              <w:t xml:space="preserve">Parcial</w:t>
            </w:r>
          </w:p>
        </w:tc>
        <w:tc>
          <w:tcPr>
            <w:tcW w:type="dxa" w:w="2600"/>
            <w:tcMar>
              <w:top w:type="dxa" w:w="60"/>
              <w:left w:type="dxa" w:w="100"/>
              <w:bottom w:type="dxa" w:w="60"/>
              <w:right w:type="dxa" w:w="100"/>
            </w:tcMar>
          </w:tcPr>
          <w:p>
            <w:pPr>
              <w:spacing w:after="40"/>
            </w:pPr>
            <w:r>
              <w:rPr>
                <w:b w:val="false"/>
                <w:bCs w:val="false"/>
              </w:rPr>
              <w:t xml:space="preserve">Falta frase de contraste MMAING × Random Forest</w:t>
            </w:r>
          </w:p>
        </w:tc>
      </w:tr>
      <w:tr>
        <w:tc>
          <w:tcPr>
            <w:tcW w:type="dxa" w:w="2500"/>
            <w:tcMar>
              <w:top w:type="dxa" w:w="60"/>
              <w:left w:type="dxa" w:w="100"/>
              <w:bottom w:type="dxa" w:w="60"/>
              <w:right w:type="dxa" w:w="100"/>
            </w:tcMar>
          </w:tcPr>
          <w:p>
            <w:pPr>
              <w:spacing w:after="40"/>
            </w:pPr>
            <w:r>
              <w:rPr>
                <w:b w:val="false"/>
                <w:bCs w:val="false"/>
              </w:rPr>
              <w:t xml:space="preserve">6.1 Adequação a Dados de Contagem Esparsa</w:t>
            </w:r>
          </w:p>
        </w:tc>
        <w:tc>
          <w:tcPr>
            <w:tcW w:type="dxa" w:w="2900"/>
            <w:tcMar>
              <w:top w:type="dxa" w:w="60"/>
              <w:left w:type="dxa" w:w="100"/>
              <w:bottom w:type="dxa" w:w="60"/>
              <w:right w:type="dxa" w:w="100"/>
            </w:tcMar>
          </w:tcPr>
          <w:p>
            <w:pPr>
              <w:spacing w:after="40"/>
            </w:pPr>
            <w:r>
              <w:rPr>
                <w:b w:val="false"/>
                <w:bCs w:val="false"/>
              </w:rPr>
              <w:t xml:space="preserve">4.6.6</w:t>
            </w:r>
          </w:p>
        </w:tc>
        <w:tc>
          <w:tcPr>
            <w:tcW w:type="dxa" w:w="1300"/>
            <w:tcMar>
              <w:top w:type="dxa" w:w="60"/>
              <w:left w:type="dxa" w:w="100"/>
              <w:bottom w:type="dxa" w:w="60"/>
              <w:right w:type="dxa" w:w="100"/>
            </w:tcMar>
          </w:tcPr>
          <w:p>
            <w:pPr>
              <w:spacing w:after="40"/>
            </w:pPr>
            <w:r>
              <w:rPr>
                <w:b w:val="false"/>
                <w:bCs w:val="false"/>
              </w:rPr>
              <w:t xml:space="preserve">Pendente</w:t>
            </w:r>
          </w:p>
        </w:tc>
        <w:tc>
          <w:tcPr>
            <w:tcW w:type="dxa" w:w="2600"/>
            <w:tcMar>
              <w:top w:type="dxa" w:w="60"/>
              <w:left w:type="dxa" w:w="100"/>
              <w:bottom w:type="dxa" w:w="60"/>
              <w:right w:type="dxa" w:w="100"/>
            </w:tcMar>
          </w:tcPr>
          <w:p>
            <w:pPr>
              <w:spacing w:after="40"/>
            </w:pPr>
            <w:r>
              <w:rPr>
                <w:b w:val="false"/>
                <w:bCs w:val="false"/>
              </w:rPr>
              <w:t xml:space="preserve">Nova evidência de RMSP ainda não transposta</w:t>
            </w:r>
          </w:p>
        </w:tc>
      </w:tr>
      <w:tr>
        <w:tc>
          <w:tcPr>
            <w:tcW w:type="dxa" w:w="2500"/>
            <w:tcMar>
              <w:top w:type="dxa" w:w="60"/>
              <w:left w:type="dxa" w:w="100"/>
              <w:bottom w:type="dxa" w:w="60"/>
              <w:right w:type="dxa" w:w="100"/>
            </w:tcMar>
          </w:tcPr>
          <w:p>
            <w:pPr>
              <w:spacing w:after="40"/>
            </w:pPr>
            <w:r>
              <w:rPr>
                <w:b w:val="false"/>
                <w:bCs w:val="false"/>
              </w:rPr>
              <w:t xml:space="preserve">7. Protocolo de Validação e Métricas</w:t>
            </w:r>
          </w:p>
        </w:tc>
        <w:tc>
          <w:tcPr>
            <w:tcW w:type="dxa" w:w="2900"/>
            <w:tcMar>
              <w:top w:type="dxa" w:w="60"/>
              <w:left w:type="dxa" w:w="100"/>
              <w:bottom w:type="dxa" w:w="60"/>
              <w:right w:type="dxa" w:w="100"/>
            </w:tcMar>
          </w:tcPr>
          <w:p>
            <w:pPr>
              <w:spacing w:after="40"/>
            </w:pPr>
            <w:r>
              <w:rPr>
                <w:b w:val="false"/>
                <w:bCs w:val="false"/>
              </w:rPr>
              <w:t xml:space="preserve">4.7.5</w:t>
            </w:r>
          </w:p>
        </w:tc>
        <w:tc>
          <w:tcPr>
            <w:tcW w:type="dxa" w:w="1300"/>
            <w:tcMar>
              <w:top w:type="dxa" w:w="60"/>
              <w:left w:type="dxa" w:w="100"/>
              <w:bottom w:type="dxa" w:w="60"/>
              <w:right w:type="dxa" w:w="100"/>
            </w:tcMar>
          </w:tcPr>
          <w:p>
            <w:pPr>
              <w:spacing w:after="40"/>
            </w:pPr>
            <w:r>
              <w:rPr>
                <w:b w:val="false"/>
                <w:bCs w:val="false"/>
              </w:rPr>
              <w:t xml:space="preserve">Pendente</w:t>
            </w:r>
          </w:p>
        </w:tc>
        <w:tc>
          <w:tcPr>
            <w:tcW w:type="dxa" w:w="2600"/>
            <w:tcMar>
              <w:top w:type="dxa" w:w="60"/>
              <w:left w:type="dxa" w:w="100"/>
              <w:bottom w:type="dxa" w:w="60"/>
              <w:right w:type="dxa" w:w="100"/>
            </w:tcMar>
          </w:tcPr>
          <w:p>
            <w:pPr>
              <w:spacing w:after="40"/>
            </w:pPr>
            <w:r>
              <w:rPr>
                <w:b w:val="false"/>
                <w:bCs w:val="false"/>
              </w:rPr>
              <w:t xml:space="preserve">Ainda descreve só treino/teste com MAE/RMSE/MAPE</w:t>
            </w:r>
          </w:p>
        </w:tc>
      </w:tr>
      <w:tr>
        <w:tc>
          <w:tcPr>
            <w:tcW w:type="dxa" w:w="2500"/>
            <w:tcMar>
              <w:top w:type="dxa" w:w="60"/>
              <w:left w:type="dxa" w:w="100"/>
              <w:bottom w:type="dxa" w:w="60"/>
              <w:right w:type="dxa" w:w="100"/>
            </w:tcMar>
          </w:tcPr>
          <w:p>
            <w:pPr>
              <w:spacing w:after="40"/>
            </w:pPr>
            <w:r>
              <w:rPr>
                <w:b w:val="false"/>
                <w:bCs w:val="false"/>
              </w:rPr>
              <w:t xml:space="preserve">8. Arquitetura do Sistema + 8.1/8.2</w:t>
            </w:r>
          </w:p>
        </w:tc>
        <w:tc>
          <w:tcPr>
            <w:tcW w:type="dxa" w:w="2900"/>
            <w:tcMar>
              <w:top w:type="dxa" w:w="60"/>
              <w:left w:type="dxa" w:w="100"/>
              <w:bottom w:type="dxa" w:w="60"/>
              <w:right w:type="dxa" w:w="100"/>
            </w:tcMar>
          </w:tcPr>
          <w:p>
            <w:pPr>
              <w:spacing w:after="40"/>
            </w:pPr>
            <w:r>
              <w:rPr>
                <w:b w:val="false"/>
                <w:bCs w:val="false"/>
              </w:rPr>
              <w:t xml:space="preserve">4.9.1–4.9.5</w:t>
            </w:r>
          </w:p>
        </w:tc>
        <w:tc>
          <w:tcPr>
            <w:tcW w:type="dxa" w:w="1300"/>
            <w:tcMar>
              <w:top w:type="dxa" w:w="60"/>
              <w:left w:type="dxa" w:w="100"/>
              <w:bottom w:type="dxa" w:w="60"/>
              <w:right w:type="dxa" w:w="100"/>
            </w:tcMar>
          </w:tcPr>
          <w:p>
            <w:pPr>
              <w:spacing w:after="40"/>
            </w:pPr>
            <w:r>
              <w:rPr>
                <w:b w:val="false"/>
                <w:bCs w:val="false"/>
              </w:rPr>
              <w:t xml:space="preserve">Pendente</w:t>
            </w:r>
          </w:p>
        </w:tc>
        <w:tc>
          <w:tcPr>
            <w:tcW w:type="dxa" w:w="2600"/>
            <w:tcMar>
              <w:top w:type="dxa" w:w="60"/>
              <w:left w:type="dxa" w:w="100"/>
              <w:bottom w:type="dxa" w:w="60"/>
              <w:right w:type="dxa" w:w="100"/>
            </w:tcMar>
          </w:tcPr>
          <w:p>
            <w:pPr>
              <w:spacing w:after="40"/>
            </w:pPr>
            <w:r>
              <w:rPr>
                <w:b w:val="false"/>
                <w:bCs w:val="false"/>
              </w:rPr>
              <w:t xml:space="preserve">Sem mudança desde a v8/v9; ver também Evidência J</w:t>
            </w:r>
          </w:p>
        </w:tc>
      </w:tr>
      <w:tr>
        <w:tc>
          <w:tcPr>
            <w:tcW w:type="dxa" w:w="2500"/>
            <w:tcMar>
              <w:top w:type="dxa" w:w="60"/>
              <w:left w:type="dxa" w:w="100"/>
              <w:bottom w:type="dxa" w:w="60"/>
              <w:right w:type="dxa" w:w="100"/>
            </w:tcMar>
          </w:tcPr>
          <w:p>
            <w:pPr>
              <w:spacing w:after="40"/>
            </w:pPr>
            <w:r>
              <w:rPr>
                <w:b w:val="false"/>
                <w:bCs w:val="false"/>
              </w:rPr>
              <w:t xml:space="preserve">9. Cuidados de Qualidade de Dados</w:t>
            </w:r>
          </w:p>
        </w:tc>
        <w:tc>
          <w:tcPr>
            <w:tcW w:type="dxa" w:w="2900"/>
            <w:tcMar>
              <w:top w:type="dxa" w:w="60"/>
              <w:left w:type="dxa" w:w="100"/>
              <w:bottom w:type="dxa" w:w="60"/>
              <w:right w:type="dxa" w:w="100"/>
            </w:tcMar>
          </w:tcPr>
          <w:p>
            <w:pPr>
              <w:spacing w:after="40"/>
            </w:pPr>
            <w:r>
              <w:rPr>
                <w:b w:val="false"/>
                <w:bCs w:val="false"/>
              </w:rPr>
              <w:t xml:space="preserve">3.3 DataSUS + Anexo Seção 3</w:t>
            </w:r>
          </w:p>
        </w:tc>
        <w:tc>
          <w:tcPr>
            <w:tcW w:type="dxa" w:w="1300"/>
            <w:tcMar>
              <w:top w:type="dxa" w:w="60"/>
              <w:left w:type="dxa" w:w="100"/>
              <w:bottom w:type="dxa" w:w="60"/>
              <w:right w:type="dxa" w:w="100"/>
            </w:tcMar>
          </w:tcPr>
          <w:p>
            <w:pPr>
              <w:spacing w:after="40"/>
            </w:pPr>
            <w:r>
              <w:rPr>
                <w:b w:val="false"/>
                <w:bCs w:val="false"/>
              </w:rPr>
              <w:t xml:space="preserve">Parcial</w:t>
            </w:r>
          </w:p>
        </w:tc>
        <w:tc>
          <w:tcPr>
            <w:tcW w:type="dxa" w:w="2600"/>
            <w:tcMar>
              <w:top w:type="dxa" w:w="60"/>
              <w:left w:type="dxa" w:w="100"/>
              <w:bottom w:type="dxa" w:w="60"/>
              <w:right w:type="dxa" w:w="100"/>
            </w:tcMar>
          </w:tcPr>
          <w:p>
            <w:pPr>
              <w:spacing w:after="40"/>
            </w:pPr>
            <w:r>
              <w:rPr>
                <w:b w:val="false"/>
                <w:bCs w:val="false"/>
              </w:rPr>
              <w:t xml:space="preserve">Menção breve de LGPD já presente e reforçada</w:t>
            </w:r>
          </w:p>
        </w:tc>
      </w:tr>
      <w:tr>
        <w:tc>
          <w:tcPr>
            <w:tcW w:type="dxa" w:w="2500"/>
            <w:tcMar>
              <w:top w:type="dxa" w:w="60"/>
              <w:left w:type="dxa" w:w="100"/>
              <w:bottom w:type="dxa" w:w="60"/>
              <w:right w:type="dxa" w:w="100"/>
            </w:tcMar>
          </w:tcPr>
          <w:p>
            <w:pPr>
              <w:spacing w:after="40"/>
            </w:pPr>
            <w:r>
              <w:rPr>
                <w:b w:val="false"/>
                <w:bCs w:val="false"/>
              </w:rPr>
              <w:t xml:space="preserve">10. Perguntas Antecipadas de Banca</w:t>
            </w:r>
          </w:p>
        </w:tc>
        <w:tc>
          <w:tcPr>
            <w:tcW w:type="dxa" w:w="2900"/>
            <w:tcMar>
              <w:top w:type="dxa" w:w="60"/>
              <w:left w:type="dxa" w:w="100"/>
              <w:bottom w:type="dxa" w:w="60"/>
              <w:right w:type="dxa" w:w="100"/>
            </w:tcMar>
          </w:tcPr>
          <w:p>
            <w:pPr>
              <w:spacing w:after="40"/>
            </w:pPr>
            <w:r>
              <w:rPr>
                <w:b w:val="false"/>
                <w:bCs w:val="false"/>
              </w:rPr>
              <w:t xml:space="preserve">Não entra no TC2 escrito</w:t>
            </w:r>
          </w:p>
        </w:tc>
        <w:tc>
          <w:tcPr>
            <w:tcW w:type="dxa" w:w="1300"/>
            <w:tcMar>
              <w:top w:type="dxa" w:w="60"/>
              <w:left w:type="dxa" w:w="100"/>
              <w:bottom w:type="dxa" w:w="60"/>
              <w:right w:type="dxa" w:w="100"/>
            </w:tcMar>
          </w:tcPr>
          <w:p>
            <w:pPr>
              <w:spacing w:after="40"/>
            </w:pPr>
            <w:r>
              <w:rPr>
                <w:b w:val="false"/>
                <w:bCs w:val="false"/>
              </w:rPr>
              <w:t xml:space="preserve">—</w:t>
            </w:r>
          </w:p>
        </w:tc>
        <w:tc>
          <w:tcPr>
            <w:tcW w:type="dxa" w:w="2600"/>
            <w:tcMar>
              <w:top w:type="dxa" w:w="60"/>
              <w:left w:type="dxa" w:w="100"/>
              <w:bottom w:type="dxa" w:w="60"/>
              <w:right w:type="dxa" w:w="100"/>
            </w:tcMar>
          </w:tcPr>
          <w:p>
            <w:pPr>
              <w:spacing w:after="40"/>
            </w:pPr>
            <w:r>
              <w:rPr>
                <w:b w:val="false"/>
                <w:bCs w:val="false"/>
              </w:rPr>
              <w:t xml:space="preserve">Material de apoio para a defesa; duas perguntas novas (10.5, 10.6)</w:t>
            </w:r>
          </w:p>
        </w:tc>
      </w:tr>
      <w:tr>
        <w:tc>
          <w:tcPr>
            <w:tcW w:type="dxa" w:w="2500"/>
            <w:tcMar>
              <w:top w:type="dxa" w:w="60"/>
              <w:left w:type="dxa" w:w="100"/>
              <w:bottom w:type="dxa" w:w="60"/>
              <w:right w:type="dxa" w:w="100"/>
            </w:tcMar>
          </w:tcPr>
          <w:p>
            <w:pPr>
              <w:spacing w:after="40"/>
            </w:pPr>
            <w:r>
              <w:rPr>
                <w:b w:val="false"/>
                <w:bCs w:val="false"/>
              </w:rPr>
              <w:t xml:space="preserve">11. Considerações Éticas / LGPD</w:t>
            </w:r>
          </w:p>
        </w:tc>
        <w:tc>
          <w:tcPr>
            <w:tcW w:type="dxa" w:w="2900"/>
            <w:tcMar>
              <w:top w:type="dxa" w:w="60"/>
              <w:left w:type="dxa" w:w="100"/>
              <w:bottom w:type="dxa" w:w="60"/>
              <w:right w:type="dxa" w:w="100"/>
            </w:tcMar>
          </w:tcPr>
          <w:p>
            <w:pPr>
              <w:spacing w:after="40"/>
            </w:pPr>
            <w:r>
              <w:rPr>
                <w:b w:val="false"/>
                <w:bCs w:val="false"/>
              </w:rPr>
              <w:t xml:space="preserve">Metodologia — subseção nova sugerida</w:t>
            </w:r>
          </w:p>
        </w:tc>
        <w:tc>
          <w:tcPr>
            <w:tcW w:type="dxa" w:w="1300"/>
            <w:tcMar>
              <w:top w:type="dxa" w:w="60"/>
              <w:left w:type="dxa" w:w="100"/>
              <w:bottom w:type="dxa" w:w="60"/>
              <w:right w:type="dxa" w:w="100"/>
            </w:tcMar>
          </w:tcPr>
          <w:p>
            <w:pPr>
              <w:spacing w:after="40"/>
            </w:pPr>
            <w:r>
              <w:rPr>
                <w:b w:val="false"/>
                <w:bCs w:val="false"/>
              </w:rPr>
              <w:t xml:space="preserve">Pendente</w:t>
            </w:r>
          </w:p>
        </w:tc>
        <w:tc>
          <w:tcPr>
            <w:tcW w:type="dxa" w:w="2600"/>
            <w:tcMar>
              <w:top w:type="dxa" w:w="60"/>
              <w:left w:type="dxa" w:w="100"/>
              <w:bottom w:type="dxa" w:w="60"/>
              <w:right w:type="dxa" w:w="100"/>
            </w:tcMar>
          </w:tcPr>
          <w:p>
            <w:pPr>
              <w:spacing w:after="40"/>
            </w:pPr>
            <w:r>
              <w:rPr>
                <w:b w:val="false"/>
                <w:bCs w:val="false"/>
              </w:rPr>
              <w:t xml:space="preserve">Avanço real: ligação bairro-ausente↔LGPD já na Introdução</w:t>
            </w:r>
          </w:p>
        </w:tc>
      </w:tr>
      <w:tr>
        <w:tc>
          <w:tcPr>
            <w:tcW w:type="dxa" w:w="2500"/>
            <w:tcMar>
              <w:top w:type="dxa" w:w="60"/>
              <w:left w:type="dxa" w:w="100"/>
              <w:bottom w:type="dxa" w:w="60"/>
              <w:right w:type="dxa" w:w="100"/>
            </w:tcMar>
          </w:tcPr>
          <w:p>
            <w:pPr>
              <w:spacing w:after="40"/>
            </w:pPr>
            <w:r>
              <w:rPr>
                <w:b w:val="false"/>
                <w:bCs w:val="false"/>
              </w:rPr>
              <w:t xml:space="preserve">12. Próximos Passos Técnicos Imediatos</w:t>
            </w:r>
          </w:p>
        </w:tc>
        <w:tc>
          <w:tcPr>
            <w:tcW w:type="dxa" w:w="2900"/>
            <w:tcMar>
              <w:top w:type="dxa" w:w="60"/>
              <w:left w:type="dxa" w:w="100"/>
              <w:bottom w:type="dxa" w:w="60"/>
              <w:right w:type="dxa" w:w="100"/>
            </w:tcMar>
          </w:tcPr>
          <w:p>
            <w:pPr>
              <w:spacing w:after="40"/>
            </w:pPr>
            <w:r>
              <w:rPr>
                <w:b w:val="false"/>
                <w:bCs w:val="false"/>
              </w:rPr>
              <w:t xml:space="preserve">Não entra no TC2</w:t>
            </w:r>
          </w:p>
        </w:tc>
        <w:tc>
          <w:tcPr>
            <w:tcW w:type="dxa" w:w="1300"/>
            <w:tcMar>
              <w:top w:type="dxa" w:w="60"/>
              <w:left w:type="dxa" w:w="100"/>
              <w:bottom w:type="dxa" w:w="60"/>
              <w:right w:type="dxa" w:w="100"/>
            </w:tcMar>
          </w:tcPr>
          <w:p>
            <w:pPr>
              <w:spacing w:after="40"/>
            </w:pPr>
            <w:r>
              <w:rPr>
                <w:b w:val="false"/>
                <w:bCs w:val="false"/>
              </w:rPr>
              <w:t xml:space="preserve">—</w:t>
            </w:r>
          </w:p>
        </w:tc>
        <w:tc>
          <w:tcPr>
            <w:tcW w:type="dxa" w:w="2600"/>
            <w:tcMar>
              <w:top w:type="dxa" w:w="60"/>
              <w:left w:type="dxa" w:w="100"/>
              <w:bottom w:type="dxa" w:w="60"/>
              <w:right w:type="dxa" w:w="100"/>
            </w:tcMar>
          </w:tcPr>
          <w:p>
            <w:pPr>
              <w:spacing w:after="40"/>
            </w:pPr>
            <w:r>
              <w:rPr>
                <w:b w:val="false"/>
                <w:bCs w:val="false"/>
              </w:rPr>
              <w:t xml:space="preserve">Gestão interna (Manual Interno / backlog do grupo)</w:t>
            </w:r>
          </w:p>
        </w:tc>
      </w:tr>
    </w:tbl>
    <w:p>
      <w:pPr>
        <w:pStyle w:val="Heading2"/>
        <w:spacing w:after="140" w:before="260"/>
      </w:pPr>
      <w:r>
        <w:t xml:space="preserve">13.1 Mapeamento do Anexo — Qualidade de Software, Dados e IA</w:t>
      </w:r>
    </w:p>
    <w:p>
      <w:pPr>
        <w:spacing w:after="140"/>
      </w:pPr>
      <w:r>
        <w:t xml:space="preserve">Sem mudança desde a v10/v11 — o Anexo (hoje v3, com a Seção 5 de ISO/IEC 27002) continua pendente de incorporação ao Capítulo 4.9 do TC2. Ver v11 para a tabela completa de mapeamento por seção do Anexo.</w:t>
      </w:r>
    </w:p>
    <w:p>
      <w:pPr>
        <w:spacing w:after="140"/>
      </w:pPr>
      <w:r>
        <w:t xml:space="preserve"/>
      </w:r>
    </w:p>
    <w:p>
      <w:pPr>
        <w:spacing w:after="140"/>
      </w:pPr>
      <w:r>
        <w:rPr>
          <w:b/>
          <w:bCs/>
        </w:rPr>
        <w:t xml:space="preserve">Resumo prático para delegação (v12): </w:t>
      </w:r>
      <w:r>
        <w:t xml:space="preserve">a Introdução do TC2 deu um salto real de qualidade — resolve a formulação de recusa pendente desde a v10 e anuncia uma solução tecnicamente sólida para a granularidade intramunicipal (NM_UN_INTE). O risco do projeto se reorganiza, mais uma vez, em quatro frentes: (1) uma frente crítica, nova nesta versão — o descompasso entre o critério de confirmação documentado (Tabela 1) e o critério efetivamente usado no arquivo de dados consolidado (PCR_FLUASU apenas, com codificação antiga presente até em 2026), que atinge agora toda a série, não só 2009–2012; (2) uma frente de propagação — a decisão de NM_UN_INTE, hoje isolada na Introdução, precisa alcançar Requisitos, Etapas, Arquitetura e o esquema de banco de dados antes que a inconsistência apareça como falha de revisão perante a banca; (3) uma frente formal/editorial, agora menor do que nas versões anteriores (renumeração de capítulos majoritariamente bem-sucedida, sumário quase todo sincronizado), mas com duas remissões e três resíduos de "estado" ainda pendentes; e (4) o enriquecimento metodológico e a incorporação do Anexo de Qualidade, que seguem como o item mais substancial do backlog, exatamente como registrado desde a v8.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2026-09-27T02:25:22.392Z</dcterms:created>
  <dcterms:modified xsi:type="dcterms:W3CDTF">2026-09-27T02:25:22.400Z</dcterms:modified>
</cp:coreProperties>
</file>

<file path=docProps/custom.xml><?xml version="1.0" encoding="utf-8"?>
<Properties xmlns="http://schemas.openxmlformats.org/officeDocument/2006/custom-properties" xmlns:vt="http://schemas.openxmlformats.org/officeDocument/2006/docPropsVTypes"/>
</file>