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2B" w:rsidRDefault="00BE102B" w:rsidP="0068037E">
      <w:pPr>
        <w:tabs>
          <w:tab w:val="left" w:pos="360"/>
        </w:tabs>
        <w:spacing w:after="0" w:line="240" w:lineRule="auto"/>
        <w:rPr>
          <w:rFonts w:eastAsia="MS Mincho" w:cs="Times New Roman"/>
          <w:b/>
          <w:bCs/>
          <w:sz w:val="28"/>
          <w:szCs w:val="28"/>
          <w:lang w:val="en-US" w:eastAsia="ja-JP"/>
        </w:rPr>
      </w:pPr>
    </w:p>
    <w:p w:rsidR="00BE102B" w:rsidRDefault="00BE102B" w:rsidP="0068037E">
      <w:pPr>
        <w:tabs>
          <w:tab w:val="left" w:pos="360"/>
        </w:tabs>
        <w:spacing w:after="0" w:line="240" w:lineRule="auto"/>
        <w:rPr>
          <w:rFonts w:eastAsia="MS Mincho" w:cs="Times New Roman"/>
          <w:b/>
          <w:bCs/>
          <w:sz w:val="28"/>
          <w:szCs w:val="28"/>
          <w:lang w:val="en-US" w:eastAsia="ja-JP"/>
        </w:rPr>
      </w:pPr>
    </w:p>
    <w:p w:rsidR="0068037E" w:rsidRPr="0068037E" w:rsidRDefault="00F93D67" w:rsidP="0068037E">
      <w:pPr>
        <w:tabs>
          <w:tab w:val="left" w:pos="3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b/>
          <w:bCs/>
          <w:sz w:val="28"/>
          <w:szCs w:val="28"/>
          <w:lang w:val="en-US" w:eastAsia="ja-JP"/>
        </w:rPr>
        <w:t xml:space="preserve">The </w:t>
      </w:r>
      <w:r w:rsidR="0068037E"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>G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>enerali</w:t>
      </w:r>
      <w:r w:rsidR="0068037E"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>z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 xml:space="preserve">ed </w:t>
      </w:r>
      <w:r w:rsidR="0068037E"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>L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 xml:space="preserve">inear </w:t>
      </w:r>
      <w:r w:rsidR="0068037E"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>M</w:t>
      </w:r>
      <w:r>
        <w:rPr>
          <w:rFonts w:eastAsia="MS Mincho" w:cs="Times New Roman"/>
          <w:b/>
          <w:bCs/>
          <w:sz w:val="28"/>
          <w:szCs w:val="28"/>
          <w:lang w:val="en-US" w:eastAsia="ja-JP"/>
        </w:rPr>
        <w:t xml:space="preserve">odel </w:t>
      </w:r>
      <w:proofErr w:type="spellStart"/>
      <w:r>
        <w:rPr>
          <w:rFonts w:eastAsia="MS Mincho" w:cs="Times New Roman"/>
          <w:b/>
          <w:bCs/>
          <w:sz w:val="28"/>
          <w:szCs w:val="28"/>
          <w:lang w:val="en-US" w:eastAsia="ja-JP"/>
        </w:rPr>
        <w:t>GzLM</w:t>
      </w:r>
      <w:proofErr w:type="spellEnd"/>
      <w:proofErr w:type="gramStart"/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>-  T</w:t>
      </w:r>
      <w:r>
        <w:rPr>
          <w:rFonts w:eastAsia="MS Mincho" w:cs="Times New Roman"/>
          <w:sz w:val="28"/>
          <w:szCs w:val="28"/>
          <w:lang w:val="en-US" w:eastAsia="ja-JP"/>
        </w:rPr>
        <w:t>wo</w:t>
      </w:r>
      <w:proofErr w:type="gramEnd"/>
      <w:r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 examples (Poisson and Binomial)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The </w:t>
      </w:r>
      <w:r w:rsidR="00F93D67">
        <w:rPr>
          <w:rFonts w:eastAsia="MS Mincho" w:cs="Times New Roman"/>
          <w:sz w:val="28"/>
          <w:szCs w:val="28"/>
          <w:lang w:val="en-US" w:eastAsia="ja-JP"/>
        </w:rPr>
        <w:t>General linear model (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GLM</w:t>
      </w:r>
      <w:r w:rsidR="00F93D67">
        <w:rPr>
          <w:rFonts w:eastAsia="MS Mincho" w:cs="Times New Roman"/>
          <w:sz w:val="28"/>
          <w:szCs w:val="28"/>
          <w:lang w:val="en-US" w:eastAsia="ja-JP"/>
        </w:rPr>
        <w:t>+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applies to a ratio scale response variable 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>Y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with normal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error 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proofErr w:type="gramEnd"/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r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Normal</w:t>
      </w:r>
    </w:p>
    <w:p w:rsidR="0068037E" w:rsidRPr="0068037E" w:rsidRDefault="0068037E" w:rsidP="0068037E">
      <w:pPr>
        <w:tabs>
          <w:tab w:val="left" w:pos="360"/>
          <w:tab w:val="left" w:pos="141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Count data usually violate the assumption of homogeneous residuals.</w:t>
      </w:r>
    </w:p>
    <w:p w:rsidR="0068037E" w:rsidRPr="0068037E" w:rsidRDefault="0068037E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Ratio scale counts (counts in defined units, ranging from zero upward)   </w:t>
      </w:r>
    </w:p>
    <w:p w:rsidR="0068037E" w:rsidRPr="0068037E" w:rsidRDefault="00F93D67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  <w:t xml:space="preserve">The appropriate error model is 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Poisson or Negative Binomial 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r w:rsidR="0068037E"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Poisson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proofErr w:type="gramStart"/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or 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proofErr w:type="gramEnd"/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proofErr w:type="spellStart"/>
      <w:r w:rsidR="0068037E"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NegBinomial</w:t>
      </w:r>
      <w:proofErr w:type="spellEnd"/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So we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use  the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Generalized Linear Model, which allows us to use a better error model.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The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GzLM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(which includes the GLM as a special case) has three components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1. The structural model consisting of linear predictors.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For the GLM, the linear predictor is the sum of fixed factors and covariates.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The linear predictor ANCOVA example (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Brussard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)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was  η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= β</w:t>
      </w:r>
      <w:r w:rsidRPr="0068037E">
        <w:rPr>
          <w:rFonts w:eastAsia="MS Mincho" w:cs="Times New Roman"/>
          <w:sz w:val="28"/>
          <w:szCs w:val="28"/>
          <w:vertAlign w:val="subscript"/>
          <w:lang w:val="en-US" w:eastAsia="ja-JP"/>
        </w:rPr>
        <w:t>o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+ β</w:t>
      </w:r>
      <w:r w:rsidRPr="0068037E">
        <w:rPr>
          <w:rFonts w:eastAsia="MS Mincho" w:cs="Times New Roman"/>
          <w:sz w:val="28"/>
          <w:szCs w:val="28"/>
          <w:vertAlign w:val="subscript"/>
          <w:lang w:val="en-US" w:eastAsia="ja-JP"/>
        </w:rPr>
        <w:t>SP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SP + β</w:t>
      </w:r>
      <w:proofErr w:type="spellStart"/>
      <w:r w:rsidRPr="0068037E">
        <w:rPr>
          <w:rFonts w:eastAsia="MS Mincho" w:cs="Times New Roman"/>
          <w:sz w:val="28"/>
          <w:szCs w:val="28"/>
          <w:vertAlign w:val="subscript"/>
          <w:lang w:val="en-US" w:eastAsia="ja-JP"/>
        </w:rPr>
        <w:t>Hsl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Hsl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 + β</w:t>
      </w:r>
      <w:proofErr w:type="spellStart"/>
      <w:r w:rsidRPr="0068037E">
        <w:rPr>
          <w:rFonts w:eastAsia="MS Mincho" w:cs="Times New Roman"/>
          <w:sz w:val="28"/>
          <w:szCs w:val="28"/>
          <w:vertAlign w:val="subscript"/>
          <w:lang w:val="en-US" w:eastAsia="ja-JP"/>
        </w:rPr>
        <w:t>SP·Hsl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SP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·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Hsl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 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2. A </w:t>
      </w:r>
      <w:proofErr w:type="spellStart"/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linkfunction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>, that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links the linear predictor to the response variable.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3.  </w:t>
      </w:r>
      <w:r>
        <w:rPr>
          <w:rFonts w:eastAsia="MS Mincho" w:cs="Times New Roman"/>
          <w:sz w:val="28"/>
          <w:szCs w:val="28"/>
          <w:lang w:val="en-US" w:eastAsia="ja-JP"/>
        </w:rPr>
        <w:t>The error model.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567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="00F93D67">
        <w:rPr>
          <w:rFonts w:eastAsia="MS Mincho" w:cs="Times New Roman"/>
          <w:sz w:val="28"/>
          <w:szCs w:val="28"/>
          <w:lang w:val="en-US" w:eastAsia="ja-JP"/>
        </w:rPr>
        <w:t>For the GLM the model is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:  </w:t>
      </w:r>
      <m:oMath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 xml:space="preserve">Y= 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o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x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>X+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ε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Normal</m:t>
            </m:r>
          </m:sub>
        </m:sSub>
      </m:oMath>
    </w:p>
    <w:p w:rsidR="0068037E" w:rsidRPr="0068037E" w:rsidRDefault="0068037E" w:rsidP="0068037E">
      <w:pPr>
        <w:tabs>
          <w:tab w:val="left" w:pos="360"/>
          <w:tab w:val="left" w:pos="567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>The error model</w:t>
      </w:r>
      <w:r w:rsidR="00F93D67">
        <w:rPr>
          <w:rFonts w:eastAsia="MS Mincho" w:cs="Times New Roman"/>
          <w:sz w:val="28"/>
          <w:szCs w:val="28"/>
          <w:lang w:val="en-US" w:eastAsia="ja-JP"/>
        </w:rPr>
        <w:t xml:space="preserve"> is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:  </w:t>
      </w:r>
      <m:oMath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 xml:space="preserve">Y~Normal( 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o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x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 xml:space="preserve">X,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σ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lang w:val="en-US" w:eastAsia="ja-JP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lang w:val="en-US" w:eastAsia="ja-JP"/>
          </w:rPr>
          <m:t>)</m:t>
        </m:r>
      </m:oMath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  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This is read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as :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>Y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is normally distributed, given the parameters 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>β</w:t>
      </w:r>
      <w:r w:rsidRPr="0068037E">
        <w:rPr>
          <w:rFonts w:eastAsia="MS Mincho" w:cs="Times New Roman"/>
          <w:i/>
          <w:sz w:val="28"/>
          <w:szCs w:val="28"/>
          <w:vertAlign w:val="subscript"/>
          <w:lang w:val="en-US" w:eastAsia="ja-JP"/>
        </w:rPr>
        <w:t>o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 xml:space="preserve"> , β</w:t>
      </w:r>
      <w:r w:rsidRPr="0068037E">
        <w:rPr>
          <w:rFonts w:eastAsia="MS Mincho" w:cs="Times New Roman"/>
          <w:i/>
          <w:sz w:val="28"/>
          <w:szCs w:val="28"/>
          <w:vertAlign w:val="subscript"/>
          <w:lang w:val="en-US" w:eastAsia="ja-JP"/>
        </w:rPr>
        <w:t>x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 xml:space="preserve"> ,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and </w:t>
      </w:r>
      <w:r w:rsidRPr="0068037E">
        <w:rPr>
          <w:rFonts w:eastAsia="MS Mincho" w:cs="Times New Roman"/>
          <w:i/>
          <w:sz w:val="28"/>
          <w:szCs w:val="28"/>
          <w:lang w:val="en-US" w:eastAsia="ja-JP"/>
        </w:rPr>
        <w:t>σ</w:t>
      </w:r>
      <w:r w:rsidRPr="0068037E">
        <w:rPr>
          <w:rFonts w:eastAsia="MS Mincho" w:cs="Times New Roman"/>
          <w:i/>
          <w:sz w:val="28"/>
          <w:szCs w:val="28"/>
          <w:vertAlign w:val="superscript"/>
          <w:lang w:val="en-US" w:eastAsia="ja-JP"/>
        </w:rPr>
        <w:t>2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(the fixed variance)</w:t>
      </w:r>
    </w:p>
    <w:p w:rsidR="0068037E" w:rsidRPr="0068037E" w:rsidRDefault="0068037E" w:rsidP="0068037E">
      <w:pPr>
        <w:tabs>
          <w:tab w:val="left" w:pos="360"/>
          <w:tab w:val="left" w:pos="567"/>
          <w:tab w:val="left" w:pos="851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The distributional assumption, given the parameters, can only be checked after estimating the parameters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Count data usually violate this assumption.</w:t>
      </w:r>
      <w:r w:rsidR="00F93D67">
        <w:rPr>
          <w:rFonts w:eastAsia="MS Mincho" w:cs="Times New Roman"/>
          <w:sz w:val="28"/>
          <w:szCs w:val="28"/>
          <w:lang w:val="en-US" w:eastAsia="ja-JP"/>
        </w:rPr>
        <w:t xml:space="preserve"> The result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-- &gt; heterogeneous residuals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So we use a better error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model  (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>Generalized Linear Model)</w:t>
      </w:r>
    </w:p>
    <w:p w:rsidR="0068037E" w:rsidRPr="0068037E" w:rsidRDefault="0068037E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Ratio scale counts (counts in defined units, ranging from zero upward)   </w:t>
      </w:r>
    </w:p>
    <w:p w:rsidR="0068037E" w:rsidRPr="0068037E" w:rsidRDefault="00AB7D70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  <w:t>We u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se </w:t>
      </w:r>
      <w:r>
        <w:rPr>
          <w:rFonts w:eastAsia="MS Mincho" w:cs="Times New Roman"/>
          <w:sz w:val="28"/>
          <w:szCs w:val="28"/>
          <w:lang w:val="en-US" w:eastAsia="ja-JP"/>
        </w:rPr>
        <w:t xml:space="preserve">an </w:t>
      </w:r>
      <w:r w:rsidR="0068037E">
        <w:rPr>
          <w:rFonts w:eastAsia="MS Mincho" w:cs="Times New Roman"/>
          <w:sz w:val="28"/>
          <w:szCs w:val="28"/>
          <w:lang w:val="en-US" w:eastAsia="ja-JP"/>
        </w:rPr>
        <w:t xml:space="preserve">error model such as 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>Poisson model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r w:rsidR="0068037E"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Poisson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r w:rsidR="0068037E">
        <w:rPr>
          <w:rFonts w:eastAsia="MS Mincho" w:cs="Times New Roman"/>
          <w:sz w:val="28"/>
          <w:szCs w:val="28"/>
          <w:lang w:val="en-US" w:eastAsia="ja-JP"/>
        </w:rPr>
        <w:t xml:space="preserve">or Negative Binomial </w:t>
      </w:r>
      <w:proofErr w:type="gramStart"/>
      <w:r w:rsidR="0068037E">
        <w:rPr>
          <w:rFonts w:eastAsia="MS Mincho" w:cs="Times New Roman"/>
          <w:sz w:val="28"/>
          <w:szCs w:val="28"/>
          <w:lang w:val="en-US" w:eastAsia="ja-JP"/>
        </w:rPr>
        <w:t>error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 xml:space="preserve"> </w:t>
      </w:r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proofErr w:type="gramEnd"/>
      <w:r w:rsidR="0068037E"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proofErr w:type="spellStart"/>
      <w:r w:rsidR="0068037E"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NegBinomial</w:t>
      </w:r>
      <w:proofErr w:type="spellEnd"/>
    </w:p>
    <w:p w:rsidR="0068037E" w:rsidRPr="0068037E" w:rsidRDefault="0068037E" w:rsidP="0068037E">
      <w:pPr>
        <w:tabs>
          <w:tab w:val="left" w:pos="360"/>
          <w:tab w:val="left" w:pos="720"/>
          <w:tab w:val="left" w:pos="1440"/>
          <w:tab w:val="left" w:pos="3402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  <w:t xml:space="preserve">For example 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begin"/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QUOTE </w:instrText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1F7F70D3" wp14:editId="77181049">
            <wp:extent cx="17145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</w:instrTex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separate"/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7135C537" wp14:editId="36DBC332">
            <wp:extent cx="171450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end"/>
      </w:r>
    </w:p>
    <w:p w:rsidR="0068037E" w:rsidRPr="0068037E" w:rsidRDefault="0068037E" w:rsidP="0068037E">
      <w:pPr>
        <w:tabs>
          <w:tab w:val="left" w:pos="360"/>
          <w:tab w:val="left" w:pos="1440"/>
          <w:tab w:val="left" w:pos="333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noProof/>
          <w:szCs w:val="24"/>
          <w:lang w:eastAsia="en-CA"/>
        </w:rPr>
        <w:drawing>
          <wp:inline distT="0" distB="0" distL="0" distR="0" wp14:anchorId="5CA30ED6" wp14:editId="767D1C41">
            <wp:extent cx="16573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</w:p>
    <w:p w:rsidR="0068037E" w:rsidRDefault="00AB7D70">
      <w:pPr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  <w:t>In this example the log link is used – the structural model appears in the exponent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tbl>
      <w:tblPr>
        <w:tblpPr w:leftFromText="187" w:rightFromText="187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0"/>
        <w:gridCol w:w="977"/>
      </w:tblGrid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lastRenderedPageBreak/>
              <w:t>Corps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Deaths</w:t>
            </w:r>
          </w:p>
        </w:tc>
      </w:tr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Guard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16</w:t>
            </w:r>
          </w:p>
        </w:tc>
      </w:tr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First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16</w:t>
            </w:r>
          </w:p>
        </w:tc>
      </w:tr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Second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12</w:t>
            </w:r>
          </w:p>
        </w:tc>
      </w:tr>
      <w:tr w:rsidR="0068037E" w:rsidRPr="0068037E" w:rsidTr="00530A48">
        <w:trPr>
          <w:trHeight w:val="275"/>
        </w:trPr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Third</w:t>
            </w:r>
          </w:p>
        </w:tc>
        <w:tc>
          <w:tcPr>
            <w:tcW w:w="959" w:type="dxa"/>
          </w:tcPr>
          <w:p w:rsidR="0068037E" w:rsidRPr="0068037E" w:rsidRDefault="0068037E" w:rsidP="0068037E">
            <w:pPr>
              <w:tabs>
                <w:tab w:val="left" w:pos="360"/>
                <w:tab w:val="left" w:pos="1440"/>
                <w:tab w:val="left" w:pos="7290"/>
                <w:tab w:val="left" w:pos="8280"/>
              </w:tabs>
              <w:spacing w:after="0" w:line="240" w:lineRule="auto"/>
              <w:rPr>
                <w:rFonts w:ascii="Arial" w:eastAsia="MS Mincho" w:hAnsi="Arial" w:cs="Arial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12</w:t>
            </w:r>
          </w:p>
        </w:tc>
      </w:tr>
    </w:tbl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>1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. Death by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horsekick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. The classic example of Poisson data is the number of deaths by horse kick for each of 16 corps in the Prussian army, from 1875 to 1894.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Bortkiewicz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(1898 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>The Law of Small Numbers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) showed that the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horsekick</w:t>
      </w:r>
      <w:proofErr w:type="spell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data fit a Poisson distribution.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Symbol for response variable   ___________    and for explanatory variable   __________</w:t>
      </w: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Write the model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 </w: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begin"/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QUOTE </w:instrText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38B1D4C3" wp14:editId="193C0CF1">
            <wp:extent cx="1647825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</w:instrTex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separate"/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2FC933B2" wp14:editId="54D10BB4">
            <wp:extent cx="1647825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end"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(Fit to 1:1:1:1 assumes Poisson error)</w:t>
      </w: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>η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= __________________________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spacing w:after="160" w:line="259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Likelihood Ratio Test:  ΔG =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1.147  </w:t>
      </w:r>
      <w:proofErr w:type="spellStart"/>
      <w:r w:rsidRPr="0068037E">
        <w:rPr>
          <w:rFonts w:eastAsia="MS Mincho" w:cs="Times New Roman"/>
          <w:sz w:val="28"/>
          <w:szCs w:val="28"/>
          <w:lang w:val="en-US" w:eastAsia="ja-JP"/>
        </w:rPr>
        <w:t>df</w:t>
      </w:r>
      <w:proofErr w:type="spellEnd"/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= 3 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p = 0.7658   Therefore, 1:1:1:1 </w:t>
      </w:r>
      <w:r w:rsidR="006061CE">
        <w:rPr>
          <w:rFonts w:eastAsia="MS Mincho" w:cs="Times New Roman"/>
          <w:sz w:val="28"/>
          <w:szCs w:val="28"/>
          <w:lang w:val="en-US" w:eastAsia="ja-JP"/>
        </w:rPr>
        <w:t xml:space="preserve">is a good </w:t>
      </w:r>
      <w:r w:rsidRPr="0068037E">
        <w:rPr>
          <w:rFonts w:eastAsia="MS Mincho" w:cs="Times New Roman"/>
          <w:sz w:val="28"/>
          <w:szCs w:val="28"/>
          <w:lang w:val="en-US" w:eastAsia="ja-JP"/>
        </w:rPr>
        <w:t>fit</w:t>
      </w:r>
      <w:r w:rsidR="006061CE">
        <w:rPr>
          <w:rFonts w:eastAsia="MS Mincho" w:cs="Times New Roman"/>
          <w:sz w:val="28"/>
          <w:szCs w:val="28"/>
          <w:lang w:val="en-US" w:eastAsia="ja-JP"/>
        </w:rPr>
        <w:t xml:space="preserve"> to the data.</w:t>
      </w:r>
    </w:p>
    <w:p w:rsidR="0068037E" w:rsidRPr="0068037E" w:rsidRDefault="003976A8" w:rsidP="0068037E">
      <w:pPr>
        <w:spacing w:after="160" w:line="259" w:lineRule="auto"/>
        <w:rPr>
          <w:rFonts w:eastAsia="MS Mincho" w:cs="Times New Roman"/>
          <w:sz w:val="28"/>
          <w:szCs w:val="28"/>
          <w:lang w:val="en-US" w:eastAsia="ja-JP"/>
        </w:rPr>
      </w:pPr>
      <w:hyperlink r:id="rId8" w:history="1">
        <w:r w:rsidR="0068037E" w:rsidRPr="0068037E">
          <w:rPr>
            <w:rFonts w:eastAsia="MS Mincho" w:cs="Times New Roman"/>
            <w:color w:val="0563C1"/>
            <w:sz w:val="28"/>
            <w:szCs w:val="28"/>
            <w:u w:val="single"/>
            <w:lang w:val="en-US" w:eastAsia="ja-JP"/>
          </w:rPr>
          <w:t>http://www.mun.ca/biology/schneider/b4605/LNotes/Pt5/Ch17_2.pdf</w:t>
        </w:r>
      </w:hyperlink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br w:type="page"/>
      </w:r>
    </w:p>
    <w:p w:rsidR="0068037E" w:rsidRPr="0068037E" w:rsidRDefault="0068037E" w:rsidP="0068037E">
      <w:pPr>
        <w:tabs>
          <w:tab w:val="left" w:pos="3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proofErr w:type="spellStart"/>
      <w:proofErr w:type="gramStart"/>
      <w:r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lastRenderedPageBreak/>
        <w:t>GzLM</w:t>
      </w:r>
      <w:proofErr w:type="spellEnd"/>
      <w:r w:rsidRPr="0068037E">
        <w:rPr>
          <w:rFonts w:eastAsia="MS Mincho" w:cs="Times New Roman"/>
          <w:b/>
          <w:bCs/>
          <w:sz w:val="28"/>
          <w:szCs w:val="28"/>
          <w:lang w:val="en-US" w:eastAsia="ja-JP"/>
        </w:rPr>
        <w:tab/>
        <w:t>with fixed explanatory variables.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-  2nd example</w:t>
      </w:r>
    </w:p>
    <w:p w:rsidR="006061CE" w:rsidRDefault="006061CE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72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Nominal scale counts (units scored Y or N)   Use binomial error model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 xml:space="preserve"> 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sym w:font="Symbol" w:char="F065"/>
      </w:r>
      <w:r w:rsidRPr="0068037E">
        <w:rPr>
          <w:rFonts w:eastAsia="MS Mincho" w:cs="Times New Roman"/>
          <w:i/>
          <w:iCs/>
          <w:sz w:val="28"/>
          <w:szCs w:val="28"/>
          <w:vertAlign w:val="subscript"/>
          <w:lang w:val="en-US" w:eastAsia="ja-JP"/>
        </w:rPr>
        <w:t>binomial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2880"/>
          <w:tab w:val="left" w:pos="540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Yes/No = </w:t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>Odds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begin"/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QUOTE </w:instrText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72BAE2A3" wp14:editId="069576C9">
            <wp:extent cx="17335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</w:instrTex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separate"/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2EFAC254" wp14:editId="64FDEB07">
            <wp:extent cx="17335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end"/>
      </w:r>
    </w:p>
    <w:p w:rsidR="0068037E" w:rsidRPr="0068037E" w:rsidRDefault="0068037E" w:rsidP="0068037E">
      <w:pPr>
        <w:tabs>
          <w:tab w:val="left" w:pos="360"/>
          <w:tab w:val="left" w:pos="1440"/>
          <w:tab w:val="left" w:pos="2880"/>
          <w:tab w:val="left" w:pos="3330"/>
          <w:tab w:val="left" w:pos="540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noProof/>
          <w:szCs w:val="24"/>
          <w:lang w:eastAsia="en-CA"/>
        </w:rPr>
        <w:drawing>
          <wp:inline distT="0" distB="0" distL="0" distR="0" wp14:anchorId="7C2E5590" wp14:editId="18957657">
            <wp:extent cx="165735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>2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.  Example – Cancer in cigarette smokers. 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Data from Cornfield (1951) who established the mathematical basis for using case-control samples to estimate risk in a population.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 </w:t>
      </w:r>
    </w:p>
    <w:tbl>
      <w:tblPr>
        <w:tblpPr w:leftFromText="187" w:rightFromText="187" w:vertAnchor="text" w:horzAnchor="margin" w:tblpXSpec="right" w:tblpY="1"/>
        <w:tblOverlap w:val="never"/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0"/>
        <w:gridCol w:w="918"/>
        <w:gridCol w:w="1032"/>
        <w:gridCol w:w="1032"/>
      </w:tblGrid>
      <w:tr w:rsidR="0068037E" w:rsidRPr="0068037E" w:rsidTr="00530A48">
        <w:trPr>
          <w:trHeight w:val="289"/>
          <w:jc w:val="right"/>
        </w:trPr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</w:p>
        </w:tc>
        <w:tc>
          <w:tcPr>
            <w:tcW w:w="19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center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 xml:space="preserve">Lung Tumors 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center"/>
              <w:rPr>
                <w:rFonts w:eastAsia="MS Mincho" w:cs="Times New Roman"/>
                <w:szCs w:val="24"/>
                <w:lang w:val="en-US" w:eastAsia="ja-JP"/>
              </w:rPr>
            </w:pPr>
          </w:p>
        </w:tc>
      </w:tr>
      <w:tr w:rsidR="0068037E" w:rsidRPr="0068037E" w:rsidTr="00530A48">
        <w:trPr>
          <w:jc w:val="right"/>
        </w:trPr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Present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Absent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Total</w:t>
            </w:r>
          </w:p>
        </w:tc>
      </w:tr>
      <w:tr w:rsidR="0068037E" w:rsidRPr="0068037E" w:rsidTr="00530A48">
        <w:trPr>
          <w:jc w:val="right"/>
        </w:trPr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heavy smokers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27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99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126</w:t>
            </w:r>
          </w:p>
        </w:tc>
      </w:tr>
      <w:tr w:rsidR="0068037E" w:rsidRPr="0068037E" w:rsidTr="00530A48">
        <w:trPr>
          <w:trHeight w:val="289"/>
          <w:jc w:val="right"/>
        </w:trPr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light smokers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8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72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8037E" w:rsidRPr="0068037E" w:rsidRDefault="0068037E" w:rsidP="0068037E">
            <w:pPr>
              <w:spacing w:before="1" w:after="1" w:line="240" w:lineRule="auto"/>
              <w:jc w:val="right"/>
              <w:rPr>
                <w:rFonts w:eastAsia="MS Mincho" w:cs="Times New Roman"/>
                <w:szCs w:val="24"/>
                <w:lang w:val="en-US" w:eastAsia="ja-JP"/>
              </w:rPr>
            </w:pPr>
            <w:r w:rsidRPr="0068037E">
              <w:rPr>
                <w:rFonts w:ascii="Arial" w:eastAsia="MS Mincho" w:hAnsi="Arial" w:cs="Arial"/>
                <w:szCs w:val="24"/>
                <w:lang w:val="en-US" w:eastAsia="ja-JP"/>
              </w:rPr>
              <w:t>80</w:t>
            </w:r>
          </w:p>
        </w:tc>
      </w:tr>
    </w:tbl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Odds of tumor for 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Heavy </w:t>
      </w:r>
      <w:proofErr w:type="gramStart"/>
      <w:r w:rsidRPr="0068037E">
        <w:rPr>
          <w:rFonts w:eastAsia="MS Mincho" w:cs="Times New Roman"/>
          <w:sz w:val="28"/>
          <w:szCs w:val="28"/>
          <w:lang w:val="en-US" w:eastAsia="ja-JP"/>
        </w:rPr>
        <w:t>smokers  _</w:t>
      </w:r>
      <w:proofErr w:type="gramEnd"/>
      <w:r w:rsidRPr="0068037E">
        <w:rPr>
          <w:rFonts w:eastAsia="MS Mincho" w:cs="Times New Roman"/>
          <w:sz w:val="28"/>
          <w:szCs w:val="28"/>
          <w:lang w:val="en-US" w:eastAsia="ja-JP"/>
        </w:rPr>
        <w:t>_________</w:t>
      </w: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  <w:t>Light smokers ____________</w:t>
      </w:r>
    </w:p>
    <w:p w:rsidR="003976A8" w:rsidRDefault="003976A8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360"/>
          <w:tab w:val="left" w:pos="1440"/>
          <w:tab w:val="left" w:pos="7290"/>
          <w:tab w:val="left" w:pos="828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Symbol for response variable   ___________    and for explanatory variable   __________</w:t>
      </w: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Write the model</w:t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  <w:t xml:space="preserve">  </w: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begin"/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QUOTE </w:instrText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38E9B934" wp14:editId="7972D24F">
            <wp:extent cx="17335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instrText xml:space="preserve"> </w:instrText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separate"/>
      </w:r>
      <w:r w:rsidRPr="0068037E">
        <w:rPr>
          <w:rFonts w:eastAsia="MS Mincho" w:cs="Times New Roman"/>
          <w:noProof/>
          <w:position w:val="-6"/>
          <w:szCs w:val="24"/>
          <w:lang w:eastAsia="en-CA"/>
        </w:rPr>
        <w:drawing>
          <wp:inline distT="0" distB="0" distL="0" distR="0" wp14:anchorId="44FB1969" wp14:editId="700A9C98">
            <wp:extent cx="17335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37E">
        <w:rPr>
          <w:rFonts w:eastAsia="MS Mincho" w:cs="Times New Roman"/>
          <w:sz w:val="28"/>
          <w:szCs w:val="28"/>
          <w:lang w:val="en-US" w:eastAsia="ja-JP"/>
        </w:rPr>
        <w:fldChar w:fldCharType="end"/>
      </w: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</w:p>
    <w:p w:rsidR="0068037E" w:rsidRPr="0068037E" w:rsidRDefault="003976A8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>
        <w:rPr>
          <w:rFonts w:eastAsia="MS Mincho" w:cs="Times New Roman"/>
          <w:sz w:val="28"/>
          <w:szCs w:val="28"/>
          <w:lang w:val="en-US" w:eastAsia="ja-JP"/>
        </w:rPr>
        <w:t>(</w:t>
      </w:r>
      <w:proofErr w:type="gramStart"/>
      <w:r>
        <w:rPr>
          <w:rFonts w:eastAsia="MS Mincho" w:cs="Times New Roman"/>
          <w:sz w:val="28"/>
          <w:szCs w:val="28"/>
          <w:lang w:val="en-US" w:eastAsia="ja-JP"/>
        </w:rPr>
        <w:t>contingency</w:t>
      </w:r>
      <w:proofErr w:type="gramEnd"/>
      <w:r>
        <w:rPr>
          <w:rFonts w:eastAsia="MS Mincho" w:cs="Times New Roman"/>
          <w:sz w:val="28"/>
          <w:szCs w:val="28"/>
          <w:lang w:val="en-US" w:eastAsia="ja-JP"/>
        </w:rPr>
        <w:t xml:space="preserve"> test not correct.  </w:t>
      </w:r>
      <w:bookmarkStart w:id="0" w:name="_GoBack"/>
      <w:bookmarkEnd w:id="0"/>
      <w:r>
        <w:rPr>
          <w:rFonts w:eastAsia="MS Mincho" w:cs="Times New Roman"/>
          <w:sz w:val="28"/>
          <w:szCs w:val="28"/>
          <w:lang w:val="en-US" w:eastAsia="ja-JP"/>
        </w:rPr>
        <w:t>I</w:t>
      </w:r>
      <w:r w:rsidR="0068037E" w:rsidRPr="0068037E">
        <w:rPr>
          <w:rFonts w:eastAsia="MS Mincho" w:cs="Times New Roman"/>
          <w:sz w:val="28"/>
          <w:szCs w:val="28"/>
          <w:lang w:val="en-US" w:eastAsia="ja-JP"/>
        </w:rPr>
        <w:t>t assumes Poisson error)</w:t>
      </w: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1800"/>
          <w:tab w:val="left" w:pos="459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ab/>
      </w:r>
      <w:r w:rsidRPr="0068037E">
        <w:rPr>
          <w:rFonts w:eastAsia="MS Mincho" w:cs="Times New Roman"/>
          <w:i/>
          <w:iCs/>
          <w:sz w:val="28"/>
          <w:szCs w:val="28"/>
          <w:lang w:val="en-US" w:eastAsia="ja-JP"/>
        </w:rPr>
        <w:t>η</w:t>
      </w:r>
      <w:r w:rsidRPr="0068037E">
        <w:rPr>
          <w:rFonts w:eastAsia="MS Mincho" w:cs="Times New Roman"/>
          <w:sz w:val="28"/>
          <w:szCs w:val="28"/>
          <w:lang w:val="en-US" w:eastAsia="ja-JP"/>
        </w:rPr>
        <w:t xml:space="preserve"> = __________________________</w:t>
      </w: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r w:rsidRPr="0068037E">
        <w:rPr>
          <w:rFonts w:eastAsia="MS Mincho" w:cs="Times New Roman"/>
          <w:sz w:val="28"/>
          <w:szCs w:val="28"/>
          <w:lang w:val="en-US" w:eastAsia="ja-JP"/>
        </w:rPr>
        <w:t>The odds are 2.455 times higher for heavy than light smokers.  The 95% confidence limits are 1.05 to 5.1.  The lower limit excludes the null hypotheses OR = 1 (Odds the same for light and heavy smokers)</w:t>
      </w:r>
    </w:p>
    <w:p w:rsidR="0068037E" w:rsidRPr="0068037E" w:rsidRDefault="0068037E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</w:p>
    <w:p w:rsidR="0068037E" w:rsidRPr="0068037E" w:rsidRDefault="003976A8" w:rsidP="0068037E">
      <w:pPr>
        <w:tabs>
          <w:tab w:val="left" w:pos="2160"/>
        </w:tabs>
        <w:spacing w:after="0" w:line="240" w:lineRule="auto"/>
        <w:rPr>
          <w:rFonts w:eastAsia="MS Mincho" w:cs="Times New Roman"/>
          <w:sz w:val="28"/>
          <w:szCs w:val="28"/>
          <w:lang w:val="en-US" w:eastAsia="ja-JP"/>
        </w:rPr>
      </w:pPr>
      <w:hyperlink r:id="rId10" w:history="1">
        <w:r w:rsidR="0068037E" w:rsidRPr="0068037E">
          <w:rPr>
            <w:rFonts w:eastAsia="MS Mincho" w:cs="Times New Roman"/>
            <w:color w:val="0563C1"/>
            <w:sz w:val="28"/>
            <w:szCs w:val="28"/>
            <w:u w:val="single"/>
            <w:lang w:val="en-US" w:eastAsia="ja-JP"/>
          </w:rPr>
          <w:t>http://www.mun.ca/biology/schneider/b4605/LNotes/Pt5/Ch18_3.pdf</w:t>
        </w:r>
      </w:hyperlink>
    </w:p>
    <w:p w:rsidR="0068037E" w:rsidRDefault="0068037E"/>
    <w:sectPr w:rsidR="0068037E" w:rsidSect="0068037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7E"/>
    <w:rsid w:val="0011067B"/>
    <w:rsid w:val="001F25B7"/>
    <w:rsid w:val="003976A8"/>
    <w:rsid w:val="004236A1"/>
    <w:rsid w:val="005C0255"/>
    <w:rsid w:val="00600471"/>
    <w:rsid w:val="006061CE"/>
    <w:rsid w:val="0068037E"/>
    <w:rsid w:val="006B42B1"/>
    <w:rsid w:val="00AB7D70"/>
    <w:rsid w:val="00BE102B"/>
    <w:rsid w:val="00D72AF0"/>
    <w:rsid w:val="00D85B09"/>
    <w:rsid w:val="00F9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7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B09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7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B09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n.ca/biology/schneider/b4605/LNotes/Pt5/Ch17_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un.ca/biology/schneider/b4605/LNotes/Pt5/Ch18_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7</cp:revision>
  <dcterms:created xsi:type="dcterms:W3CDTF">2017-10-27T01:33:00Z</dcterms:created>
  <dcterms:modified xsi:type="dcterms:W3CDTF">2019-11-05T14:44:00Z</dcterms:modified>
</cp:coreProperties>
</file>