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E8629" w14:textId="77777777" w:rsidR="007C37BE" w:rsidRDefault="00BA5A3F" w:rsidP="00BA5A3F">
      <w:pPr>
        <w:pStyle w:val="Title"/>
      </w:pPr>
      <w:r>
        <w:t>OUWIN Chicken Creek Calibration</w:t>
      </w:r>
    </w:p>
    <w:p w14:paraId="16DDC623" w14:textId="77777777" w:rsidR="00BA5A3F" w:rsidRDefault="00BA5A3F" w:rsidP="00BA5A3F">
      <w:r>
        <w:t>David R. Conklin, Oregon Freshwater Simulations, 8/2</w:t>
      </w:r>
      <w:r w:rsidR="000B4C67">
        <w:t>9</w:t>
      </w:r>
      <w:r>
        <w:t>/19</w:t>
      </w:r>
    </w:p>
    <w:p w14:paraId="5506EE20" w14:textId="4EE942F2" w:rsidR="00BA5A3F" w:rsidRDefault="00BA5A3F" w:rsidP="00BA5A3F"/>
    <w:p w14:paraId="65BA1CD9" w14:textId="550B5094" w:rsidR="002E5A66" w:rsidRDefault="00481502" w:rsidP="002E5A66">
      <w:pPr>
        <w:pStyle w:val="Heading1"/>
      </w:pPr>
      <w:r>
        <w:t>Overview</w:t>
      </w:r>
    </w:p>
    <w:p w14:paraId="2E1F3068" w14:textId="77777777" w:rsidR="003E403B" w:rsidRPr="003E403B" w:rsidRDefault="003E403B" w:rsidP="003E403B"/>
    <w:p w14:paraId="584B2A45" w14:textId="18B72B31" w:rsidR="000B4C67" w:rsidRDefault="003513A4" w:rsidP="00BA5A3F">
      <w:r>
        <w:t>This document describes a calibration in July and August 2019</w:t>
      </w:r>
      <w:r w:rsidR="009B24ED">
        <w:t xml:space="preserve"> of the OUWIN model for the Chicken Creek watershed.  </w:t>
      </w:r>
      <w:r w:rsidR="004B416D">
        <w:t>Although</w:t>
      </w:r>
      <w:r w:rsidR="000B4C67">
        <w:t xml:space="preserve"> the OUWIN model simulates the entire Willamette River basin, it uses distinct sets of parameter values for different watersheds within the basin.  </w:t>
      </w:r>
      <w:r w:rsidR="00E3385E">
        <w:t>In this context, “calibration” means the process of selecting</w:t>
      </w:r>
      <w:r w:rsidR="000B4C67">
        <w:t xml:space="preserve"> particular parameter values for a given watershed </w:t>
      </w:r>
      <w:r w:rsidR="00E3385E">
        <w:t>so as</w:t>
      </w:r>
      <w:r w:rsidR="000B4C67">
        <w:t xml:space="preserve"> to minimize the difference between </w:t>
      </w:r>
      <w:r w:rsidR="00E3385E">
        <w:t xml:space="preserve">simulated daily flows and measured daily flows. </w:t>
      </w:r>
    </w:p>
    <w:p w14:paraId="56A18855" w14:textId="77777777" w:rsidR="00E3385E" w:rsidRDefault="00E3385E" w:rsidP="00BA5A3F"/>
    <w:p w14:paraId="1AA2AE5D" w14:textId="2BE9DF8E" w:rsidR="00AA310A" w:rsidRDefault="00E3385E" w:rsidP="00BA5A3F">
      <w:r>
        <w:t xml:space="preserve">Papers by Moriasi and co-authors (Moriasi et al. </w:t>
      </w:r>
      <w:r w:rsidR="00C95536">
        <w:t>2007</w:t>
      </w:r>
      <w:r>
        <w:t xml:space="preserve"> and </w:t>
      </w:r>
      <w:r w:rsidR="00C95536">
        <w:t>2015</w:t>
      </w:r>
      <w:r>
        <w:t xml:space="preserve">) describe statistics which may be used to judge how skillful a hydrological model is at </w:t>
      </w:r>
      <w:r w:rsidR="004C7F98">
        <w:t xml:space="preserve">reproducing the observed flows.  Moriasi et al. include threshold values for each of a small handful of statistics, for distinguishing different levels of model performance as </w:t>
      </w:r>
      <w:r w:rsidR="00E543DF">
        <w:t>“very good”, “good”, “satisfactory”</w:t>
      </w:r>
      <w:r w:rsidR="00AA310A">
        <w:t>, or “not satisfactory”.</w:t>
      </w:r>
    </w:p>
    <w:p w14:paraId="022F59C4" w14:textId="77777777" w:rsidR="00BE1E76" w:rsidRDefault="00BE1E76" w:rsidP="00BA5A3F"/>
    <w:p w14:paraId="6D93541F" w14:textId="648449AE" w:rsidR="00E3385E" w:rsidRDefault="0061649A" w:rsidP="00BA5A3F">
      <w:r>
        <w:t xml:space="preserve">At first </w:t>
      </w:r>
      <w:r w:rsidR="00E3385E">
        <w:t>the OUWIN model used parameter values inherited from the WW2100 model</w:t>
      </w:r>
      <w:r w:rsidR="004C7F98">
        <w:t>.  The OUWIN model, like the earlier WW2100 model, reproduced flows reasonably well at a monthly timestep, but poorly at a daily timestep</w:t>
      </w:r>
      <w:r w:rsidR="00BE1E76">
        <w:t>.</w:t>
      </w:r>
      <w:r w:rsidR="004C7F98">
        <w:t xml:space="preserve"> </w:t>
      </w:r>
      <w:r w:rsidR="00BE1E76">
        <w:t xml:space="preserve">The model </w:t>
      </w:r>
      <w:r w:rsidR="00BF5E5C">
        <w:t>has since been</w:t>
      </w:r>
      <w:r w:rsidR="00BE1E76">
        <w:t xml:space="preserve"> recalibrated to improve its skill at the daily timestep </w:t>
      </w:r>
      <w:r w:rsidR="004C7F98">
        <w:t>(Table 1).</w:t>
      </w:r>
    </w:p>
    <w:p w14:paraId="480F11A4" w14:textId="77777777" w:rsidR="004C7F98" w:rsidRDefault="004C7F98" w:rsidP="00BA5A3F"/>
    <w:p w14:paraId="7D985EE0" w14:textId="053A316D" w:rsidR="004C7F98" w:rsidRPr="00284C11" w:rsidRDefault="004C7F98" w:rsidP="00BA5A3F">
      <w:r w:rsidRPr="00284C11">
        <w:t>Table 1. Model skill statistics for the Chicken Creek watershed</w:t>
      </w:r>
      <w:r w:rsidR="00C04619" w:rsidRPr="00284C11">
        <w:t xml:space="preserve"> for the</w:t>
      </w:r>
      <w:r w:rsidR="002C034C" w:rsidRPr="00284C11">
        <w:t xml:space="preserve"> calibration period, 2009-</w:t>
      </w:r>
      <w:commentRangeStart w:id="0"/>
      <w:r w:rsidR="002C034C" w:rsidRPr="00284C11">
        <w:t>15</w:t>
      </w:r>
      <w:commentRangeEnd w:id="0"/>
      <w:r w:rsidR="008A55D3">
        <w:rPr>
          <w:rStyle w:val="CommentReference"/>
        </w:rPr>
        <w:commentReference w:id="0"/>
      </w:r>
      <w:r w:rsidR="00146BBB" w:rsidRPr="00284C11">
        <w:t>.</w:t>
      </w:r>
    </w:p>
    <w:tbl>
      <w:tblPr>
        <w:tblStyle w:val="TableGrid"/>
        <w:tblW w:w="8725" w:type="dxa"/>
        <w:tblLook w:val="04A0" w:firstRow="1" w:lastRow="0" w:firstColumn="1" w:lastColumn="0" w:noHBand="0" w:noVBand="1"/>
      </w:tblPr>
      <w:tblGrid>
        <w:gridCol w:w="4014"/>
        <w:gridCol w:w="1111"/>
        <w:gridCol w:w="1098"/>
        <w:gridCol w:w="317"/>
        <w:gridCol w:w="1105"/>
        <w:gridCol w:w="1080"/>
      </w:tblGrid>
      <w:tr w:rsidR="002E12D3" w14:paraId="3B8F7743" w14:textId="77777777" w:rsidTr="00232C42">
        <w:tc>
          <w:tcPr>
            <w:tcW w:w="4014" w:type="dxa"/>
          </w:tcPr>
          <w:p w14:paraId="2CE6FB10" w14:textId="5A642643" w:rsidR="002E12D3" w:rsidRPr="002542A6" w:rsidRDefault="00F25261" w:rsidP="00BA5A3F">
            <w:pPr>
              <w:rPr>
                <w:b/>
                <w:bCs/>
              </w:rPr>
            </w:pPr>
            <w:r>
              <w:rPr>
                <w:b/>
                <w:bCs/>
              </w:rPr>
              <w:t>s</w:t>
            </w:r>
            <w:r w:rsidR="002E12D3" w:rsidRPr="002542A6">
              <w:rPr>
                <w:b/>
                <w:bCs/>
              </w:rPr>
              <w:t xml:space="preserve">tatistic, after Moriasi et al </w:t>
            </w:r>
            <w:r w:rsidR="00EE0DA2" w:rsidRPr="002542A6">
              <w:rPr>
                <w:b/>
                <w:bCs/>
              </w:rPr>
              <w:t>2007</w:t>
            </w:r>
            <w:r w:rsidR="002E12D3" w:rsidRPr="002542A6">
              <w:rPr>
                <w:b/>
                <w:bCs/>
              </w:rPr>
              <w:t xml:space="preserve"> and </w:t>
            </w:r>
            <w:r w:rsidR="00027A79" w:rsidRPr="002542A6">
              <w:rPr>
                <w:b/>
                <w:bCs/>
              </w:rPr>
              <w:t>2015</w:t>
            </w:r>
          </w:p>
        </w:tc>
        <w:tc>
          <w:tcPr>
            <w:tcW w:w="1111" w:type="dxa"/>
          </w:tcPr>
          <w:p w14:paraId="343A6656" w14:textId="1D92C1DD" w:rsidR="002E12D3" w:rsidRPr="002542A6" w:rsidRDefault="00F25261" w:rsidP="00BA5A3F">
            <w:pPr>
              <w:rPr>
                <w:b/>
                <w:bCs/>
              </w:rPr>
            </w:pPr>
            <w:r>
              <w:rPr>
                <w:b/>
                <w:bCs/>
              </w:rPr>
              <w:t>o</w:t>
            </w:r>
            <w:r w:rsidR="002E12D3" w:rsidRPr="002542A6">
              <w:rPr>
                <w:b/>
                <w:bCs/>
              </w:rPr>
              <w:t>riginal monthly</w:t>
            </w:r>
          </w:p>
        </w:tc>
        <w:tc>
          <w:tcPr>
            <w:tcW w:w="1098" w:type="dxa"/>
          </w:tcPr>
          <w:p w14:paraId="7C77CF21" w14:textId="5B34965A" w:rsidR="002E12D3" w:rsidRPr="002542A6" w:rsidRDefault="00F25261" w:rsidP="00BA5A3F">
            <w:pPr>
              <w:rPr>
                <w:b/>
                <w:bCs/>
              </w:rPr>
            </w:pPr>
            <w:r>
              <w:rPr>
                <w:b/>
                <w:bCs/>
              </w:rPr>
              <w:t>n</w:t>
            </w:r>
            <w:r w:rsidR="002E12D3" w:rsidRPr="002542A6">
              <w:rPr>
                <w:b/>
                <w:bCs/>
              </w:rPr>
              <w:t>ew monthly</w:t>
            </w:r>
          </w:p>
        </w:tc>
        <w:tc>
          <w:tcPr>
            <w:tcW w:w="317" w:type="dxa"/>
          </w:tcPr>
          <w:p w14:paraId="3474C607" w14:textId="77777777" w:rsidR="002E12D3" w:rsidRPr="002542A6" w:rsidRDefault="002E12D3" w:rsidP="00BA5A3F">
            <w:pPr>
              <w:rPr>
                <w:b/>
                <w:bCs/>
              </w:rPr>
            </w:pPr>
          </w:p>
        </w:tc>
        <w:tc>
          <w:tcPr>
            <w:tcW w:w="1105" w:type="dxa"/>
          </w:tcPr>
          <w:p w14:paraId="37307428" w14:textId="7FB86069" w:rsidR="002E12D3" w:rsidRPr="002542A6" w:rsidRDefault="00F75AD1" w:rsidP="00BA5A3F">
            <w:pPr>
              <w:rPr>
                <w:b/>
                <w:bCs/>
              </w:rPr>
            </w:pPr>
            <w:r>
              <w:rPr>
                <w:b/>
                <w:bCs/>
              </w:rPr>
              <w:t>o</w:t>
            </w:r>
            <w:r w:rsidR="002E12D3" w:rsidRPr="002542A6">
              <w:rPr>
                <w:b/>
                <w:bCs/>
              </w:rPr>
              <w:t>riginal daily</w:t>
            </w:r>
          </w:p>
        </w:tc>
        <w:tc>
          <w:tcPr>
            <w:tcW w:w="1080" w:type="dxa"/>
          </w:tcPr>
          <w:p w14:paraId="60799F4C" w14:textId="4043A66D" w:rsidR="002E12D3" w:rsidRPr="002542A6" w:rsidRDefault="00F75AD1" w:rsidP="00BA5A3F">
            <w:pPr>
              <w:rPr>
                <w:b/>
                <w:bCs/>
              </w:rPr>
            </w:pPr>
            <w:r>
              <w:rPr>
                <w:b/>
                <w:bCs/>
              </w:rPr>
              <w:t>n</w:t>
            </w:r>
            <w:r w:rsidR="002E12D3" w:rsidRPr="002542A6">
              <w:rPr>
                <w:b/>
                <w:bCs/>
              </w:rPr>
              <w:t>ew daily</w:t>
            </w:r>
          </w:p>
        </w:tc>
      </w:tr>
      <w:tr w:rsidR="002E12D3" w14:paraId="5563C843" w14:textId="77777777" w:rsidTr="00232C42">
        <w:tc>
          <w:tcPr>
            <w:tcW w:w="4014" w:type="dxa"/>
          </w:tcPr>
          <w:p w14:paraId="214D2414" w14:textId="66D61F6C" w:rsidR="002E12D3" w:rsidRPr="000F41AA" w:rsidRDefault="00815FCA" w:rsidP="00BA5A3F">
            <w:r>
              <w:t>coefficient of determination</w:t>
            </w:r>
            <w:r w:rsidR="00FA3790">
              <w:t xml:space="preserve"> (R</w:t>
            </w:r>
            <w:r w:rsidR="00FA3790">
              <w:rPr>
                <w:vertAlign w:val="superscript"/>
              </w:rPr>
              <w:t>2</w:t>
            </w:r>
            <w:r w:rsidR="000F41AA">
              <w:t>)</w:t>
            </w:r>
          </w:p>
        </w:tc>
        <w:tc>
          <w:tcPr>
            <w:tcW w:w="1111" w:type="dxa"/>
          </w:tcPr>
          <w:p w14:paraId="276DDFD8" w14:textId="06EAB178" w:rsidR="002E12D3" w:rsidRDefault="002E12D3" w:rsidP="00BA5A3F">
            <w:r>
              <w:t>0.96</w:t>
            </w:r>
            <w:r w:rsidR="00DD1956">
              <w:t>3</w:t>
            </w:r>
            <w:r>
              <w:t xml:space="preserve"> VG</w:t>
            </w:r>
          </w:p>
        </w:tc>
        <w:tc>
          <w:tcPr>
            <w:tcW w:w="1098" w:type="dxa"/>
          </w:tcPr>
          <w:p w14:paraId="22A66F6E" w14:textId="0251E041" w:rsidR="002E12D3" w:rsidRDefault="002E12D3" w:rsidP="00BA5A3F">
            <w:r>
              <w:t>0.9</w:t>
            </w:r>
            <w:r w:rsidR="008F711A">
              <w:t>4</w:t>
            </w:r>
            <w:r w:rsidR="00B35451">
              <w:t>9</w:t>
            </w:r>
            <w:r>
              <w:t xml:space="preserve"> VG</w:t>
            </w:r>
          </w:p>
        </w:tc>
        <w:tc>
          <w:tcPr>
            <w:tcW w:w="317" w:type="dxa"/>
          </w:tcPr>
          <w:p w14:paraId="297587AC" w14:textId="77777777" w:rsidR="002E12D3" w:rsidRDefault="002E12D3" w:rsidP="00BA5A3F"/>
        </w:tc>
        <w:tc>
          <w:tcPr>
            <w:tcW w:w="1105" w:type="dxa"/>
          </w:tcPr>
          <w:p w14:paraId="2F23D66E" w14:textId="737FE41E" w:rsidR="002E12D3" w:rsidRDefault="002E12D3" w:rsidP="00BA5A3F">
            <w:r>
              <w:t>0.51 NS</w:t>
            </w:r>
          </w:p>
        </w:tc>
        <w:tc>
          <w:tcPr>
            <w:tcW w:w="1080" w:type="dxa"/>
          </w:tcPr>
          <w:p w14:paraId="6FE3448A" w14:textId="09C91E73" w:rsidR="002E12D3" w:rsidRDefault="002E12D3" w:rsidP="00BA5A3F">
            <w:r>
              <w:t>0.</w:t>
            </w:r>
            <w:r w:rsidR="009A46AA">
              <w:t>801</w:t>
            </w:r>
            <w:r>
              <w:t xml:space="preserve"> G</w:t>
            </w:r>
          </w:p>
        </w:tc>
      </w:tr>
      <w:tr w:rsidR="00A042C3" w14:paraId="1BEBB8EA" w14:textId="77777777" w:rsidTr="00232C42">
        <w:tc>
          <w:tcPr>
            <w:tcW w:w="4014" w:type="dxa"/>
          </w:tcPr>
          <w:p w14:paraId="754B7E5B" w14:textId="6DC99143" w:rsidR="00A042C3" w:rsidRDefault="00A042C3" w:rsidP="00A042C3">
            <w:r>
              <w:t xml:space="preserve">Nash-Sutcliffe </w:t>
            </w:r>
            <w:r w:rsidR="00F54D24">
              <w:t>e</w:t>
            </w:r>
            <w:r>
              <w:t>fficiency</w:t>
            </w:r>
            <w:r w:rsidR="000F41AA">
              <w:t xml:space="preserve"> (NSE)</w:t>
            </w:r>
          </w:p>
        </w:tc>
        <w:tc>
          <w:tcPr>
            <w:tcW w:w="1111" w:type="dxa"/>
          </w:tcPr>
          <w:p w14:paraId="6C3B4E96" w14:textId="6E1BBC43" w:rsidR="00A042C3" w:rsidRDefault="00A042C3" w:rsidP="00A042C3">
            <w:r>
              <w:t>0.96</w:t>
            </w:r>
            <w:r w:rsidR="008F711A">
              <w:t>2</w:t>
            </w:r>
            <w:r>
              <w:t xml:space="preserve"> VG</w:t>
            </w:r>
          </w:p>
        </w:tc>
        <w:tc>
          <w:tcPr>
            <w:tcW w:w="1098" w:type="dxa"/>
          </w:tcPr>
          <w:p w14:paraId="3A42AF21" w14:textId="3D4D2BAF" w:rsidR="00A042C3" w:rsidRDefault="00A042C3" w:rsidP="00A042C3">
            <w:r>
              <w:t>0.9</w:t>
            </w:r>
            <w:r w:rsidR="00B35451">
              <w:t>47</w:t>
            </w:r>
            <w:r>
              <w:t xml:space="preserve"> VG</w:t>
            </w:r>
          </w:p>
        </w:tc>
        <w:tc>
          <w:tcPr>
            <w:tcW w:w="317" w:type="dxa"/>
          </w:tcPr>
          <w:p w14:paraId="2B45485A" w14:textId="77777777" w:rsidR="00A042C3" w:rsidRDefault="00A042C3" w:rsidP="00A042C3"/>
        </w:tc>
        <w:tc>
          <w:tcPr>
            <w:tcW w:w="1105" w:type="dxa"/>
          </w:tcPr>
          <w:p w14:paraId="1BF5637D" w14:textId="3EF6FF54" w:rsidR="00A042C3" w:rsidRDefault="00A042C3" w:rsidP="00A042C3">
            <w:r>
              <w:t>0.44 NS</w:t>
            </w:r>
          </w:p>
        </w:tc>
        <w:tc>
          <w:tcPr>
            <w:tcW w:w="1080" w:type="dxa"/>
          </w:tcPr>
          <w:p w14:paraId="2FF66E21" w14:textId="52200885" w:rsidR="00A042C3" w:rsidRDefault="00A042C3" w:rsidP="00A042C3">
            <w:r>
              <w:t>0.</w:t>
            </w:r>
            <w:r w:rsidR="00AE3970">
              <w:t>798</w:t>
            </w:r>
            <w:r>
              <w:t xml:space="preserve"> G</w:t>
            </w:r>
          </w:p>
        </w:tc>
      </w:tr>
      <w:tr w:rsidR="00A042C3" w14:paraId="6AEE24D9" w14:textId="77777777" w:rsidTr="00232C42">
        <w:tc>
          <w:tcPr>
            <w:tcW w:w="4014" w:type="dxa"/>
          </w:tcPr>
          <w:p w14:paraId="09DF1E5C" w14:textId="58505955" w:rsidR="00A042C3" w:rsidRDefault="00F54D24" w:rsidP="00A042C3">
            <w:r>
              <w:t>p</w:t>
            </w:r>
            <w:r w:rsidR="00A042C3">
              <w:t xml:space="preserve">ercent </w:t>
            </w:r>
            <w:r>
              <w:t>b</w:t>
            </w:r>
            <w:r w:rsidR="00A042C3">
              <w:t>ias</w:t>
            </w:r>
            <w:r w:rsidR="000F41AA">
              <w:t xml:space="preserve"> (PBIAS)</w:t>
            </w:r>
          </w:p>
        </w:tc>
        <w:tc>
          <w:tcPr>
            <w:tcW w:w="1111" w:type="dxa"/>
          </w:tcPr>
          <w:p w14:paraId="4F9C5ACE" w14:textId="2EF06B0C" w:rsidR="00A042C3" w:rsidRDefault="00A042C3" w:rsidP="00A042C3">
            <w:r>
              <w:t>2.</w:t>
            </w:r>
            <w:r w:rsidR="00B35451">
              <w:t>65</w:t>
            </w:r>
            <w:r>
              <w:t>% VG</w:t>
            </w:r>
          </w:p>
        </w:tc>
        <w:tc>
          <w:tcPr>
            <w:tcW w:w="1098" w:type="dxa"/>
          </w:tcPr>
          <w:p w14:paraId="0E875546" w14:textId="3B53B30A" w:rsidR="00A042C3" w:rsidRDefault="00A042C3" w:rsidP="00A042C3">
            <w:r>
              <w:t>2.</w:t>
            </w:r>
            <w:r w:rsidR="00077EBA">
              <w:t>66</w:t>
            </w:r>
            <w:r>
              <w:t>% VG</w:t>
            </w:r>
          </w:p>
        </w:tc>
        <w:tc>
          <w:tcPr>
            <w:tcW w:w="317" w:type="dxa"/>
          </w:tcPr>
          <w:p w14:paraId="78F90AF7" w14:textId="77777777" w:rsidR="00A042C3" w:rsidRDefault="00A042C3" w:rsidP="00A042C3"/>
        </w:tc>
        <w:tc>
          <w:tcPr>
            <w:tcW w:w="1105" w:type="dxa"/>
          </w:tcPr>
          <w:p w14:paraId="1EB0BA9F" w14:textId="68D69349" w:rsidR="00A042C3" w:rsidRDefault="00A042C3" w:rsidP="00A042C3">
            <w:r>
              <w:t>2.6</w:t>
            </w:r>
            <w:r w:rsidR="00797E5A">
              <w:t>0</w:t>
            </w:r>
            <w:r>
              <w:t>% VG</w:t>
            </w:r>
          </w:p>
        </w:tc>
        <w:tc>
          <w:tcPr>
            <w:tcW w:w="1080" w:type="dxa"/>
          </w:tcPr>
          <w:p w14:paraId="3F335FE5" w14:textId="549EE851" w:rsidR="00A042C3" w:rsidRDefault="00955B94" w:rsidP="00A042C3">
            <w:r>
              <w:t>5.31</w:t>
            </w:r>
            <w:r w:rsidR="00A042C3">
              <w:t>% G</w:t>
            </w:r>
          </w:p>
        </w:tc>
      </w:tr>
      <w:tr w:rsidR="00A042C3" w14:paraId="1BFB1A77" w14:textId="77777777" w:rsidTr="00232C42">
        <w:tc>
          <w:tcPr>
            <w:tcW w:w="4014" w:type="dxa"/>
          </w:tcPr>
          <w:p w14:paraId="76A2B88F" w14:textId="51D7EC07" w:rsidR="00A042C3" w:rsidRDefault="000F41AA" w:rsidP="00A042C3">
            <w:r>
              <w:t>RMSE:</w:t>
            </w:r>
            <w:r w:rsidR="00EA6D4E">
              <w:t>observations std. dev. ratio (</w:t>
            </w:r>
            <w:r w:rsidR="00A042C3">
              <w:t>RSR</w:t>
            </w:r>
            <w:r w:rsidR="00EA6D4E">
              <w:t>)</w:t>
            </w:r>
          </w:p>
        </w:tc>
        <w:tc>
          <w:tcPr>
            <w:tcW w:w="1111" w:type="dxa"/>
          </w:tcPr>
          <w:p w14:paraId="5B8F31EB" w14:textId="6A97C130" w:rsidR="00A042C3" w:rsidRDefault="00A042C3" w:rsidP="00A042C3">
            <w:r>
              <w:t>0.19 VG</w:t>
            </w:r>
          </w:p>
        </w:tc>
        <w:tc>
          <w:tcPr>
            <w:tcW w:w="1098" w:type="dxa"/>
          </w:tcPr>
          <w:p w14:paraId="4BF59DE3" w14:textId="2739181F" w:rsidR="00A042C3" w:rsidRDefault="00A042C3" w:rsidP="00A042C3">
            <w:r>
              <w:t>0.23 VG</w:t>
            </w:r>
          </w:p>
        </w:tc>
        <w:tc>
          <w:tcPr>
            <w:tcW w:w="317" w:type="dxa"/>
          </w:tcPr>
          <w:p w14:paraId="74ABF18F" w14:textId="77777777" w:rsidR="00A042C3" w:rsidRDefault="00A042C3" w:rsidP="00A042C3"/>
        </w:tc>
        <w:tc>
          <w:tcPr>
            <w:tcW w:w="1105" w:type="dxa"/>
          </w:tcPr>
          <w:p w14:paraId="0B8F701D" w14:textId="2CF31EA6" w:rsidR="00A042C3" w:rsidRDefault="00A042C3" w:rsidP="00A042C3">
            <w:r>
              <w:t>0.75 NS</w:t>
            </w:r>
          </w:p>
        </w:tc>
        <w:tc>
          <w:tcPr>
            <w:tcW w:w="1080" w:type="dxa"/>
          </w:tcPr>
          <w:p w14:paraId="04972B43" w14:textId="177BB3CF" w:rsidR="00A042C3" w:rsidRDefault="00A042C3" w:rsidP="00A042C3">
            <w:r>
              <w:t>0.4</w:t>
            </w:r>
            <w:r w:rsidR="00AF2A0F">
              <w:t>8</w:t>
            </w:r>
            <w:r>
              <w:t xml:space="preserve"> VG</w:t>
            </w:r>
          </w:p>
        </w:tc>
      </w:tr>
    </w:tbl>
    <w:p w14:paraId="0D4FEF24" w14:textId="48423452" w:rsidR="00EA76DF" w:rsidRDefault="00C701DF" w:rsidP="00BA5A3F">
      <w:r>
        <w:t xml:space="preserve">Note: </w:t>
      </w:r>
      <w:r w:rsidR="00FF660F">
        <w:t xml:space="preserve">VG = good, G= good, S = satisfactory, NS = </w:t>
      </w:r>
      <w:r w:rsidR="00A9215E">
        <w:t xml:space="preserve">not satisfactory. </w:t>
      </w:r>
      <w:r w:rsidR="002101DC">
        <w:t>Original statistics are for calendar years 2009-</w:t>
      </w:r>
      <w:r w:rsidR="00284C11">
        <w:t>15. New statistics are for water years 2009-15.</w:t>
      </w:r>
    </w:p>
    <w:p w14:paraId="3F358341" w14:textId="265E21CE" w:rsidR="00284C11" w:rsidRDefault="00284C11" w:rsidP="00BA5A3F"/>
    <w:p w14:paraId="0443A1E6" w14:textId="0E5E9A13" w:rsidR="00481502" w:rsidRDefault="00481502" w:rsidP="00481502">
      <w:pPr>
        <w:pStyle w:val="Heading1"/>
      </w:pPr>
      <w:r>
        <w:t>HBV parameters</w:t>
      </w:r>
    </w:p>
    <w:p w14:paraId="5E497383" w14:textId="77777777" w:rsidR="00500B21" w:rsidRPr="00500B21" w:rsidRDefault="00500B21" w:rsidP="00500B21"/>
    <w:p w14:paraId="1F95E635" w14:textId="08DFB144" w:rsidR="00BE1E76" w:rsidRDefault="00BE1E76" w:rsidP="00BA5A3F">
      <w:r>
        <w:t>OUWIN uses a variant of the HBV precipitation-runoff model (Seibert 1997).</w:t>
      </w:r>
      <w:r w:rsidR="009E4DB1">
        <w:t xml:space="preserve">  The OUWIN version of HBV has 1</w:t>
      </w:r>
      <w:r w:rsidR="002D77D6">
        <w:t>2</w:t>
      </w:r>
      <w:r w:rsidR="009E4DB1">
        <w:t xml:space="preserve"> parameters (Table 2).</w:t>
      </w:r>
      <w:r>
        <w:t xml:space="preserve">  In the Chicken Creek calibration, 4 parameters were fixed (TT, CFMAX, CFR, and WP) and 8 parameters were calibrated (FC, BETA, PERC, UZL, K0, K1, K2, and ET_MULT).</w:t>
      </w:r>
      <w:r w:rsidR="009E4DB1">
        <w:t xml:space="preserve">  Three (TT, CFMAX, CFR) of the four fixed parameters relate to proportions of snow v. rain.  Since snow seldom falls in the Chicken Creek watershed, these three parameters have little effect on the model’s skill; plausible fixed values were set, taken from previous work with the WW2100 model.  The model is </w:t>
      </w:r>
      <w:r w:rsidR="00E1663C">
        <w:t xml:space="preserve">also </w:t>
      </w:r>
      <w:r w:rsidR="009E4DB1">
        <w:t xml:space="preserve">relatively insensitive to </w:t>
      </w:r>
      <w:r w:rsidR="00E1663C">
        <w:t xml:space="preserve">the wilting point parameter </w:t>
      </w:r>
      <w:r w:rsidR="009E4DB1">
        <w:t xml:space="preserve">WP, so </w:t>
      </w:r>
      <w:r w:rsidR="00A07C10">
        <w:t>WP</w:t>
      </w:r>
      <w:r w:rsidR="009E4DB1">
        <w:t xml:space="preserve"> was fixed at a widely used value from the literature.</w:t>
      </w:r>
      <w:r w:rsidR="005378A2">
        <w:t xml:space="preserve">  The K2 parameter was first </w:t>
      </w:r>
      <w:r w:rsidR="00056716">
        <w:t>determined by the automated method described below</w:t>
      </w:r>
      <w:r w:rsidR="005378A2">
        <w:t>, then adjusted manually to improve model skill during low flow periods.</w:t>
      </w:r>
    </w:p>
    <w:p w14:paraId="54AD5007" w14:textId="77777777" w:rsidR="009E4DB1" w:rsidRDefault="009E4DB1" w:rsidP="00BA5A3F"/>
    <w:p w14:paraId="17E3EF0B" w14:textId="1163FCFC" w:rsidR="009E4DB1" w:rsidRDefault="009E4DB1" w:rsidP="00BA5A3F">
      <w:r>
        <w:lastRenderedPageBreak/>
        <w:t>All but one of the 8 calibrated parameters</w:t>
      </w:r>
      <w:r w:rsidR="002A0340">
        <w:t xml:space="preserve"> are present in other versions of HBV.  The ET_MULT parameter is not; it was added in the OUWIN project to adjust for uncertainty in the gross amount of vegetation in the watershed.  Chicken Creek is a mixture of urban, agricultural, and forest lands.  The evapotranspiration (ET) term in the water budget is largely driven by the fraction of forest lands and the  leaf area of the forests, but those values are poorly known.  ET_MULT is a simple multiplier on the </w:t>
      </w:r>
      <w:r w:rsidR="007556B6">
        <w:t xml:space="preserve">simulated </w:t>
      </w:r>
      <w:r w:rsidR="002A0340">
        <w:t>amount of ET from the forest lands</w:t>
      </w:r>
      <w:r w:rsidR="007556B6">
        <w:t>.</w:t>
      </w:r>
      <w:r w:rsidR="00EA1E4E">
        <w:t xml:space="preserve">  Forest ET</w:t>
      </w:r>
      <w:r w:rsidR="00173733">
        <w:t xml:space="preserve"> is estimated </w:t>
      </w:r>
      <w:r w:rsidR="00E75FF6">
        <w:t>using</w:t>
      </w:r>
      <w:r w:rsidR="00173733">
        <w:t xml:space="preserve"> the Penman-Monteith equation</w:t>
      </w:r>
      <w:r w:rsidR="001F772D">
        <w:t xml:space="preserve">, outside of the </w:t>
      </w:r>
      <w:r w:rsidR="008460FF">
        <w:t>HBV module.</w:t>
      </w:r>
    </w:p>
    <w:p w14:paraId="77685049" w14:textId="2BB037A1" w:rsidR="006472AB" w:rsidRDefault="006472AB">
      <w:pPr>
        <w:rPr>
          <w:highlight w:val="cyan"/>
        </w:rPr>
      </w:pPr>
    </w:p>
    <w:p w14:paraId="0B36C65E" w14:textId="5CCF9976" w:rsidR="002D77D6" w:rsidRDefault="001141D8" w:rsidP="002D77D6">
      <w:r w:rsidRPr="00C30BEE">
        <w:t>Table 2. HBV parameters in OUWIN</w:t>
      </w:r>
    </w:p>
    <w:tbl>
      <w:tblPr>
        <w:tblStyle w:val="TableGrid"/>
        <w:tblW w:w="0" w:type="auto"/>
        <w:tblLook w:val="04A0" w:firstRow="1" w:lastRow="0" w:firstColumn="1" w:lastColumn="0" w:noHBand="0" w:noVBand="1"/>
      </w:tblPr>
      <w:tblGrid>
        <w:gridCol w:w="3943"/>
        <w:gridCol w:w="1722"/>
        <w:gridCol w:w="2070"/>
        <w:gridCol w:w="1615"/>
      </w:tblGrid>
      <w:tr w:rsidR="00310F08" w14:paraId="118D28F3" w14:textId="17D0C7F7" w:rsidTr="004A064E">
        <w:tc>
          <w:tcPr>
            <w:tcW w:w="3943" w:type="dxa"/>
          </w:tcPr>
          <w:p w14:paraId="4F64BB98" w14:textId="77777777" w:rsidR="00310F08" w:rsidRPr="002542A6" w:rsidRDefault="00310F08" w:rsidP="006E064E">
            <w:pPr>
              <w:rPr>
                <w:b/>
                <w:bCs/>
              </w:rPr>
            </w:pPr>
            <w:r w:rsidRPr="002542A6">
              <w:rPr>
                <w:b/>
                <w:bCs/>
              </w:rPr>
              <w:t>parameter</w:t>
            </w:r>
          </w:p>
        </w:tc>
        <w:tc>
          <w:tcPr>
            <w:tcW w:w="1722" w:type="dxa"/>
          </w:tcPr>
          <w:p w14:paraId="667D9FF1" w14:textId="5A6F0BCC" w:rsidR="00310F08" w:rsidRPr="002542A6" w:rsidRDefault="00310F08" w:rsidP="006E064E">
            <w:pPr>
              <w:rPr>
                <w:b/>
                <w:bCs/>
              </w:rPr>
            </w:pPr>
            <w:r w:rsidRPr="002542A6">
              <w:rPr>
                <w:b/>
                <w:bCs/>
              </w:rPr>
              <w:t>origin</w:t>
            </w:r>
          </w:p>
        </w:tc>
        <w:tc>
          <w:tcPr>
            <w:tcW w:w="2070" w:type="dxa"/>
          </w:tcPr>
          <w:p w14:paraId="7C6DC5B3" w14:textId="77777777" w:rsidR="00310F08" w:rsidRPr="002542A6" w:rsidRDefault="00310F08" w:rsidP="006E064E">
            <w:pPr>
              <w:rPr>
                <w:b/>
                <w:bCs/>
              </w:rPr>
            </w:pPr>
            <w:r w:rsidRPr="002542A6">
              <w:rPr>
                <w:b/>
                <w:bCs/>
              </w:rPr>
              <w:t>units</w:t>
            </w:r>
          </w:p>
        </w:tc>
        <w:tc>
          <w:tcPr>
            <w:tcW w:w="1615" w:type="dxa"/>
          </w:tcPr>
          <w:p w14:paraId="3F940F3E" w14:textId="517744F8" w:rsidR="00310F08" w:rsidRPr="002542A6" w:rsidRDefault="003379B4" w:rsidP="006E064E">
            <w:pPr>
              <w:rPr>
                <w:b/>
                <w:bCs/>
              </w:rPr>
            </w:pPr>
            <w:r w:rsidRPr="002542A6">
              <w:rPr>
                <w:b/>
                <w:bCs/>
              </w:rPr>
              <w:t>method</w:t>
            </w:r>
          </w:p>
        </w:tc>
      </w:tr>
      <w:tr w:rsidR="00310F08" w14:paraId="273B4A8F" w14:textId="415831EB" w:rsidTr="004A064E">
        <w:tc>
          <w:tcPr>
            <w:tcW w:w="3943" w:type="dxa"/>
          </w:tcPr>
          <w:p w14:paraId="6F68BAA8" w14:textId="77777777" w:rsidR="00310F08" w:rsidRDefault="00310F08" w:rsidP="006E064E">
            <w:r>
              <w:t>TT refreezing threshold</w:t>
            </w:r>
          </w:p>
        </w:tc>
        <w:tc>
          <w:tcPr>
            <w:tcW w:w="1722" w:type="dxa"/>
          </w:tcPr>
          <w:p w14:paraId="1FCDAAB5" w14:textId="77777777" w:rsidR="00310F08" w:rsidRDefault="00310F08" w:rsidP="006E064E">
            <w:r>
              <w:t>std HBV</w:t>
            </w:r>
          </w:p>
        </w:tc>
        <w:tc>
          <w:tcPr>
            <w:tcW w:w="2070" w:type="dxa"/>
          </w:tcPr>
          <w:p w14:paraId="301A95FB" w14:textId="51D12F02" w:rsidR="00310F08" w:rsidRDefault="00767D11" w:rsidP="006E064E">
            <w:r>
              <w:rPr>
                <w:rFonts w:cstheme="minorHAnsi"/>
              </w:rPr>
              <w:t>°</w:t>
            </w:r>
            <w:r>
              <w:t>C</w:t>
            </w:r>
          </w:p>
        </w:tc>
        <w:tc>
          <w:tcPr>
            <w:tcW w:w="1615" w:type="dxa"/>
          </w:tcPr>
          <w:p w14:paraId="6F7FD12C" w14:textId="7E8C1378" w:rsidR="00310F08" w:rsidRDefault="00C51182" w:rsidP="006E064E">
            <w:r>
              <w:t xml:space="preserve">fixed </w:t>
            </w:r>
          </w:p>
        </w:tc>
      </w:tr>
      <w:tr w:rsidR="00310F08" w14:paraId="006156FE" w14:textId="59EA3F5F" w:rsidTr="004A064E">
        <w:tc>
          <w:tcPr>
            <w:tcW w:w="3943" w:type="dxa"/>
          </w:tcPr>
          <w:p w14:paraId="28A80DC4" w14:textId="77777777" w:rsidR="00310F08" w:rsidRDefault="00310F08" w:rsidP="006E064E">
            <w:r>
              <w:t>CFMAX melt rate</w:t>
            </w:r>
          </w:p>
        </w:tc>
        <w:tc>
          <w:tcPr>
            <w:tcW w:w="1722" w:type="dxa"/>
          </w:tcPr>
          <w:p w14:paraId="5224EC6C" w14:textId="77777777" w:rsidR="00310F08" w:rsidRDefault="00310F08" w:rsidP="006E064E">
            <w:r>
              <w:t>std HBV</w:t>
            </w:r>
          </w:p>
        </w:tc>
        <w:tc>
          <w:tcPr>
            <w:tcW w:w="2070" w:type="dxa"/>
          </w:tcPr>
          <w:p w14:paraId="6D8ECB5D" w14:textId="1CDD1E31" w:rsidR="00310F08" w:rsidRDefault="00310F08" w:rsidP="006E064E">
            <w:r>
              <w:t xml:space="preserve">mm SWE per </w:t>
            </w:r>
            <w:r w:rsidR="00767D11">
              <w:rPr>
                <w:rFonts w:cstheme="minorHAnsi"/>
              </w:rPr>
              <w:t>°</w:t>
            </w:r>
            <w:r w:rsidR="00767D11">
              <w:t>C</w:t>
            </w:r>
          </w:p>
        </w:tc>
        <w:tc>
          <w:tcPr>
            <w:tcW w:w="1615" w:type="dxa"/>
          </w:tcPr>
          <w:p w14:paraId="0A8E1095" w14:textId="7B3EA496" w:rsidR="00310F08" w:rsidRDefault="00F056A8" w:rsidP="006E064E">
            <w:r>
              <w:t>fixed</w:t>
            </w:r>
          </w:p>
        </w:tc>
      </w:tr>
      <w:tr w:rsidR="00F056A8" w14:paraId="4EC416B3" w14:textId="31588937" w:rsidTr="004A064E">
        <w:tc>
          <w:tcPr>
            <w:tcW w:w="3943" w:type="dxa"/>
          </w:tcPr>
          <w:p w14:paraId="3152F038" w14:textId="77777777" w:rsidR="00F056A8" w:rsidRDefault="00F056A8" w:rsidP="00F056A8">
            <w:r>
              <w:t>CFR refreezing coefficient</w:t>
            </w:r>
          </w:p>
        </w:tc>
        <w:tc>
          <w:tcPr>
            <w:tcW w:w="1722" w:type="dxa"/>
          </w:tcPr>
          <w:p w14:paraId="55D652AF" w14:textId="77777777" w:rsidR="00F056A8" w:rsidRDefault="00F056A8" w:rsidP="00F056A8">
            <w:r>
              <w:t>std HBV</w:t>
            </w:r>
          </w:p>
        </w:tc>
        <w:tc>
          <w:tcPr>
            <w:tcW w:w="2070" w:type="dxa"/>
          </w:tcPr>
          <w:p w14:paraId="1A2EF099" w14:textId="36F794A1" w:rsidR="00F056A8" w:rsidRDefault="00F056A8" w:rsidP="00F056A8">
            <w:r>
              <w:t>mm H</w:t>
            </w:r>
            <w:r w:rsidRPr="00F327BB">
              <w:rPr>
                <w:vertAlign w:val="subscript"/>
              </w:rPr>
              <w:t>2</w:t>
            </w:r>
            <w:r>
              <w:t xml:space="preserve">O per </w:t>
            </w:r>
            <w:r w:rsidR="00767D11">
              <w:rPr>
                <w:rFonts w:cstheme="minorHAnsi"/>
              </w:rPr>
              <w:t>°</w:t>
            </w:r>
            <w:r w:rsidR="00767D11">
              <w:t>C</w:t>
            </w:r>
          </w:p>
        </w:tc>
        <w:tc>
          <w:tcPr>
            <w:tcW w:w="1615" w:type="dxa"/>
          </w:tcPr>
          <w:p w14:paraId="2C94E391" w14:textId="2A6CF620" w:rsidR="00F056A8" w:rsidRDefault="00F056A8" w:rsidP="00F056A8">
            <w:r>
              <w:t>fixed</w:t>
            </w:r>
          </w:p>
        </w:tc>
      </w:tr>
      <w:tr w:rsidR="00F056A8" w14:paraId="621E62E4" w14:textId="0383CDF4" w:rsidTr="004A064E">
        <w:tc>
          <w:tcPr>
            <w:tcW w:w="3943" w:type="dxa"/>
          </w:tcPr>
          <w:p w14:paraId="53A7B02F" w14:textId="77777777" w:rsidR="00F056A8" w:rsidRDefault="00F056A8" w:rsidP="00F056A8">
            <w:r>
              <w:t>FC field capacity</w:t>
            </w:r>
          </w:p>
        </w:tc>
        <w:tc>
          <w:tcPr>
            <w:tcW w:w="1722" w:type="dxa"/>
          </w:tcPr>
          <w:p w14:paraId="631EEF23" w14:textId="77777777" w:rsidR="00F056A8" w:rsidRDefault="00F056A8" w:rsidP="00F056A8">
            <w:r w:rsidRPr="000B3B14">
              <w:t>std HBV</w:t>
            </w:r>
          </w:p>
        </w:tc>
        <w:tc>
          <w:tcPr>
            <w:tcW w:w="2070" w:type="dxa"/>
          </w:tcPr>
          <w:p w14:paraId="34C8F96B" w14:textId="77777777" w:rsidR="00F056A8" w:rsidRDefault="00F056A8" w:rsidP="00F056A8">
            <w:r>
              <w:t>mm H</w:t>
            </w:r>
            <w:r w:rsidRPr="00F327BB">
              <w:rPr>
                <w:vertAlign w:val="subscript"/>
              </w:rPr>
              <w:t>2</w:t>
            </w:r>
            <w:r>
              <w:t>O</w:t>
            </w:r>
          </w:p>
        </w:tc>
        <w:tc>
          <w:tcPr>
            <w:tcW w:w="1615" w:type="dxa"/>
          </w:tcPr>
          <w:p w14:paraId="7280CB5A" w14:textId="690531B2" w:rsidR="00F056A8" w:rsidRDefault="00F056A8" w:rsidP="00F056A8">
            <w:r w:rsidRPr="00B5777A">
              <w:t>calibrated</w:t>
            </w:r>
          </w:p>
        </w:tc>
      </w:tr>
      <w:tr w:rsidR="00F056A8" w14:paraId="74218C91" w14:textId="60CDE3B6" w:rsidTr="004A064E">
        <w:tc>
          <w:tcPr>
            <w:tcW w:w="3943" w:type="dxa"/>
          </w:tcPr>
          <w:p w14:paraId="42C4A928" w14:textId="77777777" w:rsidR="00F056A8" w:rsidRDefault="00F056A8" w:rsidP="00F056A8">
            <w:r>
              <w:t>BETA recharge exponent</w:t>
            </w:r>
          </w:p>
        </w:tc>
        <w:tc>
          <w:tcPr>
            <w:tcW w:w="1722" w:type="dxa"/>
          </w:tcPr>
          <w:p w14:paraId="0D9A45B1" w14:textId="77777777" w:rsidR="00F056A8" w:rsidRDefault="00F056A8" w:rsidP="00F056A8">
            <w:r w:rsidRPr="000B3B14">
              <w:t>std HBV</w:t>
            </w:r>
          </w:p>
        </w:tc>
        <w:tc>
          <w:tcPr>
            <w:tcW w:w="2070" w:type="dxa"/>
          </w:tcPr>
          <w:p w14:paraId="727048D3" w14:textId="77777777" w:rsidR="00F056A8" w:rsidRDefault="00F056A8" w:rsidP="00F056A8">
            <w:r>
              <w:t>dimensionless</w:t>
            </w:r>
          </w:p>
        </w:tc>
        <w:tc>
          <w:tcPr>
            <w:tcW w:w="1615" w:type="dxa"/>
          </w:tcPr>
          <w:p w14:paraId="55A59E4C" w14:textId="07506C88" w:rsidR="00F056A8" w:rsidRDefault="00F056A8" w:rsidP="00F056A8">
            <w:r w:rsidRPr="00B5777A">
              <w:t>calibrated</w:t>
            </w:r>
          </w:p>
        </w:tc>
      </w:tr>
      <w:tr w:rsidR="00F056A8" w14:paraId="365F345C" w14:textId="0B7E4A43" w:rsidTr="004A064E">
        <w:tc>
          <w:tcPr>
            <w:tcW w:w="3943" w:type="dxa"/>
          </w:tcPr>
          <w:p w14:paraId="461A87BE" w14:textId="77777777" w:rsidR="00F056A8" w:rsidRDefault="00F056A8" w:rsidP="00F056A8">
            <w:r>
              <w:t>PERC percolation fraction</w:t>
            </w:r>
          </w:p>
        </w:tc>
        <w:tc>
          <w:tcPr>
            <w:tcW w:w="1722" w:type="dxa"/>
          </w:tcPr>
          <w:p w14:paraId="02D6619D" w14:textId="77777777" w:rsidR="00F056A8" w:rsidRPr="000B3B14" w:rsidRDefault="00F056A8" w:rsidP="00F056A8">
            <w:r>
              <w:t>std HBV</w:t>
            </w:r>
          </w:p>
        </w:tc>
        <w:tc>
          <w:tcPr>
            <w:tcW w:w="2070" w:type="dxa"/>
          </w:tcPr>
          <w:p w14:paraId="756B727D" w14:textId="77777777" w:rsidR="00F056A8" w:rsidRDefault="00F056A8" w:rsidP="00F056A8">
            <w:r>
              <w:t>dimensionless</w:t>
            </w:r>
          </w:p>
        </w:tc>
        <w:tc>
          <w:tcPr>
            <w:tcW w:w="1615" w:type="dxa"/>
          </w:tcPr>
          <w:p w14:paraId="06F39208" w14:textId="33606257" w:rsidR="00F056A8" w:rsidRDefault="00F056A8" w:rsidP="00F056A8">
            <w:r w:rsidRPr="00B5777A">
              <w:t>calibrated</w:t>
            </w:r>
          </w:p>
        </w:tc>
      </w:tr>
      <w:tr w:rsidR="00F056A8" w14:paraId="7355D7A6" w14:textId="7433FD5F" w:rsidTr="004A064E">
        <w:tc>
          <w:tcPr>
            <w:tcW w:w="3943" w:type="dxa"/>
          </w:tcPr>
          <w:p w14:paraId="7D6878CC" w14:textId="77777777" w:rsidR="00F056A8" w:rsidRDefault="00F056A8" w:rsidP="00F056A8">
            <w:r>
              <w:t>UZL fast drain threshold</w:t>
            </w:r>
          </w:p>
        </w:tc>
        <w:tc>
          <w:tcPr>
            <w:tcW w:w="1722" w:type="dxa"/>
          </w:tcPr>
          <w:p w14:paraId="2BEF1FF9" w14:textId="77777777" w:rsidR="00F056A8" w:rsidRDefault="00F056A8" w:rsidP="00F056A8">
            <w:r w:rsidRPr="000B3B14">
              <w:t>std HBV</w:t>
            </w:r>
          </w:p>
        </w:tc>
        <w:tc>
          <w:tcPr>
            <w:tcW w:w="2070" w:type="dxa"/>
          </w:tcPr>
          <w:p w14:paraId="0FAA62A9" w14:textId="77777777" w:rsidR="00F056A8" w:rsidRDefault="00F056A8" w:rsidP="00F056A8">
            <w:r>
              <w:t>mm H</w:t>
            </w:r>
            <w:r w:rsidRPr="00F327BB">
              <w:rPr>
                <w:vertAlign w:val="subscript"/>
              </w:rPr>
              <w:t>2</w:t>
            </w:r>
            <w:r>
              <w:t>O</w:t>
            </w:r>
          </w:p>
        </w:tc>
        <w:tc>
          <w:tcPr>
            <w:tcW w:w="1615" w:type="dxa"/>
          </w:tcPr>
          <w:p w14:paraId="098C136F" w14:textId="13A981A5" w:rsidR="00F056A8" w:rsidRDefault="00F056A8" w:rsidP="00F056A8">
            <w:r w:rsidRPr="00B5777A">
              <w:t>calibrated</w:t>
            </w:r>
          </w:p>
        </w:tc>
      </w:tr>
      <w:tr w:rsidR="00F056A8" w14:paraId="71233F88" w14:textId="76BFE896" w:rsidTr="004A064E">
        <w:tc>
          <w:tcPr>
            <w:tcW w:w="3943" w:type="dxa"/>
          </w:tcPr>
          <w:p w14:paraId="3F3EDEBC" w14:textId="77777777" w:rsidR="00F056A8" w:rsidRDefault="00F056A8" w:rsidP="00F056A8">
            <w:r>
              <w:t>K0 fast drain fraction</w:t>
            </w:r>
          </w:p>
        </w:tc>
        <w:tc>
          <w:tcPr>
            <w:tcW w:w="1722" w:type="dxa"/>
          </w:tcPr>
          <w:p w14:paraId="69F3ADA2" w14:textId="77777777" w:rsidR="00F056A8" w:rsidRDefault="00F056A8" w:rsidP="00F056A8">
            <w:r w:rsidRPr="000B3B14">
              <w:t>std HBV</w:t>
            </w:r>
          </w:p>
        </w:tc>
        <w:tc>
          <w:tcPr>
            <w:tcW w:w="2070" w:type="dxa"/>
          </w:tcPr>
          <w:p w14:paraId="445909CD" w14:textId="77777777" w:rsidR="00F056A8" w:rsidRDefault="00F056A8" w:rsidP="00F056A8">
            <w:r>
              <w:t>dimensionless</w:t>
            </w:r>
          </w:p>
        </w:tc>
        <w:tc>
          <w:tcPr>
            <w:tcW w:w="1615" w:type="dxa"/>
          </w:tcPr>
          <w:p w14:paraId="3B4AC445" w14:textId="68DF48D7" w:rsidR="00F056A8" w:rsidRDefault="00F056A8" w:rsidP="00F056A8">
            <w:r w:rsidRPr="00B5777A">
              <w:t>calibrated</w:t>
            </w:r>
          </w:p>
        </w:tc>
      </w:tr>
      <w:tr w:rsidR="00F056A8" w14:paraId="5B72226B" w14:textId="7CB6AD55" w:rsidTr="004A064E">
        <w:tc>
          <w:tcPr>
            <w:tcW w:w="3943" w:type="dxa"/>
          </w:tcPr>
          <w:p w14:paraId="70494AC0" w14:textId="77777777" w:rsidR="00F056A8" w:rsidRDefault="00F056A8" w:rsidP="00F056A8">
            <w:r>
              <w:t>K1 intermediate drain fraction</w:t>
            </w:r>
          </w:p>
        </w:tc>
        <w:tc>
          <w:tcPr>
            <w:tcW w:w="1722" w:type="dxa"/>
          </w:tcPr>
          <w:p w14:paraId="46C59BD0" w14:textId="77777777" w:rsidR="00F056A8" w:rsidRDefault="00F056A8" w:rsidP="00F056A8">
            <w:r w:rsidRPr="000B3B14">
              <w:t>std HBV</w:t>
            </w:r>
          </w:p>
        </w:tc>
        <w:tc>
          <w:tcPr>
            <w:tcW w:w="2070" w:type="dxa"/>
          </w:tcPr>
          <w:p w14:paraId="25F76257" w14:textId="77777777" w:rsidR="00F056A8" w:rsidRDefault="00F056A8" w:rsidP="00F056A8">
            <w:r>
              <w:t>dimensionless</w:t>
            </w:r>
          </w:p>
        </w:tc>
        <w:tc>
          <w:tcPr>
            <w:tcW w:w="1615" w:type="dxa"/>
          </w:tcPr>
          <w:p w14:paraId="07248AC5" w14:textId="58FA5F42" w:rsidR="00F056A8" w:rsidRDefault="00F056A8" w:rsidP="00F056A8">
            <w:r w:rsidRPr="00B5777A">
              <w:t>calibrated</w:t>
            </w:r>
          </w:p>
        </w:tc>
      </w:tr>
      <w:tr w:rsidR="00310F08" w14:paraId="14D0E741" w14:textId="4C704364" w:rsidTr="004A064E">
        <w:tc>
          <w:tcPr>
            <w:tcW w:w="3943" w:type="dxa"/>
          </w:tcPr>
          <w:p w14:paraId="449F58F5" w14:textId="77777777" w:rsidR="00310F08" w:rsidRDefault="00310F08" w:rsidP="006E064E">
            <w:r>
              <w:t>K2 slow drain fraction</w:t>
            </w:r>
          </w:p>
        </w:tc>
        <w:tc>
          <w:tcPr>
            <w:tcW w:w="1722" w:type="dxa"/>
          </w:tcPr>
          <w:p w14:paraId="30249309" w14:textId="77777777" w:rsidR="00310F08" w:rsidRDefault="00310F08" w:rsidP="006E064E">
            <w:r w:rsidRPr="000B3B14">
              <w:t>std HBV</w:t>
            </w:r>
          </w:p>
        </w:tc>
        <w:tc>
          <w:tcPr>
            <w:tcW w:w="2070" w:type="dxa"/>
          </w:tcPr>
          <w:p w14:paraId="0629868E" w14:textId="77777777" w:rsidR="00310F08" w:rsidRDefault="00310F08" w:rsidP="006E064E">
            <w:r>
              <w:t>dimensionless</w:t>
            </w:r>
          </w:p>
        </w:tc>
        <w:tc>
          <w:tcPr>
            <w:tcW w:w="1615" w:type="dxa"/>
          </w:tcPr>
          <w:p w14:paraId="09D64021" w14:textId="229B735E" w:rsidR="00310F08" w:rsidRDefault="002B1341" w:rsidP="006E064E">
            <w:r>
              <w:t>manually</w:t>
            </w:r>
            <w:r w:rsidR="00C30BEE">
              <w:t xml:space="preserve"> set</w:t>
            </w:r>
          </w:p>
        </w:tc>
      </w:tr>
      <w:tr w:rsidR="00310F08" w14:paraId="00C34503" w14:textId="5B81F8E3" w:rsidTr="004A064E">
        <w:tc>
          <w:tcPr>
            <w:tcW w:w="3943" w:type="dxa"/>
          </w:tcPr>
          <w:p w14:paraId="2D4472B8" w14:textId="77777777" w:rsidR="00310F08" w:rsidRDefault="00310F08" w:rsidP="006E064E">
            <w:r>
              <w:t>WP wilting point</w:t>
            </w:r>
          </w:p>
        </w:tc>
        <w:tc>
          <w:tcPr>
            <w:tcW w:w="1722" w:type="dxa"/>
          </w:tcPr>
          <w:p w14:paraId="35F1C8F9" w14:textId="77777777" w:rsidR="00310F08" w:rsidRDefault="00310F08" w:rsidP="006E064E">
            <w:r w:rsidRPr="000B3B14">
              <w:t>std HBV</w:t>
            </w:r>
          </w:p>
        </w:tc>
        <w:tc>
          <w:tcPr>
            <w:tcW w:w="2070" w:type="dxa"/>
          </w:tcPr>
          <w:p w14:paraId="17B7C0EA" w14:textId="77777777" w:rsidR="00310F08" w:rsidRDefault="00310F08" w:rsidP="006E064E">
            <w:r>
              <w:t>mm H</w:t>
            </w:r>
            <w:r w:rsidRPr="00F327BB">
              <w:rPr>
                <w:vertAlign w:val="subscript"/>
              </w:rPr>
              <w:t>2</w:t>
            </w:r>
            <w:r>
              <w:t>O</w:t>
            </w:r>
          </w:p>
        </w:tc>
        <w:tc>
          <w:tcPr>
            <w:tcW w:w="1615" w:type="dxa"/>
          </w:tcPr>
          <w:p w14:paraId="243613E7" w14:textId="0CD81B0C" w:rsidR="00310F08" w:rsidRDefault="00F056A8" w:rsidP="006E064E">
            <w:r>
              <w:t>fixed</w:t>
            </w:r>
          </w:p>
        </w:tc>
      </w:tr>
      <w:tr w:rsidR="00310F08" w14:paraId="7B0D080E" w14:textId="74B1BB37" w:rsidTr="004A064E">
        <w:tc>
          <w:tcPr>
            <w:tcW w:w="3943" w:type="dxa"/>
          </w:tcPr>
          <w:p w14:paraId="5E3B3CF5" w14:textId="77777777" w:rsidR="00310F08" w:rsidRDefault="00310F08" w:rsidP="006E064E">
            <w:r>
              <w:t>ET_MULT evapotranspiration multiplier</w:t>
            </w:r>
          </w:p>
        </w:tc>
        <w:tc>
          <w:tcPr>
            <w:tcW w:w="1722" w:type="dxa"/>
          </w:tcPr>
          <w:p w14:paraId="219E7E0A" w14:textId="77777777" w:rsidR="00310F08" w:rsidRDefault="00310F08" w:rsidP="006E064E">
            <w:r>
              <w:t>new in OUWIN</w:t>
            </w:r>
          </w:p>
        </w:tc>
        <w:tc>
          <w:tcPr>
            <w:tcW w:w="2070" w:type="dxa"/>
          </w:tcPr>
          <w:p w14:paraId="58560E50" w14:textId="77777777" w:rsidR="00310F08" w:rsidRDefault="00310F08" w:rsidP="006E064E">
            <w:r>
              <w:t>dimensionless</w:t>
            </w:r>
          </w:p>
        </w:tc>
        <w:tc>
          <w:tcPr>
            <w:tcW w:w="1615" w:type="dxa"/>
          </w:tcPr>
          <w:p w14:paraId="61681521" w14:textId="3EC04877" w:rsidR="00310F08" w:rsidRDefault="002B1341" w:rsidP="006E064E">
            <w:r>
              <w:t>calibrated</w:t>
            </w:r>
          </w:p>
        </w:tc>
      </w:tr>
    </w:tbl>
    <w:p w14:paraId="3DFAFA53" w14:textId="77777777" w:rsidR="002D77D6" w:rsidRDefault="002D77D6" w:rsidP="002D77D6"/>
    <w:p w14:paraId="55815ECF" w14:textId="77777777" w:rsidR="003860C9" w:rsidRDefault="003860C9" w:rsidP="003860C9"/>
    <w:p w14:paraId="5F1F0B41" w14:textId="633C2909" w:rsidR="003860C9" w:rsidRDefault="003860C9" w:rsidP="003860C9">
      <w:pPr>
        <w:pStyle w:val="Heading3"/>
      </w:pPr>
      <w:r>
        <w:t xml:space="preserve">TT, refreezing threshold temperature (fixed at 0.0 </w:t>
      </w:r>
      <w:r w:rsidR="00A14D6C">
        <w:rPr>
          <w:rFonts w:cstheme="minorHAnsi"/>
        </w:rPr>
        <w:t>°</w:t>
      </w:r>
      <w:r w:rsidR="00A14D6C">
        <w:t>C</w:t>
      </w:r>
      <w:r>
        <w:t>)</w:t>
      </w:r>
    </w:p>
    <w:p w14:paraId="44FFB792" w14:textId="4E62EFAF" w:rsidR="003860C9" w:rsidRPr="00EE17A3" w:rsidRDefault="003860C9" w:rsidP="003860C9">
      <w:r>
        <w:t xml:space="preserve">TT is the temperature in </w:t>
      </w:r>
      <w:r w:rsidR="00767D11">
        <w:rPr>
          <w:rFonts w:cstheme="minorHAnsi"/>
        </w:rPr>
        <w:t>°</w:t>
      </w:r>
      <w:r w:rsidR="00767D11">
        <w:t>C</w:t>
      </w:r>
      <w:r>
        <w:t xml:space="preserve"> below which the water in the snowpack begins to refreeze.</w:t>
      </w:r>
    </w:p>
    <w:p w14:paraId="213238A7" w14:textId="77777777" w:rsidR="003860C9" w:rsidRDefault="003860C9" w:rsidP="003860C9">
      <w:pPr>
        <w:pStyle w:val="Heading2"/>
      </w:pPr>
    </w:p>
    <w:p w14:paraId="1EB425A1" w14:textId="76A8B7B4" w:rsidR="003860C9" w:rsidRDefault="003860C9" w:rsidP="003860C9">
      <w:pPr>
        <w:pStyle w:val="Heading3"/>
      </w:pPr>
      <w:r w:rsidRPr="00336DB6">
        <w:t>CFMAX</w:t>
      </w:r>
      <w:r>
        <w:t xml:space="preserve">, melt rate (fixed at 6 mm SWE per day per </w:t>
      </w:r>
      <w:r w:rsidR="00A14D6C">
        <w:rPr>
          <w:rFonts w:cstheme="minorHAnsi"/>
        </w:rPr>
        <w:t>°</w:t>
      </w:r>
      <w:r w:rsidR="00A14D6C">
        <w:t>C</w:t>
      </w:r>
      <w:r>
        <w:t>)</w:t>
      </w:r>
    </w:p>
    <w:p w14:paraId="0014457E" w14:textId="198F8A79" w:rsidR="003860C9" w:rsidRDefault="003860C9" w:rsidP="003860C9">
      <w:r>
        <w:t xml:space="preserve">CFMAX is the amount of snow, measured as mm of SWE, which will melt per day per </w:t>
      </w:r>
      <w:r w:rsidR="00A14D6C">
        <w:rPr>
          <w:rFonts w:cstheme="minorHAnsi"/>
        </w:rPr>
        <w:t>°</w:t>
      </w:r>
      <w:r w:rsidR="00A14D6C">
        <w:t xml:space="preserve">C </w:t>
      </w:r>
      <w:r>
        <w:t xml:space="preserve">above 0 </w:t>
      </w:r>
      <w:r w:rsidR="00A14D6C">
        <w:rPr>
          <w:rFonts w:cstheme="minorHAnsi"/>
        </w:rPr>
        <w:t>°</w:t>
      </w:r>
      <w:r w:rsidR="00A14D6C">
        <w:t>C</w:t>
      </w:r>
      <w:r>
        <w:t>.</w:t>
      </w:r>
    </w:p>
    <w:p w14:paraId="24BAA880" w14:textId="77777777" w:rsidR="003860C9" w:rsidRDefault="003860C9" w:rsidP="003860C9"/>
    <w:p w14:paraId="27DEF30C" w14:textId="279C9AB6" w:rsidR="003860C9" w:rsidRPr="007C37BE" w:rsidRDefault="003860C9" w:rsidP="003860C9">
      <w:pPr>
        <w:pStyle w:val="Heading3"/>
      </w:pPr>
      <w:r w:rsidRPr="00473B92">
        <w:t xml:space="preserve">CFR, refreezing coefficient </w:t>
      </w:r>
      <w:r>
        <w:t>(fixed at 0.</w:t>
      </w:r>
      <w:r w:rsidR="008174E7">
        <w:t>0</w:t>
      </w:r>
      <w:r>
        <w:t>6852 mm H</w:t>
      </w:r>
      <w:r>
        <w:rPr>
          <w:vertAlign w:val="subscript"/>
        </w:rPr>
        <w:t>2</w:t>
      </w:r>
      <w:r>
        <w:t xml:space="preserve">O per day per </w:t>
      </w:r>
      <w:r w:rsidR="00A14D6C">
        <w:rPr>
          <w:rFonts w:cstheme="minorHAnsi"/>
        </w:rPr>
        <w:t>°</w:t>
      </w:r>
      <w:r w:rsidR="00A14D6C">
        <w:t>C</w:t>
      </w:r>
      <w:r>
        <w:t>)</w:t>
      </w:r>
    </w:p>
    <w:p w14:paraId="2F1ECB7B" w14:textId="2707B7D1" w:rsidR="003860C9" w:rsidRDefault="003860C9" w:rsidP="003860C9">
      <w:r>
        <w:t xml:space="preserve">When the temperature is below the snow threshold, some water in the snowpack may refreeze.  The amount of water which could refreeze, in mm, is CFR*CFMAX per day per </w:t>
      </w:r>
      <w:r w:rsidR="0020625B">
        <w:rPr>
          <w:rFonts w:cstheme="minorHAnsi"/>
        </w:rPr>
        <w:t>°</w:t>
      </w:r>
      <w:r w:rsidR="0020625B">
        <w:t xml:space="preserve">C </w:t>
      </w:r>
      <w:r>
        <w:t>below the snow threshold.</w:t>
      </w:r>
    </w:p>
    <w:p w14:paraId="4B710965" w14:textId="77777777" w:rsidR="003860C9" w:rsidRDefault="003860C9" w:rsidP="003860C9"/>
    <w:p w14:paraId="4A824E1E" w14:textId="77777777" w:rsidR="003860C9" w:rsidRDefault="003860C9" w:rsidP="003860C9">
      <w:pPr>
        <w:pStyle w:val="Heading3"/>
      </w:pPr>
      <w:r w:rsidRPr="00336DB6">
        <w:t>FC</w:t>
      </w:r>
      <w:r>
        <w:t>, field capacity of the topsoil</w:t>
      </w:r>
    </w:p>
    <w:p w14:paraId="03FBBA5B" w14:textId="37397069" w:rsidR="003860C9" w:rsidRPr="007C37BE" w:rsidRDefault="003860C9" w:rsidP="003860C9">
      <w:pPr>
        <w:rPr>
          <w:b/>
        </w:rPr>
      </w:pPr>
      <w:r>
        <w:t>In HBV, FC is used in calculating the groundwater recharge fraction, which is the fraction of the incoming rain and snowmelt which bypasses the topsoil and goes directly to the subsoil.  The groundwater recharge fraction is calculated as the amount of water currently in the topsoil (to be exact, the amount above 10 mm, taken as the wilting point), expressed as a fraction of FC, raised to the power BETA.  When the topsoil is already at field capacity, all the incoming water bypasses the topsoil and recharges the subsoil.</w:t>
      </w:r>
      <w:r w:rsidR="0075255B">
        <w:t xml:space="preserve">  </w:t>
      </w:r>
      <w:r>
        <w:t xml:space="preserve">In OUWIN’s evapotranspiration submodel, FC is used in the calculation of the soil water threshold at which transpiration begins to shut down due to lack of soil water.  The threshold is calculated as </w:t>
      </w:r>
    </w:p>
    <w:p w14:paraId="6B28E649" w14:textId="77777777" w:rsidR="003860C9" w:rsidRDefault="003860C9" w:rsidP="003860C9">
      <w:pPr>
        <w:ind w:firstLine="720"/>
      </w:pPr>
      <w:r>
        <w:t>0.5*(FC - 10 mm).</w:t>
      </w:r>
    </w:p>
    <w:p w14:paraId="1B176553" w14:textId="77777777" w:rsidR="003860C9" w:rsidRDefault="003860C9" w:rsidP="003860C9"/>
    <w:p w14:paraId="6B96DCB8" w14:textId="77777777" w:rsidR="003860C9" w:rsidRPr="00562DE0" w:rsidRDefault="003860C9" w:rsidP="003860C9">
      <w:pPr>
        <w:pStyle w:val="Heading3"/>
      </w:pPr>
      <w:r w:rsidRPr="00336DB6">
        <w:lastRenderedPageBreak/>
        <w:t>BETA</w:t>
      </w:r>
      <w:r>
        <w:t>, recharge exponent</w:t>
      </w:r>
    </w:p>
    <w:p w14:paraId="159E6832" w14:textId="77777777" w:rsidR="003860C9" w:rsidRDefault="003860C9" w:rsidP="003860C9">
      <w:r>
        <w:t>BETA is used to calculate the groundwater recharge fraction.  See the description under FC above.</w:t>
      </w:r>
    </w:p>
    <w:p w14:paraId="7910089F" w14:textId="77777777" w:rsidR="003860C9" w:rsidRDefault="003860C9" w:rsidP="003860C9"/>
    <w:p w14:paraId="7727C062" w14:textId="77777777" w:rsidR="003860C9" w:rsidRPr="00473B92" w:rsidRDefault="003860C9" w:rsidP="003860C9">
      <w:pPr>
        <w:pStyle w:val="Heading3"/>
      </w:pPr>
      <w:r w:rsidRPr="00473B92">
        <w:t>PERC, percolation fraction</w:t>
      </w:r>
    </w:p>
    <w:p w14:paraId="4B0C5CEC" w14:textId="77777777" w:rsidR="003860C9" w:rsidRDefault="003860C9" w:rsidP="003860C9">
      <w:r>
        <w:t xml:space="preserve">PERC is the fraction of the water in the subsoil pool which percolates down to the groundwater pool each day.  </w:t>
      </w:r>
    </w:p>
    <w:p w14:paraId="3455A42D" w14:textId="77777777" w:rsidR="003860C9" w:rsidRDefault="003860C9" w:rsidP="003860C9"/>
    <w:p w14:paraId="54880F0A" w14:textId="77777777" w:rsidR="003860C9" w:rsidRPr="00214B93" w:rsidRDefault="003860C9" w:rsidP="003860C9">
      <w:pPr>
        <w:pStyle w:val="Heading3"/>
      </w:pPr>
      <w:r w:rsidRPr="00336DB6">
        <w:t>UZL</w:t>
      </w:r>
      <w:r>
        <w:t>, fast drain threshold</w:t>
      </w:r>
    </w:p>
    <w:p w14:paraId="02B5D16C" w14:textId="77777777" w:rsidR="003860C9" w:rsidRDefault="003860C9" w:rsidP="003860C9">
      <w:r>
        <w:t xml:space="preserve">UZL is a soil water threshold value in mm which is used in the decision about which of two forms of the q0 calculation to use.  q0 is the amount of water that flows from the subsoil to the stream each day.  When the water content of the subsoil is above UZL, q0 is calculated as </w:t>
      </w:r>
    </w:p>
    <w:p w14:paraId="142FC719" w14:textId="77777777" w:rsidR="003860C9" w:rsidRDefault="003860C9" w:rsidP="003860C9">
      <w:r>
        <w:tab/>
        <w:t>K0*(subsoil water content - UZL) + K1*subsoil water content</w:t>
      </w:r>
    </w:p>
    <w:p w14:paraId="07F5B9AB" w14:textId="77777777" w:rsidR="003860C9" w:rsidRDefault="003860C9" w:rsidP="003860C9">
      <w:r>
        <w:t>When the water in the subsoil is at or below UZL, q0 is just</w:t>
      </w:r>
    </w:p>
    <w:p w14:paraId="78E08659" w14:textId="77777777" w:rsidR="003860C9" w:rsidRDefault="003860C9" w:rsidP="003860C9">
      <w:r>
        <w:tab/>
        <w:t>K1*subsoil water content</w:t>
      </w:r>
    </w:p>
    <w:p w14:paraId="588EEB22" w14:textId="77777777" w:rsidR="003860C9" w:rsidRDefault="003860C9" w:rsidP="003860C9">
      <w:r>
        <w:t xml:space="preserve">Note that sets of PERC, UZL, K0, and K1, which result in more water flowing out of the subsoil pool than there is in the pool to start with, are non-physical.  The Q0() procedure returns a value which is never more than the amount that was in subsoil at the beginning of the day.  When the percolation amount plus q0 exceed the starting amount in the subsoil plus the groundwater recharge, the percolation amount is reduced accordingly, i.e. water flows to the stream before it percolates downwards. </w:t>
      </w:r>
    </w:p>
    <w:p w14:paraId="7DDF5948" w14:textId="77777777" w:rsidR="003860C9" w:rsidRDefault="003860C9" w:rsidP="003860C9"/>
    <w:p w14:paraId="7C710881" w14:textId="77777777" w:rsidR="003860C9" w:rsidRPr="00214B93" w:rsidRDefault="003860C9" w:rsidP="003860C9">
      <w:pPr>
        <w:pStyle w:val="Heading3"/>
      </w:pPr>
      <w:r w:rsidRPr="00336DB6">
        <w:t>K0</w:t>
      </w:r>
      <w:r>
        <w:t>, fast drain fraction</w:t>
      </w:r>
    </w:p>
    <w:p w14:paraId="176025B1" w14:textId="77777777" w:rsidR="003860C9" w:rsidRDefault="003860C9" w:rsidP="003860C9">
      <w:r>
        <w:t xml:space="preserve">K0 is dimensionless, and is used in the calculation of q0, the water which flows from the subsoil to the stream.  See the description under UZL.  </w:t>
      </w:r>
    </w:p>
    <w:p w14:paraId="5E92AF45" w14:textId="77777777" w:rsidR="003860C9" w:rsidRDefault="003860C9" w:rsidP="003860C9"/>
    <w:p w14:paraId="3C5ADE35" w14:textId="77777777" w:rsidR="003860C9" w:rsidRPr="00214B93" w:rsidRDefault="003860C9" w:rsidP="003860C9">
      <w:pPr>
        <w:pStyle w:val="Heading3"/>
      </w:pPr>
      <w:r w:rsidRPr="00336DB6">
        <w:t>K1</w:t>
      </w:r>
      <w:r>
        <w:t>, intermediate drain fraction</w:t>
      </w:r>
    </w:p>
    <w:p w14:paraId="050B5F90" w14:textId="77777777" w:rsidR="003860C9" w:rsidRDefault="003860C9" w:rsidP="003860C9">
      <w:r>
        <w:t>K1 is dimensionless, and is used in the calculation of q0, the water which flows from the subsoil to the stream.  See the description under UZL.</w:t>
      </w:r>
    </w:p>
    <w:p w14:paraId="205DD5A8" w14:textId="77777777" w:rsidR="003860C9" w:rsidRDefault="003860C9" w:rsidP="003860C9"/>
    <w:p w14:paraId="4ADA464D" w14:textId="77777777" w:rsidR="003860C9" w:rsidRPr="00214B93" w:rsidRDefault="003860C9" w:rsidP="003860C9">
      <w:pPr>
        <w:pStyle w:val="Heading3"/>
      </w:pPr>
      <w:r w:rsidRPr="00336DB6">
        <w:t>K2</w:t>
      </w:r>
      <w:r>
        <w:t>, slow drain fraction</w:t>
      </w:r>
    </w:p>
    <w:p w14:paraId="32C7E19F" w14:textId="77777777" w:rsidR="003860C9" w:rsidRDefault="003860C9" w:rsidP="003860C9">
      <w:r>
        <w:t>K2 is dimensionless, and is the fraction of the groundwater pool which flows to the stream each day.  The value of K2 produced by PEST was 0</w:t>
      </w:r>
      <w:r w:rsidRPr="00530EEC">
        <w:t>.070</w:t>
      </w:r>
      <w:r>
        <w:t>6.  K2 was subsequently set to 0.0200 manually, to improve the skill of the model at low flows.</w:t>
      </w:r>
    </w:p>
    <w:p w14:paraId="39276EF3" w14:textId="77777777" w:rsidR="003860C9" w:rsidRDefault="003860C9" w:rsidP="003860C9"/>
    <w:p w14:paraId="38D8201E" w14:textId="77777777" w:rsidR="003860C9" w:rsidRDefault="003860C9" w:rsidP="003860C9">
      <w:pPr>
        <w:pStyle w:val="Heading3"/>
      </w:pPr>
      <w:r>
        <w:t>WP, soil water content at the permanent wilting point (fixed at 10 mm H</w:t>
      </w:r>
      <w:r>
        <w:rPr>
          <w:vertAlign w:val="subscript"/>
        </w:rPr>
        <w:t>2</w:t>
      </w:r>
      <w:r>
        <w:t>O)</w:t>
      </w:r>
    </w:p>
    <w:p w14:paraId="5654EF72" w14:textId="77777777" w:rsidR="003860C9" w:rsidRPr="00530EEC" w:rsidRDefault="003860C9" w:rsidP="003860C9">
      <w:r>
        <w:t>10 mm H</w:t>
      </w:r>
      <w:r>
        <w:rPr>
          <w:vertAlign w:val="subscript"/>
        </w:rPr>
        <w:t>2</w:t>
      </w:r>
      <w:r>
        <w:t xml:space="preserve">O per meter of soil is used an approximation of the soil water content when the soil water potential is at the permanent wilting </w:t>
      </w:r>
      <w:r w:rsidRPr="00530EEC">
        <w:rPr>
          <w:rFonts w:cstheme="minorHAnsi"/>
        </w:rPr>
        <w:t>point, -</w:t>
      </w:r>
      <w:r w:rsidRPr="00530EEC">
        <w:rPr>
          <w:rFonts w:cstheme="minorHAnsi"/>
          <w:color w:val="222222"/>
          <w:shd w:val="clear" w:color="auto" w:fill="FFFFFF"/>
        </w:rPr>
        <w:t>1.5 kPa.</w:t>
      </w:r>
    </w:p>
    <w:p w14:paraId="1372CC5F" w14:textId="77777777" w:rsidR="003860C9" w:rsidRDefault="003860C9" w:rsidP="003860C9"/>
    <w:p w14:paraId="361717D4" w14:textId="77777777" w:rsidR="003860C9" w:rsidRDefault="003860C9" w:rsidP="003860C9">
      <w:pPr>
        <w:pStyle w:val="Heading3"/>
      </w:pPr>
      <w:r>
        <w:t>ET_MULT, evapotranspiration multiplier</w:t>
      </w:r>
    </w:p>
    <w:p w14:paraId="2EF9E626" w14:textId="77777777" w:rsidR="003860C9" w:rsidRPr="003D66FC" w:rsidRDefault="003860C9" w:rsidP="003860C9">
      <w:r>
        <w:t>ET_MULT is dimensionless, and is a multiplier applied to the calculated daily evapotranspiration to achieve as little bias as possible in the daily streamflow.</w:t>
      </w:r>
    </w:p>
    <w:p w14:paraId="43FF1A3E" w14:textId="77777777" w:rsidR="003860C9" w:rsidRDefault="003860C9" w:rsidP="003860C9"/>
    <w:p w14:paraId="2C9E9F95" w14:textId="2661DB41" w:rsidR="00500B21" w:rsidRDefault="00500B21">
      <w:r>
        <w:br w:type="page"/>
      </w:r>
    </w:p>
    <w:p w14:paraId="132505DD" w14:textId="77777777" w:rsidR="003860C9" w:rsidRDefault="003860C9" w:rsidP="003860C9"/>
    <w:p w14:paraId="606208A9" w14:textId="0F540C20" w:rsidR="002D77D6" w:rsidRDefault="00500B21" w:rsidP="00A32EEC">
      <w:pPr>
        <w:pStyle w:val="Heading1"/>
      </w:pPr>
      <w:r>
        <w:t>Use of PEST</w:t>
      </w:r>
    </w:p>
    <w:p w14:paraId="2E09E3BE" w14:textId="77777777" w:rsidR="001141D8" w:rsidRDefault="001141D8" w:rsidP="00BA5A3F"/>
    <w:p w14:paraId="68020A32" w14:textId="7C5388FA" w:rsidR="00212716" w:rsidRDefault="00212716" w:rsidP="00212716">
      <w:r>
        <w:t>We used a parameter estimation program, PEST (</w:t>
      </w:r>
      <w:hyperlink r:id="rId10" w:history="1">
        <w:r w:rsidRPr="00AE7825">
          <w:rPr>
            <w:rStyle w:val="Hyperlink"/>
          </w:rPr>
          <w:t>www.pesthomepage.org</w:t>
        </w:r>
      </w:hyperlink>
      <w:r>
        <w:t xml:space="preserve">), to identify sets of the 8 calibrated parameter values which produce good correlations between streamflows simulated by OUWIN and stream gage readings supplied by </w:t>
      </w:r>
      <w:r w:rsidR="006807A8">
        <w:t>Clean Water Services</w:t>
      </w:r>
      <w:r w:rsidR="008A418B">
        <w:t>, the municipal water utility which serves the Chicken Creek area</w:t>
      </w:r>
      <w:r>
        <w:t>.  Our use of PEST for OUWIN is based on the work with PEST that was done for the WW2100 project, originally by Eric Watson and Yeejun Chang at Portland State University in 2015, and subsequently by Oregon Freshwater Simulations in 2016</w:t>
      </w:r>
      <w:r w:rsidR="001C7BA9">
        <w:t xml:space="preserve"> (Conklin</w:t>
      </w:r>
      <w:r w:rsidR="00EB0E3C">
        <w:t xml:space="preserve"> 2016)</w:t>
      </w:r>
      <w:r>
        <w:t xml:space="preserve">.  </w:t>
      </w:r>
    </w:p>
    <w:p w14:paraId="314DFFC6" w14:textId="77777777" w:rsidR="00212716" w:rsidRDefault="00212716" w:rsidP="00212716"/>
    <w:p w14:paraId="185A2014" w14:textId="2BBAFE1A" w:rsidR="00212716" w:rsidRDefault="00212716" w:rsidP="00212716">
      <w:r>
        <w:t xml:space="preserve">PEST works by selecting a set of parameter values, running the OUWIN model, and calculating a value </w:t>
      </w:r>
      <w:r w:rsidR="00A76B21">
        <w:t xml:space="preserve">(the “objective function”) </w:t>
      </w:r>
      <w:r>
        <w:t>representing the divergence of the simulation results from the gage readings.  This process is repeated with different sets of parameter values in a systematic exploration of the parameter space.  The process terminates when successive adjustments to the parameter values fail to reduce the divergence by a specified amount.  The model may exhibit equifinality: different sets of parameter values may produce equally good simulation results.</w:t>
      </w:r>
      <w:r w:rsidR="00A76B21">
        <w:t xml:space="preserve">  </w:t>
      </w:r>
    </w:p>
    <w:p w14:paraId="548D6E3D" w14:textId="77777777" w:rsidR="00212716" w:rsidRDefault="00212716" w:rsidP="00212716"/>
    <w:p w14:paraId="6AE0D088" w14:textId="73B24AF9" w:rsidR="008E5973" w:rsidRDefault="00940B53" w:rsidP="00BA5A3F">
      <w:r>
        <w:t>St</w:t>
      </w:r>
      <w:r w:rsidR="00045590">
        <w:t>arting parameter values</w:t>
      </w:r>
      <w:r w:rsidR="005206A0">
        <w:t xml:space="preserve"> were set equal to th</w:t>
      </w:r>
      <w:r w:rsidR="00121F58">
        <w:t>ose</w:t>
      </w:r>
      <w:r w:rsidR="00BB0DD7">
        <w:t xml:space="preserve"> for Chicken Creek</w:t>
      </w:r>
      <w:r w:rsidR="00121F58">
        <w:t xml:space="preserve"> in the original OUWIN HBV</w:t>
      </w:r>
      <w:r w:rsidR="00BB0DD7">
        <w:t xml:space="preserve"> parameter set</w:t>
      </w:r>
      <w:r w:rsidR="00BE3BFB">
        <w:t xml:space="preserve">.  Valid ranges were </w:t>
      </w:r>
      <w:r w:rsidR="00F16866">
        <w:t>estimated based on</w:t>
      </w:r>
      <w:r w:rsidR="003F79E5">
        <w:t xml:space="preserve"> other pub</w:t>
      </w:r>
      <w:r w:rsidR="00F16866">
        <w:t>lications of research</w:t>
      </w:r>
      <w:r w:rsidR="00625E08">
        <w:t xml:space="preserve"> using HBV</w:t>
      </w:r>
      <w:r w:rsidR="005176F4">
        <w:t xml:space="preserve"> (Abebe</w:t>
      </w:r>
      <w:r w:rsidR="00124C93">
        <w:t xml:space="preserve"> et al. 2010, Aghakoouchak &amp;</w:t>
      </w:r>
      <w:r w:rsidR="00657AD3">
        <w:t xml:space="preserve"> Habib 2010, Inouye 2015, Steele-Dunne</w:t>
      </w:r>
      <w:r w:rsidR="00573405">
        <w:t xml:space="preserve"> et al 2008)</w:t>
      </w:r>
      <w:r w:rsidR="00EF388A">
        <w:t xml:space="preserve">.  Table 3 </w:t>
      </w:r>
      <w:r w:rsidR="00727B72">
        <w:t>shows</w:t>
      </w:r>
      <w:r w:rsidR="00EF388A">
        <w:t xml:space="preserve"> the starting values</w:t>
      </w:r>
      <w:r w:rsidR="007A081C">
        <w:t>,</w:t>
      </w:r>
      <w:r w:rsidR="00727B72">
        <w:t xml:space="preserve"> ranges</w:t>
      </w:r>
      <w:r w:rsidR="007A081C">
        <w:t>, and final calibrated values.</w:t>
      </w:r>
    </w:p>
    <w:p w14:paraId="4BCD55C0" w14:textId="615AAD8A" w:rsidR="007A081C" w:rsidRDefault="007A081C" w:rsidP="00BA5A3F"/>
    <w:p w14:paraId="48BADB4F" w14:textId="556ECFA1" w:rsidR="003819A9" w:rsidRDefault="003723A3" w:rsidP="003819A9">
      <w:r w:rsidRPr="008F2D85">
        <w:t xml:space="preserve">Table 3. </w:t>
      </w:r>
      <w:r w:rsidR="000B27BB" w:rsidRPr="008F2D85">
        <w:t>OUWIN HBV parameter valid ranges,</w:t>
      </w:r>
      <w:r w:rsidR="00862909" w:rsidRPr="008F2D85">
        <w:t xml:space="preserve"> </w:t>
      </w:r>
      <w:r w:rsidR="009922B9">
        <w:t>starting</w:t>
      </w:r>
      <w:r w:rsidR="00862909" w:rsidRPr="008F2D85">
        <w:t xml:space="preserve"> values,</w:t>
      </w:r>
      <w:r w:rsidR="000B27BB" w:rsidRPr="008F2D85">
        <w:t xml:space="preserve"> and final values</w:t>
      </w:r>
    </w:p>
    <w:tbl>
      <w:tblPr>
        <w:tblStyle w:val="TableGrid"/>
        <w:tblW w:w="9445" w:type="dxa"/>
        <w:tblLook w:val="04A0" w:firstRow="1" w:lastRow="0" w:firstColumn="1" w:lastColumn="0" w:noHBand="0" w:noVBand="1"/>
      </w:tblPr>
      <w:tblGrid>
        <w:gridCol w:w="1924"/>
        <w:gridCol w:w="1980"/>
        <w:gridCol w:w="2121"/>
        <w:gridCol w:w="1710"/>
        <w:gridCol w:w="1710"/>
      </w:tblGrid>
      <w:tr w:rsidR="00B330CB" w14:paraId="7609568A" w14:textId="77777777" w:rsidTr="0019632A">
        <w:tc>
          <w:tcPr>
            <w:tcW w:w="1924" w:type="dxa"/>
          </w:tcPr>
          <w:p w14:paraId="437C3C8B" w14:textId="77777777" w:rsidR="00B330CB" w:rsidRPr="002A1BB4" w:rsidRDefault="00B330CB" w:rsidP="006E064E">
            <w:pPr>
              <w:rPr>
                <w:b/>
                <w:bCs/>
              </w:rPr>
            </w:pPr>
            <w:r w:rsidRPr="002A1BB4">
              <w:rPr>
                <w:b/>
                <w:bCs/>
              </w:rPr>
              <w:t>parameter</w:t>
            </w:r>
          </w:p>
        </w:tc>
        <w:tc>
          <w:tcPr>
            <w:tcW w:w="1980" w:type="dxa"/>
          </w:tcPr>
          <w:p w14:paraId="6C40C699" w14:textId="77777777" w:rsidR="00B330CB" w:rsidRPr="002A1BB4" w:rsidRDefault="00B330CB" w:rsidP="006E064E">
            <w:pPr>
              <w:rPr>
                <w:b/>
                <w:bCs/>
              </w:rPr>
            </w:pPr>
            <w:r w:rsidRPr="002A1BB4">
              <w:rPr>
                <w:b/>
                <w:bCs/>
              </w:rPr>
              <w:t>units</w:t>
            </w:r>
          </w:p>
        </w:tc>
        <w:tc>
          <w:tcPr>
            <w:tcW w:w="2121" w:type="dxa"/>
          </w:tcPr>
          <w:p w14:paraId="0C0FC130" w14:textId="2C8B3A77" w:rsidR="00B330CB" w:rsidRPr="002A1BB4" w:rsidRDefault="0019632A" w:rsidP="006E064E">
            <w:pPr>
              <w:rPr>
                <w:b/>
                <w:bCs/>
              </w:rPr>
            </w:pPr>
            <w:r w:rsidRPr="002A1BB4">
              <w:rPr>
                <w:b/>
                <w:bCs/>
              </w:rPr>
              <w:t>valid range</w:t>
            </w:r>
          </w:p>
        </w:tc>
        <w:tc>
          <w:tcPr>
            <w:tcW w:w="1710" w:type="dxa"/>
          </w:tcPr>
          <w:p w14:paraId="53730D9A" w14:textId="080650A1" w:rsidR="00B330CB" w:rsidRPr="002A1BB4" w:rsidRDefault="008D4C21" w:rsidP="006E064E">
            <w:pPr>
              <w:rPr>
                <w:b/>
                <w:bCs/>
              </w:rPr>
            </w:pPr>
            <w:r>
              <w:rPr>
                <w:b/>
                <w:bCs/>
              </w:rPr>
              <w:t>starting</w:t>
            </w:r>
            <w:r w:rsidR="00CD6DFC" w:rsidRPr="002A1BB4">
              <w:rPr>
                <w:b/>
                <w:bCs/>
              </w:rPr>
              <w:t xml:space="preserve"> value</w:t>
            </w:r>
          </w:p>
        </w:tc>
        <w:tc>
          <w:tcPr>
            <w:tcW w:w="1710" w:type="dxa"/>
          </w:tcPr>
          <w:p w14:paraId="7FDDAB80" w14:textId="31BB32E7" w:rsidR="00B330CB" w:rsidRPr="002A1BB4" w:rsidRDefault="00CD6DFC" w:rsidP="006E064E">
            <w:pPr>
              <w:rPr>
                <w:b/>
                <w:bCs/>
              </w:rPr>
            </w:pPr>
            <w:r w:rsidRPr="002A1BB4">
              <w:rPr>
                <w:b/>
                <w:bCs/>
              </w:rPr>
              <w:t>final value</w:t>
            </w:r>
          </w:p>
        </w:tc>
      </w:tr>
      <w:tr w:rsidR="00B330CB" w14:paraId="7262D128" w14:textId="77777777" w:rsidTr="0019632A">
        <w:tc>
          <w:tcPr>
            <w:tcW w:w="1924" w:type="dxa"/>
          </w:tcPr>
          <w:p w14:paraId="5F49F4E0" w14:textId="77777777" w:rsidR="00B330CB" w:rsidRDefault="00B330CB" w:rsidP="006E064E">
            <w:r>
              <w:t>TT refreezing threshold</w:t>
            </w:r>
          </w:p>
        </w:tc>
        <w:tc>
          <w:tcPr>
            <w:tcW w:w="1980" w:type="dxa"/>
          </w:tcPr>
          <w:p w14:paraId="57E2A1CD" w14:textId="134FC103" w:rsidR="00B330CB" w:rsidRDefault="004D3A98" w:rsidP="006E064E">
            <w:r>
              <w:rPr>
                <w:rFonts w:cstheme="minorHAnsi"/>
              </w:rPr>
              <w:t>°</w:t>
            </w:r>
            <w:r w:rsidR="00CB298C">
              <w:t>C</w:t>
            </w:r>
          </w:p>
        </w:tc>
        <w:tc>
          <w:tcPr>
            <w:tcW w:w="2121" w:type="dxa"/>
          </w:tcPr>
          <w:p w14:paraId="2C662A4A" w14:textId="42246E08" w:rsidR="00B330CB" w:rsidRDefault="00FA7E81" w:rsidP="006E064E">
            <w:r>
              <w:t>fixed at 0.0</w:t>
            </w:r>
          </w:p>
        </w:tc>
        <w:tc>
          <w:tcPr>
            <w:tcW w:w="1710" w:type="dxa"/>
          </w:tcPr>
          <w:p w14:paraId="6671132D" w14:textId="7AFFC6B7" w:rsidR="00B330CB" w:rsidRPr="00A653A9" w:rsidRDefault="00327B29" w:rsidP="006E064E">
            <w:r w:rsidRPr="00A653A9">
              <w:t>0.0</w:t>
            </w:r>
          </w:p>
        </w:tc>
        <w:tc>
          <w:tcPr>
            <w:tcW w:w="1710" w:type="dxa"/>
          </w:tcPr>
          <w:p w14:paraId="1AF98B54" w14:textId="49708809" w:rsidR="00B330CB" w:rsidRDefault="00B330CB" w:rsidP="006E064E">
            <w:r>
              <w:t>0</w:t>
            </w:r>
            <w:r w:rsidR="00327B29">
              <w:t>.0</w:t>
            </w:r>
            <w:r w:rsidR="00CB13E9">
              <w:t>, fixed</w:t>
            </w:r>
          </w:p>
        </w:tc>
      </w:tr>
      <w:tr w:rsidR="00B330CB" w14:paraId="29C24FEA" w14:textId="77777777" w:rsidTr="0019632A">
        <w:tc>
          <w:tcPr>
            <w:tcW w:w="1924" w:type="dxa"/>
          </w:tcPr>
          <w:p w14:paraId="53FEDBD9" w14:textId="77777777" w:rsidR="00B330CB" w:rsidRDefault="00B330CB" w:rsidP="006E064E">
            <w:r>
              <w:t>CFMAX melt rate</w:t>
            </w:r>
          </w:p>
        </w:tc>
        <w:tc>
          <w:tcPr>
            <w:tcW w:w="1980" w:type="dxa"/>
          </w:tcPr>
          <w:p w14:paraId="37FC9E89" w14:textId="0B2DC092" w:rsidR="00B330CB" w:rsidRDefault="00B330CB" w:rsidP="006E064E">
            <w:r>
              <w:t xml:space="preserve">mm SWE per </w:t>
            </w:r>
            <w:r w:rsidR="00767D11">
              <w:rPr>
                <w:rFonts w:cstheme="minorHAnsi"/>
              </w:rPr>
              <w:t>°</w:t>
            </w:r>
            <w:r w:rsidR="00767D11">
              <w:t>C</w:t>
            </w:r>
          </w:p>
        </w:tc>
        <w:tc>
          <w:tcPr>
            <w:tcW w:w="2121" w:type="dxa"/>
          </w:tcPr>
          <w:p w14:paraId="715AB553" w14:textId="6370A3F8" w:rsidR="00B330CB" w:rsidRDefault="00FA7E81" w:rsidP="006E064E">
            <w:r>
              <w:t>fixed at 6.0</w:t>
            </w:r>
          </w:p>
        </w:tc>
        <w:tc>
          <w:tcPr>
            <w:tcW w:w="1710" w:type="dxa"/>
          </w:tcPr>
          <w:p w14:paraId="3FEB1CE6" w14:textId="77777777" w:rsidR="00B330CB" w:rsidRPr="00A653A9" w:rsidRDefault="00B330CB" w:rsidP="006E064E">
            <w:r w:rsidRPr="00A653A9">
              <w:t>5.774</w:t>
            </w:r>
          </w:p>
        </w:tc>
        <w:tc>
          <w:tcPr>
            <w:tcW w:w="1710" w:type="dxa"/>
          </w:tcPr>
          <w:p w14:paraId="39C08530" w14:textId="6F920DFE" w:rsidR="00B330CB" w:rsidRDefault="00B330CB" w:rsidP="006E064E">
            <w:r>
              <w:t>6</w:t>
            </w:r>
            <w:r w:rsidR="00AF7E8A">
              <w:t>.0</w:t>
            </w:r>
            <w:r w:rsidR="00CB13E9">
              <w:t>, fixed</w:t>
            </w:r>
          </w:p>
        </w:tc>
      </w:tr>
      <w:tr w:rsidR="00B330CB" w14:paraId="62C413C9" w14:textId="77777777" w:rsidTr="0019632A">
        <w:tc>
          <w:tcPr>
            <w:tcW w:w="1924" w:type="dxa"/>
          </w:tcPr>
          <w:p w14:paraId="1E8096CE" w14:textId="77777777" w:rsidR="00B330CB" w:rsidRDefault="00B330CB" w:rsidP="006E064E">
            <w:r>
              <w:t>CFR refreezing coefficient</w:t>
            </w:r>
          </w:p>
        </w:tc>
        <w:tc>
          <w:tcPr>
            <w:tcW w:w="1980" w:type="dxa"/>
          </w:tcPr>
          <w:p w14:paraId="4165CF88" w14:textId="6628FF90" w:rsidR="00B330CB" w:rsidRDefault="00B330CB" w:rsidP="006E064E">
            <w:r>
              <w:t>mm H</w:t>
            </w:r>
            <w:r w:rsidRPr="00F327BB">
              <w:rPr>
                <w:vertAlign w:val="subscript"/>
              </w:rPr>
              <w:t>2</w:t>
            </w:r>
            <w:r>
              <w:t xml:space="preserve">O per </w:t>
            </w:r>
            <w:r w:rsidR="00767D11">
              <w:rPr>
                <w:rFonts w:cstheme="minorHAnsi"/>
              </w:rPr>
              <w:t>°</w:t>
            </w:r>
            <w:r w:rsidR="00767D11">
              <w:t>C</w:t>
            </w:r>
          </w:p>
        </w:tc>
        <w:tc>
          <w:tcPr>
            <w:tcW w:w="2121" w:type="dxa"/>
          </w:tcPr>
          <w:p w14:paraId="79D765C6" w14:textId="7BFD470F" w:rsidR="00B330CB" w:rsidRDefault="005E22AD" w:rsidP="006E064E">
            <w:r>
              <w:t>fixed at 0.06852</w:t>
            </w:r>
          </w:p>
        </w:tc>
        <w:tc>
          <w:tcPr>
            <w:tcW w:w="1710" w:type="dxa"/>
          </w:tcPr>
          <w:p w14:paraId="5768672C" w14:textId="77777777" w:rsidR="00B330CB" w:rsidRPr="00A653A9" w:rsidRDefault="00B330CB" w:rsidP="006E064E">
            <w:r w:rsidRPr="00A653A9">
              <w:t>0.026</w:t>
            </w:r>
          </w:p>
        </w:tc>
        <w:tc>
          <w:tcPr>
            <w:tcW w:w="1710" w:type="dxa"/>
          </w:tcPr>
          <w:p w14:paraId="5B4AE1C4" w14:textId="0E2EC589" w:rsidR="00B330CB" w:rsidRDefault="00B330CB" w:rsidP="006E064E">
            <w:r>
              <w:t>0.</w:t>
            </w:r>
            <w:r w:rsidR="007C124F">
              <w:t>0</w:t>
            </w:r>
            <w:r>
              <w:t>6852, fixed</w:t>
            </w:r>
          </w:p>
        </w:tc>
      </w:tr>
      <w:tr w:rsidR="00B330CB" w14:paraId="1CBFEBC9" w14:textId="77777777" w:rsidTr="0019632A">
        <w:tc>
          <w:tcPr>
            <w:tcW w:w="1924" w:type="dxa"/>
          </w:tcPr>
          <w:p w14:paraId="17380254" w14:textId="77777777" w:rsidR="00B330CB" w:rsidRDefault="00B330CB" w:rsidP="006E064E">
            <w:r>
              <w:t>FC field capacity</w:t>
            </w:r>
          </w:p>
        </w:tc>
        <w:tc>
          <w:tcPr>
            <w:tcW w:w="1980" w:type="dxa"/>
          </w:tcPr>
          <w:p w14:paraId="48A30250" w14:textId="77777777" w:rsidR="00B330CB" w:rsidRDefault="00B330CB" w:rsidP="006E064E">
            <w:r>
              <w:t>mm H</w:t>
            </w:r>
            <w:r w:rsidRPr="00F327BB">
              <w:rPr>
                <w:vertAlign w:val="subscript"/>
              </w:rPr>
              <w:t>2</w:t>
            </w:r>
            <w:r>
              <w:t>O</w:t>
            </w:r>
          </w:p>
        </w:tc>
        <w:tc>
          <w:tcPr>
            <w:tcW w:w="2121" w:type="dxa"/>
          </w:tcPr>
          <w:p w14:paraId="309C982C" w14:textId="4E86F266" w:rsidR="00B330CB" w:rsidRDefault="00E47D6A" w:rsidP="006E064E">
            <w:r>
              <w:t>50 - 550</w:t>
            </w:r>
          </w:p>
        </w:tc>
        <w:tc>
          <w:tcPr>
            <w:tcW w:w="1710" w:type="dxa"/>
          </w:tcPr>
          <w:p w14:paraId="0286930D" w14:textId="2ABD6B46" w:rsidR="00B330CB" w:rsidRPr="00A653A9" w:rsidRDefault="00A74263" w:rsidP="006E064E">
            <w:r w:rsidRPr="00A653A9">
              <w:t>270.</w:t>
            </w:r>
            <w:r w:rsidR="00466698" w:rsidRPr="00A653A9">
              <w:t>912</w:t>
            </w:r>
          </w:p>
        </w:tc>
        <w:tc>
          <w:tcPr>
            <w:tcW w:w="1710" w:type="dxa"/>
          </w:tcPr>
          <w:p w14:paraId="7FC3FCA3" w14:textId="77777777" w:rsidR="00B330CB" w:rsidRDefault="00B330CB" w:rsidP="006E064E">
            <w:r>
              <w:t>332.8479</w:t>
            </w:r>
          </w:p>
        </w:tc>
      </w:tr>
      <w:tr w:rsidR="00B330CB" w14:paraId="0C3177CE" w14:textId="77777777" w:rsidTr="0019632A">
        <w:tc>
          <w:tcPr>
            <w:tcW w:w="1924" w:type="dxa"/>
          </w:tcPr>
          <w:p w14:paraId="09C53E16" w14:textId="77777777" w:rsidR="00B330CB" w:rsidRDefault="00B330CB" w:rsidP="006E064E">
            <w:r>
              <w:t>BETA recharge exponent</w:t>
            </w:r>
          </w:p>
        </w:tc>
        <w:tc>
          <w:tcPr>
            <w:tcW w:w="1980" w:type="dxa"/>
          </w:tcPr>
          <w:p w14:paraId="5E29AA38" w14:textId="77777777" w:rsidR="00B330CB" w:rsidRDefault="00B330CB" w:rsidP="006E064E">
            <w:r>
              <w:t>dimensionless</w:t>
            </w:r>
          </w:p>
        </w:tc>
        <w:tc>
          <w:tcPr>
            <w:tcW w:w="2121" w:type="dxa"/>
          </w:tcPr>
          <w:p w14:paraId="7F740D37" w14:textId="3E8D295E" w:rsidR="00B330CB" w:rsidRDefault="007306FE" w:rsidP="006E064E">
            <w:r>
              <w:t>1 - 6</w:t>
            </w:r>
          </w:p>
        </w:tc>
        <w:tc>
          <w:tcPr>
            <w:tcW w:w="1710" w:type="dxa"/>
          </w:tcPr>
          <w:p w14:paraId="222C063F" w14:textId="231A6345" w:rsidR="00B330CB" w:rsidRPr="00A653A9" w:rsidRDefault="00466698" w:rsidP="006E064E">
            <w:r w:rsidRPr="00A653A9">
              <w:t>3.075</w:t>
            </w:r>
          </w:p>
        </w:tc>
        <w:tc>
          <w:tcPr>
            <w:tcW w:w="1710" w:type="dxa"/>
          </w:tcPr>
          <w:p w14:paraId="0DF85DC1" w14:textId="77777777" w:rsidR="00B330CB" w:rsidRDefault="00B330CB" w:rsidP="006E064E">
            <w:r>
              <w:t>3.177116</w:t>
            </w:r>
          </w:p>
        </w:tc>
      </w:tr>
      <w:tr w:rsidR="00B330CB" w14:paraId="19327A2F" w14:textId="77777777" w:rsidTr="0019632A">
        <w:tc>
          <w:tcPr>
            <w:tcW w:w="1924" w:type="dxa"/>
          </w:tcPr>
          <w:p w14:paraId="60CDC046" w14:textId="77777777" w:rsidR="00B330CB" w:rsidRDefault="00B330CB" w:rsidP="006E064E">
            <w:r>
              <w:t>PERC percolation fraction</w:t>
            </w:r>
          </w:p>
        </w:tc>
        <w:tc>
          <w:tcPr>
            <w:tcW w:w="1980" w:type="dxa"/>
          </w:tcPr>
          <w:p w14:paraId="12D2D7B7" w14:textId="77777777" w:rsidR="00B330CB" w:rsidRDefault="00B330CB" w:rsidP="006E064E">
            <w:r>
              <w:t>dimensionless</w:t>
            </w:r>
          </w:p>
        </w:tc>
        <w:tc>
          <w:tcPr>
            <w:tcW w:w="2121" w:type="dxa"/>
          </w:tcPr>
          <w:p w14:paraId="3DAA3AE2" w14:textId="71EDAC6D" w:rsidR="00B330CB" w:rsidRDefault="00F36D31" w:rsidP="006E064E">
            <w:r>
              <w:t>0.01 – 0.20</w:t>
            </w:r>
          </w:p>
        </w:tc>
        <w:tc>
          <w:tcPr>
            <w:tcW w:w="1710" w:type="dxa"/>
          </w:tcPr>
          <w:p w14:paraId="46A1BACE" w14:textId="194A24CB" w:rsidR="00B330CB" w:rsidRPr="00A653A9" w:rsidRDefault="00466698" w:rsidP="006E064E">
            <w:r w:rsidRPr="00A653A9">
              <w:t>0.179</w:t>
            </w:r>
          </w:p>
        </w:tc>
        <w:tc>
          <w:tcPr>
            <w:tcW w:w="1710" w:type="dxa"/>
          </w:tcPr>
          <w:p w14:paraId="45884E59" w14:textId="77777777" w:rsidR="00B330CB" w:rsidRDefault="00B330CB" w:rsidP="006E064E">
            <w:r>
              <w:t>0.2</w:t>
            </w:r>
          </w:p>
        </w:tc>
      </w:tr>
      <w:tr w:rsidR="00B330CB" w14:paraId="2742A672" w14:textId="77777777" w:rsidTr="0019632A">
        <w:tc>
          <w:tcPr>
            <w:tcW w:w="1924" w:type="dxa"/>
          </w:tcPr>
          <w:p w14:paraId="40862C59" w14:textId="77777777" w:rsidR="00B330CB" w:rsidRDefault="00B330CB" w:rsidP="006E064E">
            <w:r>
              <w:t>UZL fast drain threshold</w:t>
            </w:r>
          </w:p>
        </w:tc>
        <w:tc>
          <w:tcPr>
            <w:tcW w:w="1980" w:type="dxa"/>
          </w:tcPr>
          <w:p w14:paraId="638E1A04" w14:textId="77777777" w:rsidR="00B330CB" w:rsidRDefault="00B330CB" w:rsidP="006E064E">
            <w:r>
              <w:t>mm H</w:t>
            </w:r>
            <w:r w:rsidRPr="00F327BB">
              <w:rPr>
                <w:vertAlign w:val="subscript"/>
              </w:rPr>
              <w:t>2</w:t>
            </w:r>
            <w:r>
              <w:t>O</w:t>
            </w:r>
          </w:p>
        </w:tc>
        <w:tc>
          <w:tcPr>
            <w:tcW w:w="2121" w:type="dxa"/>
          </w:tcPr>
          <w:p w14:paraId="5D88F194" w14:textId="1AEAA507" w:rsidR="00B330CB" w:rsidRDefault="00F36D31" w:rsidP="006E064E">
            <w:r>
              <w:t>0 - 80</w:t>
            </w:r>
          </w:p>
          <w:p w14:paraId="69A8AAB5" w14:textId="77777777" w:rsidR="00B330CB" w:rsidRDefault="00B330CB" w:rsidP="006E064E"/>
        </w:tc>
        <w:tc>
          <w:tcPr>
            <w:tcW w:w="1710" w:type="dxa"/>
          </w:tcPr>
          <w:p w14:paraId="06A9C9D5" w14:textId="70EBD15D" w:rsidR="00B330CB" w:rsidRPr="00A653A9" w:rsidRDefault="00831A81" w:rsidP="006E064E">
            <w:r w:rsidRPr="00A653A9">
              <w:t>0.211</w:t>
            </w:r>
          </w:p>
        </w:tc>
        <w:tc>
          <w:tcPr>
            <w:tcW w:w="1710" w:type="dxa"/>
          </w:tcPr>
          <w:p w14:paraId="3AB0AF52" w14:textId="77777777" w:rsidR="00B330CB" w:rsidRDefault="00B330CB" w:rsidP="006E064E">
            <w:r>
              <w:t>8.652508</w:t>
            </w:r>
          </w:p>
        </w:tc>
      </w:tr>
      <w:tr w:rsidR="00B330CB" w14:paraId="6D0AF038" w14:textId="77777777" w:rsidTr="0019632A">
        <w:tc>
          <w:tcPr>
            <w:tcW w:w="1924" w:type="dxa"/>
          </w:tcPr>
          <w:p w14:paraId="42F82C18" w14:textId="77777777" w:rsidR="00B330CB" w:rsidRDefault="00B330CB" w:rsidP="006E064E">
            <w:r>
              <w:t>K0 fast drain fraction</w:t>
            </w:r>
          </w:p>
        </w:tc>
        <w:tc>
          <w:tcPr>
            <w:tcW w:w="1980" w:type="dxa"/>
          </w:tcPr>
          <w:p w14:paraId="0377E8F3" w14:textId="77777777" w:rsidR="00B330CB" w:rsidRDefault="00B330CB" w:rsidP="006E064E">
            <w:r>
              <w:t>dimensionless</w:t>
            </w:r>
          </w:p>
        </w:tc>
        <w:tc>
          <w:tcPr>
            <w:tcW w:w="2121" w:type="dxa"/>
          </w:tcPr>
          <w:p w14:paraId="2A307770" w14:textId="60495344" w:rsidR="00B330CB" w:rsidRDefault="00BA657B" w:rsidP="006E064E">
            <w:r>
              <w:t>0.1 – 0.6</w:t>
            </w:r>
          </w:p>
        </w:tc>
        <w:tc>
          <w:tcPr>
            <w:tcW w:w="1710" w:type="dxa"/>
          </w:tcPr>
          <w:p w14:paraId="2062D044" w14:textId="1D17E1D8" w:rsidR="00B330CB" w:rsidRPr="00A653A9" w:rsidRDefault="00B330CB" w:rsidP="006E064E">
            <w:r w:rsidRPr="00A653A9">
              <w:t>0.</w:t>
            </w:r>
            <w:r w:rsidR="00237F84" w:rsidRPr="00A653A9">
              <w:t>598</w:t>
            </w:r>
          </w:p>
        </w:tc>
        <w:tc>
          <w:tcPr>
            <w:tcW w:w="1710" w:type="dxa"/>
          </w:tcPr>
          <w:p w14:paraId="09DC8C9C" w14:textId="77777777" w:rsidR="00B330CB" w:rsidRDefault="00B330CB" w:rsidP="006E064E">
            <w:r>
              <w:t>0.6</w:t>
            </w:r>
          </w:p>
        </w:tc>
      </w:tr>
      <w:tr w:rsidR="00B330CB" w14:paraId="68678A5A" w14:textId="77777777" w:rsidTr="0019632A">
        <w:tc>
          <w:tcPr>
            <w:tcW w:w="1924" w:type="dxa"/>
          </w:tcPr>
          <w:p w14:paraId="57AE9359" w14:textId="77777777" w:rsidR="00B330CB" w:rsidRDefault="00B330CB" w:rsidP="006E064E">
            <w:r>
              <w:t>K1 intermediate drain fraction</w:t>
            </w:r>
          </w:p>
        </w:tc>
        <w:tc>
          <w:tcPr>
            <w:tcW w:w="1980" w:type="dxa"/>
          </w:tcPr>
          <w:p w14:paraId="3DA2CC6B" w14:textId="77777777" w:rsidR="00B330CB" w:rsidRDefault="00B330CB" w:rsidP="006E064E">
            <w:r>
              <w:t>dimensionless</w:t>
            </w:r>
          </w:p>
        </w:tc>
        <w:tc>
          <w:tcPr>
            <w:tcW w:w="2121" w:type="dxa"/>
          </w:tcPr>
          <w:p w14:paraId="2988E8FC" w14:textId="2C798D1C" w:rsidR="00B330CB" w:rsidRDefault="00BA657B" w:rsidP="006E064E">
            <w:r>
              <w:t>0.01 – 0.30</w:t>
            </w:r>
          </w:p>
        </w:tc>
        <w:tc>
          <w:tcPr>
            <w:tcW w:w="1710" w:type="dxa"/>
          </w:tcPr>
          <w:p w14:paraId="045EC34C" w14:textId="42B4B233" w:rsidR="00B330CB" w:rsidRPr="00A653A9" w:rsidRDefault="00B330CB" w:rsidP="006E064E">
            <w:r w:rsidRPr="00A653A9">
              <w:t>0.</w:t>
            </w:r>
            <w:r w:rsidR="00237F84" w:rsidRPr="00A653A9">
              <w:t>298</w:t>
            </w:r>
          </w:p>
        </w:tc>
        <w:tc>
          <w:tcPr>
            <w:tcW w:w="1710" w:type="dxa"/>
          </w:tcPr>
          <w:p w14:paraId="4276F37B" w14:textId="77777777" w:rsidR="00B330CB" w:rsidRDefault="00B330CB" w:rsidP="006E064E">
            <w:r>
              <w:t>0.12632</w:t>
            </w:r>
          </w:p>
        </w:tc>
      </w:tr>
      <w:tr w:rsidR="00B330CB" w14:paraId="3A0C9C7D" w14:textId="77777777" w:rsidTr="0019632A">
        <w:tc>
          <w:tcPr>
            <w:tcW w:w="1924" w:type="dxa"/>
          </w:tcPr>
          <w:p w14:paraId="67338246" w14:textId="77777777" w:rsidR="00B330CB" w:rsidRDefault="00B330CB" w:rsidP="006E064E">
            <w:r>
              <w:t>K2 slow drain fraction</w:t>
            </w:r>
          </w:p>
        </w:tc>
        <w:tc>
          <w:tcPr>
            <w:tcW w:w="1980" w:type="dxa"/>
          </w:tcPr>
          <w:p w14:paraId="78341B39" w14:textId="77777777" w:rsidR="00B330CB" w:rsidRDefault="00B330CB" w:rsidP="006E064E">
            <w:r>
              <w:t>dimensionless</w:t>
            </w:r>
          </w:p>
        </w:tc>
        <w:tc>
          <w:tcPr>
            <w:tcW w:w="2121" w:type="dxa"/>
          </w:tcPr>
          <w:p w14:paraId="020558A4" w14:textId="55772D31" w:rsidR="00B330CB" w:rsidRDefault="004D263A" w:rsidP="006E064E">
            <w:r>
              <w:t>0.0 – 0.1</w:t>
            </w:r>
          </w:p>
        </w:tc>
        <w:tc>
          <w:tcPr>
            <w:tcW w:w="1710" w:type="dxa"/>
          </w:tcPr>
          <w:p w14:paraId="222633AB" w14:textId="0FE1AAE8" w:rsidR="00B330CB" w:rsidRPr="00A653A9" w:rsidRDefault="00B330CB" w:rsidP="006E064E">
            <w:r w:rsidRPr="00A653A9">
              <w:t>0.00</w:t>
            </w:r>
            <w:r w:rsidR="00237F84" w:rsidRPr="00A653A9">
              <w:t>1</w:t>
            </w:r>
          </w:p>
        </w:tc>
        <w:tc>
          <w:tcPr>
            <w:tcW w:w="1710" w:type="dxa"/>
          </w:tcPr>
          <w:p w14:paraId="2E98E16B" w14:textId="551E9700" w:rsidR="00B330CB" w:rsidRDefault="00B330CB" w:rsidP="006E064E">
            <w:r>
              <w:t>0.02</w:t>
            </w:r>
            <w:r w:rsidR="001250DA">
              <w:t xml:space="preserve"> set manually</w:t>
            </w:r>
          </w:p>
        </w:tc>
      </w:tr>
      <w:tr w:rsidR="00B330CB" w14:paraId="59331FBC" w14:textId="77777777" w:rsidTr="0019632A">
        <w:tc>
          <w:tcPr>
            <w:tcW w:w="1924" w:type="dxa"/>
          </w:tcPr>
          <w:p w14:paraId="10DC405A" w14:textId="77777777" w:rsidR="00B330CB" w:rsidRDefault="00B330CB" w:rsidP="006E064E">
            <w:r>
              <w:t>WP wilting point</w:t>
            </w:r>
          </w:p>
        </w:tc>
        <w:tc>
          <w:tcPr>
            <w:tcW w:w="1980" w:type="dxa"/>
          </w:tcPr>
          <w:p w14:paraId="7263116F" w14:textId="77777777" w:rsidR="00B330CB" w:rsidRDefault="00B330CB" w:rsidP="006E064E">
            <w:r>
              <w:t>mm H</w:t>
            </w:r>
            <w:r w:rsidRPr="00F327BB">
              <w:rPr>
                <w:vertAlign w:val="subscript"/>
              </w:rPr>
              <w:t>2</w:t>
            </w:r>
            <w:r>
              <w:t>O</w:t>
            </w:r>
          </w:p>
        </w:tc>
        <w:tc>
          <w:tcPr>
            <w:tcW w:w="2121" w:type="dxa"/>
          </w:tcPr>
          <w:p w14:paraId="5DA0BF7E" w14:textId="6C73D524" w:rsidR="00B330CB" w:rsidRDefault="00B802FD" w:rsidP="006E064E">
            <w:r>
              <w:t>fixed at 10</w:t>
            </w:r>
          </w:p>
        </w:tc>
        <w:tc>
          <w:tcPr>
            <w:tcW w:w="1710" w:type="dxa"/>
          </w:tcPr>
          <w:p w14:paraId="7ADF1B76" w14:textId="160D98DB" w:rsidR="00B330CB" w:rsidRPr="00A653A9" w:rsidRDefault="00B330CB" w:rsidP="006E064E">
            <w:r w:rsidRPr="00A653A9">
              <w:t>10</w:t>
            </w:r>
          </w:p>
        </w:tc>
        <w:tc>
          <w:tcPr>
            <w:tcW w:w="1710" w:type="dxa"/>
          </w:tcPr>
          <w:p w14:paraId="5C2D8423" w14:textId="77777777" w:rsidR="00B330CB" w:rsidRDefault="00B330CB" w:rsidP="006E064E">
            <w:r>
              <w:t>10, fixed</w:t>
            </w:r>
          </w:p>
        </w:tc>
      </w:tr>
      <w:tr w:rsidR="00B330CB" w14:paraId="00ACF373" w14:textId="77777777" w:rsidTr="0019632A">
        <w:tc>
          <w:tcPr>
            <w:tcW w:w="1924" w:type="dxa"/>
          </w:tcPr>
          <w:p w14:paraId="19555427" w14:textId="77777777" w:rsidR="00B330CB" w:rsidRDefault="00B330CB" w:rsidP="006E064E">
            <w:r>
              <w:t>ET_MULT evapotranspiration multiplier</w:t>
            </w:r>
          </w:p>
        </w:tc>
        <w:tc>
          <w:tcPr>
            <w:tcW w:w="1980" w:type="dxa"/>
          </w:tcPr>
          <w:p w14:paraId="43559E48" w14:textId="77777777" w:rsidR="00B330CB" w:rsidRDefault="00B330CB" w:rsidP="006E064E">
            <w:r>
              <w:t>dimensionless</w:t>
            </w:r>
          </w:p>
        </w:tc>
        <w:tc>
          <w:tcPr>
            <w:tcW w:w="2121" w:type="dxa"/>
          </w:tcPr>
          <w:p w14:paraId="46A60F17" w14:textId="7F940F0F" w:rsidR="00B330CB" w:rsidRDefault="004D263A" w:rsidP="006E064E">
            <w:r>
              <w:t>0.5 – 2.0</w:t>
            </w:r>
          </w:p>
        </w:tc>
        <w:tc>
          <w:tcPr>
            <w:tcW w:w="1710" w:type="dxa"/>
          </w:tcPr>
          <w:p w14:paraId="6B9DC483" w14:textId="6256BF28" w:rsidR="00B330CB" w:rsidRPr="00A653A9" w:rsidRDefault="00CF0D1C" w:rsidP="006E064E">
            <w:r w:rsidRPr="00A653A9">
              <w:t>1.0</w:t>
            </w:r>
          </w:p>
        </w:tc>
        <w:tc>
          <w:tcPr>
            <w:tcW w:w="1710" w:type="dxa"/>
          </w:tcPr>
          <w:p w14:paraId="1E88C9A8" w14:textId="77777777" w:rsidR="00B330CB" w:rsidRDefault="00B330CB" w:rsidP="006E064E">
            <w:r>
              <w:t>0.812516</w:t>
            </w:r>
          </w:p>
        </w:tc>
      </w:tr>
    </w:tbl>
    <w:p w14:paraId="060425D9" w14:textId="77777777" w:rsidR="003819A9" w:rsidRDefault="003819A9" w:rsidP="003819A9"/>
    <w:p w14:paraId="0637CB39" w14:textId="77777777" w:rsidR="000B27BB" w:rsidRDefault="000B27BB" w:rsidP="00BA5A3F"/>
    <w:p w14:paraId="7A66E9EC" w14:textId="19A8D080" w:rsidR="00D05012" w:rsidRDefault="00C05E7F" w:rsidP="00D05012">
      <w:r>
        <w:t>The objective function</w:t>
      </w:r>
      <w:r w:rsidR="009B555B">
        <w:t xml:space="preserve"> was the sum of </w:t>
      </w:r>
      <w:r w:rsidR="00815B15">
        <w:t>weighted</w:t>
      </w:r>
      <w:r w:rsidR="009B555B">
        <w:t xml:space="preserve"> squared differences</w:t>
      </w:r>
      <w:r w:rsidR="00B472ED">
        <w:t xml:space="preserve">, in </w:t>
      </w:r>
      <w:r w:rsidR="00B472ED" w:rsidRPr="00B472ED">
        <w:t>cms</w:t>
      </w:r>
      <w:r w:rsidR="00B472ED">
        <w:rPr>
          <w:vertAlign w:val="superscript"/>
        </w:rPr>
        <w:t>2</w:t>
      </w:r>
      <w:r w:rsidR="00B472ED">
        <w:t xml:space="preserve">, </w:t>
      </w:r>
      <w:r w:rsidR="009B555B" w:rsidRPr="00B472ED">
        <w:t>between</w:t>
      </w:r>
      <w:r w:rsidR="009B555B">
        <w:t xml:space="preserve"> simulated d</w:t>
      </w:r>
      <w:r w:rsidR="003D0E29">
        <w:t xml:space="preserve">aily flows and </w:t>
      </w:r>
      <w:r w:rsidR="003B11FA">
        <w:t>observed</w:t>
      </w:r>
      <w:r w:rsidR="003D0E29">
        <w:t xml:space="preserve"> daily flows for the </w:t>
      </w:r>
      <w:r w:rsidR="007F786E">
        <w:t xml:space="preserve">7 </w:t>
      </w:r>
      <w:r w:rsidR="003D0E29">
        <w:t>water years 2009-15</w:t>
      </w:r>
      <w:r w:rsidR="007F786E">
        <w:t xml:space="preserve">.  </w:t>
      </w:r>
      <w:r w:rsidR="006162AB">
        <w:t xml:space="preserve">The time series of </w:t>
      </w:r>
      <w:r w:rsidR="003B11FA">
        <w:t>observed</w:t>
      </w:r>
      <w:r w:rsidR="006162AB">
        <w:t xml:space="preserve"> daily flows included </w:t>
      </w:r>
      <w:r w:rsidR="004B44E8">
        <w:t>a small proportion of estimated values</w:t>
      </w:r>
      <w:r w:rsidR="003B11FA">
        <w:t>, but</w:t>
      </w:r>
      <w:r w:rsidR="00F24CBD">
        <w:t xml:space="preserve"> mostly</w:t>
      </w:r>
      <w:r w:rsidR="004B44E8">
        <w:t xml:space="preserve"> </w:t>
      </w:r>
      <w:r w:rsidR="00F45353">
        <w:t xml:space="preserve">represented measurements by a stream gage on Chicken Creek near Roy Rogers Road (USGS </w:t>
      </w:r>
      <w:r w:rsidR="00F45353" w:rsidRPr="00A82C31">
        <w:t>gage #14206750),</w:t>
      </w:r>
      <w:r w:rsidR="00F45353">
        <w:t xml:space="preserve"> on the reach identified in the National Hydrography dataset as </w:t>
      </w:r>
      <w:r w:rsidR="00F45353" w:rsidRPr="00A82C31">
        <w:t>COMID 23805228.</w:t>
      </w:r>
      <w:r w:rsidR="00F45353">
        <w:t xml:space="preserve">  </w:t>
      </w:r>
      <w:r w:rsidR="00880878">
        <w:t xml:space="preserve">The observed flow time series </w:t>
      </w:r>
      <w:r w:rsidR="004B44E8">
        <w:t xml:space="preserve">was provided </w:t>
      </w:r>
      <w:r w:rsidR="00A55E26">
        <w:t xml:space="preserve">in </w:t>
      </w:r>
      <w:r w:rsidR="00161289">
        <w:t xml:space="preserve">cfs units </w:t>
      </w:r>
      <w:r w:rsidR="004B44E8">
        <w:t>by Clean Water Services</w:t>
      </w:r>
      <w:r w:rsidR="008C743A">
        <w:t>.</w:t>
      </w:r>
      <w:r w:rsidR="00A55E26">
        <w:t xml:space="preserve">  </w:t>
      </w:r>
    </w:p>
    <w:p w14:paraId="67DE8078" w14:textId="5DF36A60" w:rsidR="00AD3A59" w:rsidRDefault="00AD3A59" w:rsidP="00D05012"/>
    <w:p w14:paraId="5E44C0E3" w14:textId="6AD50674" w:rsidR="00AD3A59" w:rsidRDefault="00AD3A59" w:rsidP="00D05012">
      <w:r>
        <w:t xml:space="preserve">There was one outlier value in the time series of </w:t>
      </w:r>
      <w:r w:rsidR="00880878">
        <w:t>observed</w:t>
      </w:r>
      <w:r>
        <w:t xml:space="preserve"> dail</w:t>
      </w:r>
      <w:r w:rsidR="00880878">
        <w:t>y flows</w:t>
      </w:r>
      <w:r w:rsidR="00921381">
        <w:t>, a</w:t>
      </w:r>
      <w:r w:rsidR="005C23E9">
        <w:t>n estimated</w:t>
      </w:r>
      <w:r w:rsidR="00921381">
        <w:t xml:space="preserve"> value for 1/2/2009 of 713</w:t>
      </w:r>
      <w:r w:rsidR="005C23E9">
        <w:t xml:space="preserve"> cfs, about 300 cfs higher than any other</w:t>
      </w:r>
      <w:r w:rsidR="00B76CEB">
        <w:t xml:space="preserve"> daily value in the 7-year series.  This outlier was treated as a typographical error, and changed to 71 cfs</w:t>
      </w:r>
      <w:r w:rsidR="000A6CFF">
        <w:t>.</w:t>
      </w:r>
    </w:p>
    <w:p w14:paraId="09657D64" w14:textId="15881283" w:rsidR="000A6CFF" w:rsidRDefault="000A6CFF" w:rsidP="00D05012"/>
    <w:p w14:paraId="23181678" w14:textId="313F2872" w:rsidR="002942A2" w:rsidRDefault="000A6CFF" w:rsidP="00D05012">
      <w:r>
        <w:t xml:space="preserve">The OUWIN simulation used </w:t>
      </w:r>
      <w:r w:rsidR="00FB2642">
        <w:t xml:space="preserve">GridMet </w:t>
      </w:r>
      <w:r w:rsidR="001E703A">
        <w:t xml:space="preserve">daily meteorological data </w:t>
      </w:r>
      <w:r w:rsidR="00C6635D">
        <w:t xml:space="preserve">downloaded from the MACA website at the University of Idaho in March, 2019, by </w:t>
      </w:r>
      <w:r w:rsidR="00A80B37">
        <w:t>Oregon Freshwater Simulations.</w:t>
      </w:r>
      <w:r w:rsidR="00FC4BA5">
        <w:t xml:space="preserve">  </w:t>
      </w:r>
      <w:r w:rsidR="008B67DE">
        <w:t>The OUWIN model was run for the 8 calendar years 2008-</w:t>
      </w:r>
      <w:r w:rsidR="005660D6">
        <w:t xml:space="preserve">15 in order to obtain output data for the 7 water years </w:t>
      </w:r>
      <w:r w:rsidR="00151927">
        <w:t xml:space="preserve">2009-15 </w:t>
      </w:r>
      <w:r w:rsidR="005660D6">
        <w:t>(10/1/2008 – 9/30/2015)</w:t>
      </w:r>
      <w:r w:rsidR="00151927">
        <w:t xml:space="preserve">.  Data for days </w:t>
      </w:r>
      <w:r w:rsidR="005B02DC">
        <w:t>outside the 7 water years</w:t>
      </w:r>
      <w:r w:rsidR="00E0640A">
        <w:t xml:space="preserve"> was given a weight of </w:t>
      </w:r>
      <w:r w:rsidR="00C26D31">
        <w:t>0</w:t>
      </w:r>
      <w:r w:rsidR="00E0640A">
        <w:t xml:space="preserve"> in the calculation of the objective function</w:t>
      </w:r>
      <w:r w:rsidR="000D5FE2">
        <w:t xml:space="preserve">, while data for days in the water years was given a weight of </w:t>
      </w:r>
      <w:r w:rsidR="00C26D31">
        <w:t>1.</w:t>
      </w:r>
      <w:r w:rsidR="00FF3BA3">
        <w:t xml:space="preserve">  </w:t>
      </w:r>
      <w:r w:rsidR="00FA658B">
        <w:t xml:space="preserve">Daily data and simulations for this calibration included leap days 2/29/2008 and 2/29/2012.  </w:t>
      </w:r>
      <w:r w:rsidR="00FF3BA3">
        <w:t>E</w:t>
      </w:r>
      <w:r w:rsidR="00AD1795">
        <w:t xml:space="preserve">arlier </w:t>
      </w:r>
      <w:r w:rsidR="00EE4D89">
        <w:t xml:space="preserve">OUWIN and WW2100 </w:t>
      </w:r>
      <w:r w:rsidR="00AD1795">
        <w:t>calibration</w:t>
      </w:r>
      <w:r w:rsidR="00BD39DA">
        <w:t>s</w:t>
      </w:r>
      <w:r w:rsidR="00FF3BA3">
        <w:t xml:space="preserve"> </w:t>
      </w:r>
      <w:r w:rsidR="00BD39DA">
        <w:t>used uniform</w:t>
      </w:r>
      <w:r w:rsidR="00D47606">
        <w:t xml:space="preserve"> length 365-day years without leap days.</w:t>
      </w:r>
    </w:p>
    <w:p w14:paraId="06F78ED5" w14:textId="622F2A4A" w:rsidR="00676D3D" w:rsidRDefault="00676D3D" w:rsidP="00D05012"/>
    <w:p w14:paraId="46763977" w14:textId="068DFA64" w:rsidR="00676D3D" w:rsidRDefault="006B1567" w:rsidP="00D05012">
      <w:r>
        <w:t xml:space="preserve">The OUWIN model was run with </w:t>
      </w:r>
      <w:r w:rsidR="00E10AB9">
        <w:t xml:space="preserve">the </w:t>
      </w:r>
      <w:r>
        <w:t>SWMM-lite</w:t>
      </w:r>
      <w:r w:rsidR="007B4942">
        <w:t>,</w:t>
      </w:r>
      <w:r>
        <w:t xml:space="preserve"> forest growth</w:t>
      </w:r>
      <w:r w:rsidR="009348A2">
        <w:t>, and irrigation decision</w:t>
      </w:r>
      <w:r>
        <w:t xml:space="preserve"> processes </w:t>
      </w:r>
      <w:r w:rsidR="0051672A">
        <w:t>turned on</w:t>
      </w:r>
      <w:r>
        <w:t>, bu</w:t>
      </w:r>
      <w:r w:rsidR="00E10AB9">
        <w:t xml:space="preserve">t with </w:t>
      </w:r>
      <w:r w:rsidR="006508AF">
        <w:t xml:space="preserve">crop choice, wildfire, </w:t>
      </w:r>
      <w:r w:rsidR="00AB3A9E">
        <w:t>DGVM vegetation change, land use transition, and urban expansion processes turned off.</w:t>
      </w:r>
    </w:p>
    <w:p w14:paraId="37668A33" w14:textId="7C7D3ED0" w:rsidR="00F918A1" w:rsidRDefault="00F918A1" w:rsidP="00D05012"/>
    <w:p w14:paraId="6BDFA806" w14:textId="7249CF8F" w:rsidR="00F83305" w:rsidRDefault="00F83305" w:rsidP="00F83305">
      <w:pPr>
        <w:pStyle w:val="Heading1"/>
      </w:pPr>
      <w:r>
        <w:t>Results</w:t>
      </w:r>
    </w:p>
    <w:p w14:paraId="14AC8AE7" w14:textId="77777777" w:rsidR="00633D43" w:rsidRPr="00633D43" w:rsidRDefault="00633D43" w:rsidP="00633D43"/>
    <w:p w14:paraId="07F24A26" w14:textId="06229248" w:rsidR="00806DDB" w:rsidRDefault="002D5C05" w:rsidP="00F06806">
      <w:pPr>
        <w:rPr>
          <w:rFonts w:ascii="Calibri" w:eastAsia="Times New Roman" w:hAnsi="Calibri" w:cs="Calibri"/>
          <w:color w:val="000000"/>
        </w:rPr>
      </w:pPr>
      <w:r>
        <w:t>The results from using the PEST program were good, improving</w:t>
      </w:r>
      <w:r w:rsidR="00CA15C6">
        <w:t xml:space="preserve"> the daily timestep statistics substantially.  </w:t>
      </w:r>
      <w:r w:rsidR="0025351A">
        <w:t xml:space="preserve">Examination of the </w:t>
      </w:r>
      <w:r w:rsidR="0049668F">
        <w:t xml:space="preserve">daily simulated flows brought to light </w:t>
      </w:r>
      <w:r w:rsidR="00C46241">
        <w:t>large proportional differences between measured and simulated flows during periods of low</w:t>
      </w:r>
      <w:r w:rsidR="00380D6B">
        <w:t xml:space="preserve"> flow.  The value for K2 was changed from the PEST output value, </w:t>
      </w:r>
      <w:r w:rsidR="00F06806" w:rsidRPr="00F06806">
        <w:rPr>
          <w:rFonts w:ascii="Calibri" w:eastAsia="Times New Roman" w:hAnsi="Calibri" w:cs="Calibri"/>
          <w:color w:val="000000"/>
        </w:rPr>
        <w:t>0.070597</w:t>
      </w:r>
      <w:r w:rsidR="00675313">
        <w:rPr>
          <w:rFonts w:ascii="Calibri" w:eastAsia="Times New Roman" w:hAnsi="Calibri" w:cs="Calibri"/>
          <w:color w:val="000000"/>
        </w:rPr>
        <w:t xml:space="preserve">, to 0.02, to improve </w:t>
      </w:r>
      <w:r w:rsidR="00E14CE5">
        <w:rPr>
          <w:rFonts w:ascii="Calibri" w:eastAsia="Times New Roman" w:hAnsi="Calibri" w:cs="Calibri"/>
          <w:color w:val="000000"/>
        </w:rPr>
        <w:t>the model’s skill at low flows.  This change had only</w:t>
      </w:r>
      <w:r w:rsidR="009155DF">
        <w:rPr>
          <w:rFonts w:ascii="Calibri" w:eastAsia="Times New Roman" w:hAnsi="Calibri" w:cs="Calibri"/>
          <w:color w:val="000000"/>
        </w:rPr>
        <w:t xml:space="preserve"> a small effect on the numerical value of the skill statistics</w:t>
      </w:r>
      <w:r w:rsidR="00AD739B">
        <w:rPr>
          <w:rFonts w:ascii="Calibri" w:eastAsia="Times New Roman" w:hAnsi="Calibri" w:cs="Calibri"/>
          <w:color w:val="000000"/>
        </w:rPr>
        <w:t>.</w:t>
      </w:r>
    </w:p>
    <w:p w14:paraId="77527665" w14:textId="77777777" w:rsidR="0026079F" w:rsidRDefault="0026079F" w:rsidP="00F06806">
      <w:pPr>
        <w:rPr>
          <w:rFonts w:ascii="Calibri" w:eastAsia="Times New Roman" w:hAnsi="Calibri" w:cs="Calibri"/>
          <w:color w:val="000000"/>
        </w:rPr>
      </w:pPr>
    </w:p>
    <w:p w14:paraId="32FCA254" w14:textId="242B123E" w:rsidR="00F06806" w:rsidRDefault="005D23EA" w:rsidP="00F06806">
      <w:pPr>
        <w:rPr>
          <w:rFonts w:ascii="Calibri" w:eastAsia="Times New Roman" w:hAnsi="Calibri" w:cs="Calibri"/>
          <w:color w:val="000000"/>
        </w:rPr>
      </w:pPr>
      <w:r>
        <w:rPr>
          <w:rFonts w:ascii="Calibri" w:eastAsia="Times New Roman" w:hAnsi="Calibri" w:cs="Calibri"/>
          <w:color w:val="000000"/>
        </w:rPr>
        <w:t xml:space="preserve">Observation data for the years 2003-07 </w:t>
      </w:r>
      <w:r w:rsidR="00EC6BB8">
        <w:rPr>
          <w:rFonts w:ascii="Calibri" w:eastAsia="Times New Roman" w:hAnsi="Calibri" w:cs="Calibri"/>
          <w:color w:val="000000"/>
        </w:rPr>
        <w:t>was available, but was held back from the calibration process so that it could be used</w:t>
      </w:r>
      <w:r w:rsidR="00ED2871">
        <w:rPr>
          <w:rFonts w:ascii="Calibri" w:eastAsia="Times New Roman" w:hAnsi="Calibri" w:cs="Calibri"/>
          <w:color w:val="000000"/>
        </w:rPr>
        <w:t xml:space="preserve"> for validation.  Final </w:t>
      </w:r>
      <w:r w:rsidR="00954388">
        <w:rPr>
          <w:rFonts w:ascii="Calibri" w:eastAsia="Times New Roman" w:hAnsi="Calibri" w:cs="Calibri"/>
          <w:color w:val="000000"/>
        </w:rPr>
        <w:t xml:space="preserve">Moriasi skill </w:t>
      </w:r>
      <w:r w:rsidR="00ED2871">
        <w:rPr>
          <w:rFonts w:ascii="Calibri" w:eastAsia="Times New Roman" w:hAnsi="Calibri" w:cs="Calibri"/>
          <w:color w:val="000000"/>
        </w:rPr>
        <w:t>statistics</w:t>
      </w:r>
      <w:r w:rsidR="00954388">
        <w:rPr>
          <w:rFonts w:ascii="Calibri" w:eastAsia="Times New Roman" w:hAnsi="Calibri" w:cs="Calibri"/>
          <w:color w:val="000000"/>
        </w:rPr>
        <w:t xml:space="preserve"> for </w:t>
      </w:r>
      <w:r w:rsidR="00E61967">
        <w:rPr>
          <w:rFonts w:ascii="Calibri" w:eastAsia="Times New Roman" w:hAnsi="Calibri" w:cs="Calibri"/>
          <w:color w:val="000000"/>
        </w:rPr>
        <w:t xml:space="preserve">both the calibration and </w:t>
      </w:r>
      <w:r w:rsidR="00954388">
        <w:rPr>
          <w:rFonts w:ascii="Calibri" w:eastAsia="Times New Roman" w:hAnsi="Calibri" w:cs="Calibri"/>
          <w:color w:val="000000"/>
        </w:rPr>
        <w:t>validation period</w:t>
      </w:r>
      <w:r w:rsidR="00E61967">
        <w:rPr>
          <w:rFonts w:ascii="Calibri" w:eastAsia="Times New Roman" w:hAnsi="Calibri" w:cs="Calibri"/>
          <w:color w:val="000000"/>
        </w:rPr>
        <w:t>s</w:t>
      </w:r>
      <w:r w:rsidR="00954388">
        <w:rPr>
          <w:rFonts w:ascii="Calibri" w:eastAsia="Times New Roman" w:hAnsi="Calibri" w:cs="Calibri"/>
          <w:color w:val="000000"/>
        </w:rPr>
        <w:t xml:space="preserve"> are given</w:t>
      </w:r>
      <w:r w:rsidR="003B475E">
        <w:rPr>
          <w:rFonts w:ascii="Calibri" w:eastAsia="Times New Roman" w:hAnsi="Calibri" w:cs="Calibri"/>
          <w:color w:val="000000"/>
        </w:rPr>
        <w:t xml:space="preserve"> in </w:t>
      </w:r>
      <w:r w:rsidR="008364FD">
        <w:rPr>
          <w:rFonts w:ascii="Calibri" w:eastAsia="Times New Roman" w:hAnsi="Calibri" w:cs="Calibri"/>
          <w:color w:val="000000"/>
        </w:rPr>
        <w:t>Table 4.</w:t>
      </w:r>
    </w:p>
    <w:p w14:paraId="40F0D910" w14:textId="77777777" w:rsidR="007F79D2" w:rsidRDefault="007F79D2" w:rsidP="007F79D2"/>
    <w:p w14:paraId="00A7B24B" w14:textId="68C5EFA5" w:rsidR="002505E3" w:rsidRPr="00284C11" w:rsidRDefault="002505E3" w:rsidP="002505E3">
      <w:r w:rsidRPr="00284C11">
        <w:t xml:space="preserve">Table </w:t>
      </w:r>
      <w:r>
        <w:t>4</w:t>
      </w:r>
      <w:r w:rsidRPr="00284C11">
        <w:t xml:space="preserve">. </w:t>
      </w:r>
      <w:r w:rsidR="00F35639">
        <w:t>Final m</w:t>
      </w:r>
      <w:r w:rsidRPr="00284C11">
        <w:t xml:space="preserve">odel skill statistics for the calibration </w:t>
      </w:r>
      <w:r w:rsidR="00452701">
        <w:t xml:space="preserve">and validation </w:t>
      </w:r>
      <w:commentRangeStart w:id="1"/>
      <w:r w:rsidR="00452701">
        <w:t>periods</w:t>
      </w:r>
      <w:commentRangeEnd w:id="1"/>
      <w:r w:rsidR="00380A33">
        <w:rPr>
          <w:rStyle w:val="CommentReference"/>
        </w:rPr>
        <w:commentReference w:id="1"/>
      </w:r>
    </w:p>
    <w:tbl>
      <w:tblPr>
        <w:tblStyle w:val="TableGrid"/>
        <w:tblW w:w="9085" w:type="dxa"/>
        <w:tblLook w:val="04A0" w:firstRow="1" w:lastRow="0" w:firstColumn="1" w:lastColumn="0" w:noHBand="0" w:noVBand="1"/>
      </w:tblPr>
      <w:tblGrid>
        <w:gridCol w:w="4043"/>
        <w:gridCol w:w="1197"/>
        <w:gridCol w:w="1131"/>
        <w:gridCol w:w="350"/>
        <w:gridCol w:w="1197"/>
        <w:gridCol w:w="1167"/>
      </w:tblGrid>
      <w:tr w:rsidR="00CD5760" w14:paraId="3FB429EB" w14:textId="77777777" w:rsidTr="00CD5760">
        <w:tc>
          <w:tcPr>
            <w:tcW w:w="4124" w:type="dxa"/>
          </w:tcPr>
          <w:p w14:paraId="073EBADA" w14:textId="1D82500E" w:rsidR="00CD5760" w:rsidRPr="002A1BB4" w:rsidRDefault="002A1BB4" w:rsidP="000D3853">
            <w:pPr>
              <w:rPr>
                <w:b/>
                <w:bCs/>
              </w:rPr>
            </w:pPr>
            <w:r w:rsidRPr="002A1BB4">
              <w:rPr>
                <w:b/>
                <w:bCs/>
              </w:rPr>
              <w:t>s</w:t>
            </w:r>
            <w:r w:rsidR="00CD5760" w:rsidRPr="002A1BB4">
              <w:rPr>
                <w:b/>
                <w:bCs/>
              </w:rPr>
              <w:t>tatistic, after Moriasi et al 2007 and 2015</w:t>
            </w:r>
          </w:p>
        </w:tc>
        <w:tc>
          <w:tcPr>
            <w:tcW w:w="1169" w:type="dxa"/>
          </w:tcPr>
          <w:p w14:paraId="206CFE6F" w14:textId="324250F3" w:rsidR="00CD5760" w:rsidRPr="002A1BB4" w:rsidRDefault="002A1BB4" w:rsidP="000D3853">
            <w:pPr>
              <w:rPr>
                <w:b/>
                <w:bCs/>
              </w:rPr>
            </w:pPr>
            <w:r w:rsidRPr="002A1BB4">
              <w:rPr>
                <w:b/>
                <w:bCs/>
              </w:rPr>
              <w:t>m</w:t>
            </w:r>
            <w:r w:rsidR="00CD5760" w:rsidRPr="002A1BB4">
              <w:rPr>
                <w:b/>
                <w:bCs/>
              </w:rPr>
              <w:t>onthly, calibration</w:t>
            </w:r>
          </w:p>
        </w:tc>
        <w:tc>
          <w:tcPr>
            <w:tcW w:w="1099" w:type="dxa"/>
          </w:tcPr>
          <w:p w14:paraId="1069B1E8" w14:textId="67ED8C08" w:rsidR="00CD5760" w:rsidRPr="002A1BB4" w:rsidRDefault="002A1BB4" w:rsidP="000D3853">
            <w:pPr>
              <w:rPr>
                <w:b/>
                <w:bCs/>
              </w:rPr>
            </w:pPr>
            <w:r w:rsidRPr="002A1BB4">
              <w:rPr>
                <w:b/>
                <w:bCs/>
              </w:rPr>
              <w:t>m</w:t>
            </w:r>
            <w:r w:rsidR="00CD5760" w:rsidRPr="002A1BB4">
              <w:rPr>
                <w:b/>
                <w:bCs/>
              </w:rPr>
              <w:t>onthly, validation</w:t>
            </w:r>
          </w:p>
        </w:tc>
        <w:tc>
          <w:tcPr>
            <w:tcW w:w="355" w:type="dxa"/>
          </w:tcPr>
          <w:p w14:paraId="41DAD2FE" w14:textId="77777777" w:rsidR="00CD5760" w:rsidRPr="002A1BB4" w:rsidRDefault="00CD5760" w:rsidP="000D3853">
            <w:pPr>
              <w:rPr>
                <w:b/>
                <w:bCs/>
              </w:rPr>
            </w:pPr>
          </w:p>
        </w:tc>
        <w:tc>
          <w:tcPr>
            <w:tcW w:w="1170" w:type="dxa"/>
          </w:tcPr>
          <w:p w14:paraId="02DD3F95" w14:textId="7814FD91" w:rsidR="00CD5760" w:rsidRPr="002A1BB4" w:rsidRDefault="002A1BB4" w:rsidP="000D3853">
            <w:pPr>
              <w:rPr>
                <w:b/>
                <w:bCs/>
              </w:rPr>
            </w:pPr>
            <w:r w:rsidRPr="002A1BB4">
              <w:rPr>
                <w:b/>
                <w:bCs/>
              </w:rPr>
              <w:t>d</w:t>
            </w:r>
            <w:r w:rsidR="00CD5760" w:rsidRPr="002A1BB4">
              <w:rPr>
                <w:b/>
                <w:bCs/>
              </w:rPr>
              <w:t>aily, calibration</w:t>
            </w:r>
          </w:p>
        </w:tc>
        <w:tc>
          <w:tcPr>
            <w:tcW w:w="1168" w:type="dxa"/>
          </w:tcPr>
          <w:p w14:paraId="7CDCDA6B" w14:textId="26391CAE" w:rsidR="00CD5760" w:rsidRPr="002A1BB4" w:rsidRDefault="002A1BB4" w:rsidP="000D3853">
            <w:pPr>
              <w:rPr>
                <w:b/>
                <w:bCs/>
              </w:rPr>
            </w:pPr>
            <w:r w:rsidRPr="002A1BB4">
              <w:rPr>
                <w:b/>
                <w:bCs/>
              </w:rPr>
              <w:t>d</w:t>
            </w:r>
            <w:r w:rsidR="00CD5760" w:rsidRPr="002A1BB4">
              <w:rPr>
                <w:b/>
                <w:bCs/>
              </w:rPr>
              <w:t>aily, validation</w:t>
            </w:r>
          </w:p>
        </w:tc>
      </w:tr>
      <w:tr w:rsidR="008A409E" w14:paraId="36656326" w14:textId="77777777" w:rsidTr="00CD5760">
        <w:tc>
          <w:tcPr>
            <w:tcW w:w="4124" w:type="dxa"/>
          </w:tcPr>
          <w:p w14:paraId="1A3C8475" w14:textId="60DC771B" w:rsidR="008A409E" w:rsidRDefault="008A409E" w:rsidP="008A409E">
            <w:r>
              <w:t>coefficient of determination (R</w:t>
            </w:r>
            <w:r>
              <w:rPr>
                <w:vertAlign w:val="superscript"/>
              </w:rPr>
              <w:t>2</w:t>
            </w:r>
            <w:r>
              <w:t>)</w:t>
            </w:r>
          </w:p>
        </w:tc>
        <w:tc>
          <w:tcPr>
            <w:tcW w:w="1169" w:type="dxa"/>
          </w:tcPr>
          <w:p w14:paraId="3A999500" w14:textId="75BF99AB" w:rsidR="008A409E" w:rsidRDefault="008A409E" w:rsidP="008A409E">
            <w:r>
              <w:t>0.95 VG</w:t>
            </w:r>
          </w:p>
        </w:tc>
        <w:tc>
          <w:tcPr>
            <w:tcW w:w="1099" w:type="dxa"/>
          </w:tcPr>
          <w:p w14:paraId="30F5E2DD" w14:textId="228F710D" w:rsidR="008A409E" w:rsidRDefault="008A409E" w:rsidP="008A409E">
            <w:r>
              <w:t>0.96 VG</w:t>
            </w:r>
          </w:p>
        </w:tc>
        <w:tc>
          <w:tcPr>
            <w:tcW w:w="355" w:type="dxa"/>
          </w:tcPr>
          <w:p w14:paraId="640D0529" w14:textId="77777777" w:rsidR="008A409E" w:rsidRDefault="008A409E" w:rsidP="008A409E"/>
        </w:tc>
        <w:tc>
          <w:tcPr>
            <w:tcW w:w="1170" w:type="dxa"/>
          </w:tcPr>
          <w:p w14:paraId="628BDDAB" w14:textId="5F913B9C" w:rsidR="008A409E" w:rsidRDefault="008A409E" w:rsidP="008A409E">
            <w:r>
              <w:t>0.79 G</w:t>
            </w:r>
          </w:p>
        </w:tc>
        <w:tc>
          <w:tcPr>
            <w:tcW w:w="1168" w:type="dxa"/>
          </w:tcPr>
          <w:p w14:paraId="2AC3D8EA" w14:textId="20E9C28E" w:rsidR="008A409E" w:rsidRDefault="008A409E" w:rsidP="008A409E">
            <w:r>
              <w:t>0.</w:t>
            </w:r>
            <w:r w:rsidR="00BD3429">
              <w:t>83</w:t>
            </w:r>
            <w:r>
              <w:t xml:space="preserve"> G</w:t>
            </w:r>
          </w:p>
        </w:tc>
      </w:tr>
      <w:tr w:rsidR="008A409E" w14:paraId="7380F3E5" w14:textId="77777777" w:rsidTr="00CD5760">
        <w:tc>
          <w:tcPr>
            <w:tcW w:w="4124" w:type="dxa"/>
          </w:tcPr>
          <w:p w14:paraId="1007FD09" w14:textId="04D2248C" w:rsidR="008A409E" w:rsidRDefault="008A409E" w:rsidP="008A409E">
            <w:r>
              <w:t>Nash-Sutcliffe efficiency (NSE)</w:t>
            </w:r>
          </w:p>
        </w:tc>
        <w:tc>
          <w:tcPr>
            <w:tcW w:w="1169" w:type="dxa"/>
          </w:tcPr>
          <w:p w14:paraId="1B6A05D1" w14:textId="77777777" w:rsidR="008A409E" w:rsidRDefault="008A409E" w:rsidP="008A409E">
            <w:r>
              <w:t>0.96 VG</w:t>
            </w:r>
          </w:p>
        </w:tc>
        <w:tc>
          <w:tcPr>
            <w:tcW w:w="1099" w:type="dxa"/>
          </w:tcPr>
          <w:p w14:paraId="4D6DF2A6" w14:textId="28816C51" w:rsidR="008A409E" w:rsidRDefault="008A409E" w:rsidP="008A409E">
            <w:r>
              <w:t>0.9</w:t>
            </w:r>
            <w:r w:rsidR="005712B9">
              <w:t>4</w:t>
            </w:r>
            <w:r>
              <w:t xml:space="preserve"> VG</w:t>
            </w:r>
          </w:p>
        </w:tc>
        <w:tc>
          <w:tcPr>
            <w:tcW w:w="355" w:type="dxa"/>
          </w:tcPr>
          <w:p w14:paraId="0E02AE56" w14:textId="77777777" w:rsidR="008A409E" w:rsidRDefault="008A409E" w:rsidP="008A409E"/>
        </w:tc>
        <w:tc>
          <w:tcPr>
            <w:tcW w:w="1170" w:type="dxa"/>
          </w:tcPr>
          <w:p w14:paraId="17E6DF87" w14:textId="232D6235" w:rsidR="008A409E" w:rsidRDefault="008A409E" w:rsidP="008A409E">
            <w:r>
              <w:t>0.79 G</w:t>
            </w:r>
          </w:p>
        </w:tc>
        <w:tc>
          <w:tcPr>
            <w:tcW w:w="1168" w:type="dxa"/>
          </w:tcPr>
          <w:p w14:paraId="0F1A000F" w14:textId="5831F9D3" w:rsidR="008A409E" w:rsidRDefault="008A409E" w:rsidP="008A409E">
            <w:r>
              <w:t>0.</w:t>
            </w:r>
            <w:r w:rsidR="00BD3429">
              <w:t>8</w:t>
            </w:r>
            <w:r w:rsidR="006A7505">
              <w:t>1</w:t>
            </w:r>
            <w:r>
              <w:t xml:space="preserve"> G</w:t>
            </w:r>
          </w:p>
        </w:tc>
      </w:tr>
      <w:tr w:rsidR="008A409E" w14:paraId="222D48D5" w14:textId="77777777" w:rsidTr="00CD5760">
        <w:tc>
          <w:tcPr>
            <w:tcW w:w="4124" w:type="dxa"/>
          </w:tcPr>
          <w:p w14:paraId="5709A195" w14:textId="0CD0CB41" w:rsidR="008A409E" w:rsidRDefault="008A409E" w:rsidP="008A409E">
            <w:r>
              <w:t>percent bias (PBIAS)</w:t>
            </w:r>
          </w:p>
        </w:tc>
        <w:tc>
          <w:tcPr>
            <w:tcW w:w="1169" w:type="dxa"/>
          </w:tcPr>
          <w:p w14:paraId="32D2A29C" w14:textId="77777777" w:rsidR="008A409E" w:rsidRDefault="008A409E" w:rsidP="008A409E">
            <w:r>
              <w:t>2.7% VG</w:t>
            </w:r>
          </w:p>
        </w:tc>
        <w:tc>
          <w:tcPr>
            <w:tcW w:w="1099" w:type="dxa"/>
          </w:tcPr>
          <w:p w14:paraId="55B514BC" w14:textId="7AF388D7" w:rsidR="008A409E" w:rsidRDefault="00435FF2" w:rsidP="008A409E">
            <w:r>
              <w:t>7.0</w:t>
            </w:r>
            <w:r w:rsidR="008A409E">
              <w:t>% G</w:t>
            </w:r>
          </w:p>
        </w:tc>
        <w:tc>
          <w:tcPr>
            <w:tcW w:w="355" w:type="dxa"/>
          </w:tcPr>
          <w:p w14:paraId="1EE956E0" w14:textId="77777777" w:rsidR="008A409E" w:rsidRDefault="008A409E" w:rsidP="008A409E"/>
        </w:tc>
        <w:tc>
          <w:tcPr>
            <w:tcW w:w="1170" w:type="dxa"/>
          </w:tcPr>
          <w:p w14:paraId="78B69C66" w14:textId="407AD7EA" w:rsidR="008A409E" w:rsidRDefault="008A409E" w:rsidP="008A409E">
            <w:r>
              <w:t>1.9% VG</w:t>
            </w:r>
          </w:p>
        </w:tc>
        <w:tc>
          <w:tcPr>
            <w:tcW w:w="1168" w:type="dxa"/>
          </w:tcPr>
          <w:p w14:paraId="109AEAC5" w14:textId="29A979C4" w:rsidR="008A409E" w:rsidRDefault="006A7505" w:rsidP="008A409E">
            <w:r>
              <w:t>6.5</w:t>
            </w:r>
            <w:r w:rsidR="008A409E">
              <w:t>% VG</w:t>
            </w:r>
          </w:p>
        </w:tc>
      </w:tr>
      <w:tr w:rsidR="008A409E" w14:paraId="58A873E6" w14:textId="77777777" w:rsidTr="00CD5760">
        <w:tc>
          <w:tcPr>
            <w:tcW w:w="4124" w:type="dxa"/>
          </w:tcPr>
          <w:p w14:paraId="3C0F0E77" w14:textId="41123F86" w:rsidR="008A409E" w:rsidRDefault="008A409E" w:rsidP="008A409E">
            <w:r>
              <w:t>RMSE:observations std. dev. ratio (RSR)</w:t>
            </w:r>
          </w:p>
        </w:tc>
        <w:tc>
          <w:tcPr>
            <w:tcW w:w="1169" w:type="dxa"/>
          </w:tcPr>
          <w:p w14:paraId="16C02365" w14:textId="750E2D56" w:rsidR="008A409E" w:rsidRDefault="008A409E" w:rsidP="008A409E">
            <w:r>
              <w:t>0.23 VG</w:t>
            </w:r>
          </w:p>
        </w:tc>
        <w:tc>
          <w:tcPr>
            <w:tcW w:w="1099" w:type="dxa"/>
          </w:tcPr>
          <w:p w14:paraId="641AA01F" w14:textId="7F03568B" w:rsidR="008A409E" w:rsidRDefault="008A409E" w:rsidP="008A409E">
            <w:r>
              <w:t>0.2</w:t>
            </w:r>
            <w:r w:rsidR="00435FF2">
              <w:t>4</w:t>
            </w:r>
            <w:r>
              <w:t xml:space="preserve"> VG</w:t>
            </w:r>
          </w:p>
        </w:tc>
        <w:tc>
          <w:tcPr>
            <w:tcW w:w="355" w:type="dxa"/>
          </w:tcPr>
          <w:p w14:paraId="6C7DBB92" w14:textId="77777777" w:rsidR="008A409E" w:rsidRDefault="008A409E" w:rsidP="008A409E"/>
        </w:tc>
        <w:tc>
          <w:tcPr>
            <w:tcW w:w="1170" w:type="dxa"/>
          </w:tcPr>
          <w:p w14:paraId="2E91C8FA" w14:textId="5400562C" w:rsidR="008A409E" w:rsidRDefault="008A409E" w:rsidP="008A409E">
            <w:r>
              <w:t>0.46 VG</w:t>
            </w:r>
          </w:p>
        </w:tc>
        <w:tc>
          <w:tcPr>
            <w:tcW w:w="1168" w:type="dxa"/>
          </w:tcPr>
          <w:p w14:paraId="29D7D8E4" w14:textId="3898B481" w:rsidR="008A409E" w:rsidRDefault="008A409E" w:rsidP="008A409E">
            <w:r>
              <w:t>0.4</w:t>
            </w:r>
            <w:r w:rsidR="00C430AC">
              <w:t xml:space="preserve">3 </w:t>
            </w:r>
            <w:r>
              <w:t>VG</w:t>
            </w:r>
          </w:p>
        </w:tc>
      </w:tr>
    </w:tbl>
    <w:p w14:paraId="51732CEC" w14:textId="015C0540" w:rsidR="002505E3" w:rsidRDefault="00A41D29" w:rsidP="002505E3">
      <w:r>
        <w:t>Note</w:t>
      </w:r>
      <w:r w:rsidR="007F6E64">
        <w:t xml:space="preserve">: </w:t>
      </w:r>
      <w:r w:rsidR="002505E3">
        <w:t xml:space="preserve">VG = good, G= good, S = satisfactory, NS = not satisfactory. </w:t>
      </w:r>
      <w:r w:rsidR="00214F7D">
        <w:t>Calibration</w:t>
      </w:r>
      <w:r w:rsidR="002505E3">
        <w:t xml:space="preserve"> statistics are for </w:t>
      </w:r>
      <w:r w:rsidR="003865F0">
        <w:t>water</w:t>
      </w:r>
      <w:r w:rsidR="002505E3">
        <w:t xml:space="preserve"> years 2009-15. </w:t>
      </w:r>
      <w:r w:rsidR="003865F0">
        <w:t>Validation</w:t>
      </w:r>
      <w:r w:rsidR="002505E3">
        <w:t xml:space="preserve"> statistics are for water years 200</w:t>
      </w:r>
      <w:r w:rsidR="003865F0">
        <w:t>3-07</w:t>
      </w:r>
      <w:r w:rsidR="002505E3">
        <w:t>.</w:t>
      </w:r>
    </w:p>
    <w:p w14:paraId="4A8F48ED" w14:textId="77777777" w:rsidR="002505E3" w:rsidRDefault="002505E3" w:rsidP="002505E3"/>
    <w:p w14:paraId="25742A05" w14:textId="3CD01E04" w:rsidR="00F918A1" w:rsidRDefault="00F918A1" w:rsidP="00D05012"/>
    <w:p w14:paraId="4CA2483F" w14:textId="2CD248FF" w:rsidR="000A6674" w:rsidRDefault="007C63F9" w:rsidP="00D05012">
      <w:r>
        <w:t xml:space="preserve">It may be possible to </w:t>
      </w:r>
      <w:r w:rsidR="006D63C4">
        <w:t>increase</w:t>
      </w:r>
      <w:r>
        <w:t xml:space="preserve"> the model’s skill</w:t>
      </w:r>
      <w:r w:rsidR="006D63C4">
        <w:t>, as measured by the numerical values of the Moriasi statistics,</w:t>
      </w:r>
      <w:r>
        <w:t xml:space="preserve"> still further</w:t>
      </w:r>
      <w:r w:rsidR="007D62F9">
        <w:t xml:space="preserve">.  </w:t>
      </w:r>
      <w:r w:rsidR="000A6674">
        <w:t xml:space="preserve">Newly available observation data for years after 2015 could be used to extend the calibration period.  </w:t>
      </w:r>
      <w:r w:rsidR="003D46AB">
        <w:t>The outlier on 1/2/09 could be</w:t>
      </w:r>
      <w:r w:rsidR="007617F9">
        <w:t xml:space="preserve"> treated differently.  Estimated </w:t>
      </w:r>
      <w:r w:rsidR="00DA132E">
        <w:t>values in the observations could be given a zero weight</w:t>
      </w:r>
      <w:r w:rsidR="00EF31F3">
        <w:t xml:space="preserve">. </w:t>
      </w:r>
      <w:r w:rsidR="00FE2C3B">
        <w:t xml:space="preserve"> </w:t>
      </w:r>
      <w:r w:rsidR="009E610C">
        <w:t xml:space="preserve">Different </w:t>
      </w:r>
      <w:r w:rsidR="00AC7FFD">
        <w:t xml:space="preserve">parameter </w:t>
      </w:r>
      <w:r w:rsidR="009E610C">
        <w:t>starting values</w:t>
      </w:r>
      <w:r w:rsidR="00AC7FFD">
        <w:t xml:space="preserve"> or valid ranges</w:t>
      </w:r>
      <w:r w:rsidR="009E610C">
        <w:t xml:space="preserve"> could be used for the PEST execution</w:t>
      </w:r>
      <w:r w:rsidR="009C7485">
        <w:t>. T</w:t>
      </w:r>
      <w:r w:rsidR="005E4A09">
        <w:t>he calibrated values of PERC and K0, in particular are pegged at the upper end of their respective ranges</w:t>
      </w:r>
      <w:r w:rsidR="009C7485">
        <w:t xml:space="preserve">; </w:t>
      </w:r>
      <w:r w:rsidR="009C2C8B">
        <w:t xml:space="preserve">allowing PEST to pick somewhat larger values for PERC and K0 </w:t>
      </w:r>
      <w:r w:rsidR="000D6436">
        <w:t>could conceivably produce a better model fit.</w:t>
      </w:r>
      <w:r w:rsidR="00AC7FFD">
        <w:t xml:space="preserve">  However, given that the qualitative Moriasi ratings are already “very good” or “good”, the room for qualitative improvement is limited.</w:t>
      </w:r>
    </w:p>
    <w:p w14:paraId="72436D16" w14:textId="2EC3C0CC" w:rsidR="000A6674" w:rsidRDefault="000A6674" w:rsidP="00D05012"/>
    <w:p w14:paraId="26C82522" w14:textId="068B4CD8" w:rsidR="00C728B4" w:rsidRDefault="00E34D29" w:rsidP="00D05012">
      <w:r>
        <w:t xml:space="preserve">The manual adjustment of the K2 parameter value was made in recognition </w:t>
      </w:r>
      <w:r w:rsidR="00C90DC6">
        <w:t>of the importance of the low flows to the OUWIN research objectives, and with</w:t>
      </w:r>
      <w:r w:rsidR="009B72E1">
        <w:t xml:space="preserve"> a realization that the </w:t>
      </w:r>
      <w:r w:rsidR="00D951BE">
        <w:t xml:space="preserve">exact </w:t>
      </w:r>
      <w:r w:rsidR="009B72E1">
        <w:t>value of K2</w:t>
      </w:r>
      <w:r w:rsidR="00D951BE">
        <w:t xml:space="preserve"> as it nears zero</w:t>
      </w:r>
      <w:r w:rsidR="009B72E1">
        <w:t xml:space="preserve"> has little impact on the </w:t>
      </w:r>
      <w:r w:rsidR="005F565B">
        <w:t>overall Moriasi</w:t>
      </w:r>
      <w:r w:rsidR="00282BD1">
        <w:t xml:space="preserve"> </w:t>
      </w:r>
      <w:r w:rsidR="005F565B">
        <w:t>skill statistics</w:t>
      </w:r>
      <w:r w:rsidR="00BB25B3">
        <w:t xml:space="preserve">.  There are </w:t>
      </w:r>
      <w:r w:rsidR="00276196">
        <w:t>several</w:t>
      </w:r>
      <w:r w:rsidR="00BB25B3">
        <w:t xml:space="preserve"> other ways </w:t>
      </w:r>
      <w:r w:rsidR="00276196">
        <w:t xml:space="preserve">in which the low flows could be given more </w:t>
      </w:r>
      <w:r w:rsidR="00293058">
        <w:t>importance in the calibration process:</w:t>
      </w:r>
    </w:p>
    <w:p w14:paraId="290F9D8A" w14:textId="1366B5E6" w:rsidR="00293058" w:rsidRDefault="00293058" w:rsidP="00D05012">
      <w:r>
        <w:t>-</w:t>
      </w:r>
      <w:r w:rsidR="00034D51">
        <w:t xml:space="preserve"> in PEST, the weights associated with low flow observations could be increased relative to the weights for </w:t>
      </w:r>
      <w:r w:rsidR="00557105">
        <w:t>higher flow observations</w:t>
      </w:r>
    </w:p>
    <w:p w14:paraId="34C0EF6B" w14:textId="77777777" w:rsidR="003F12C8" w:rsidRDefault="003F12C8" w:rsidP="003F12C8">
      <w:r>
        <w:t>- the objective function itself could be changed (e.g. use NSE, or the absolute value of the residuals when summing instead of the squared value of the residuals)</w:t>
      </w:r>
    </w:p>
    <w:p w14:paraId="6701E840" w14:textId="10793C44" w:rsidR="003F12C8" w:rsidRDefault="00557105" w:rsidP="00D05012">
      <w:r>
        <w:t xml:space="preserve">- </w:t>
      </w:r>
      <w:r w:rsidR="00DD511B">
        <w:t xml:space="preserve">all the </w:t>
      </w:r>
      <w:r w:rsidR="00D771AB">
        <w:t>in</w:t>
      </w:r>
      <w:r w:rsidR="00E61C00">
        <w:t xml:space="preserve">dividual </w:t>
      </w:r>
      <w:r w:rsidR="0045294C">
        <w:t>predicted and observed values could be transformed</w:t>
      </w:r>
      <w:r w:rsidR="000A3577">
        <w:t xml:space="preserve"> (e.g. logarithms of the predicted and observed values </w:t>
      </w:r>
      <w:r w:rsidR="00020A00">
        <w:t xml:space="preserve">could be taken) before they are </w:t>
      </w:r>
      <w:r w:rsidR="00577C32">
        <w:t xml:space="preserve">input </w:t>
      </w:r>
      <w:r w:rsidR="00020A00">
        <w:t>to P</w:t>
      </w:r>
      <w:r w:rsidR="00463DEE">
        <w:t>EST to compute residuals</w:t>
      </w:r>
    </w:p>
    <w:p w14:paraId="6E634081" w14:textId="2132DFC4" w:rsidR="00E61C00" w:rsidRDefault="00E61C00" w:rsidP="00D05012">
      <w:r>
        <w:t xml:space="preserve">- </w:t>
      </w:r>
      <w:r w:rsidR="00311A66">
        <w:t xml:space="preserve">the entire time series of </w:t>
      </w:r>
      <w:r w:rsidR="00DD511B">
        <w:t xml:space="preserve">predictions and observations could be </w:t>
      </w:r>
      <w:r w:rsidR="00577C32">
        <w:t>converted</w:t>
      </w:r>
      <w:r w:rsidR="007B3FA1">
        <w:t xml:space="preserve"> into series of statistics</w:t>
      </w:r>
      <w:r w:rsidR="00222112">
        <w:t xml:space="preserve"> (e.g. into series of 7-day low flow</w:t>
      </w:r>
      <w:r w:rsidR="006C1344">
        <w:t xml:space="preserve"> values), before they are </w:t>
      </w:r>
      <w:r w:rsidR="00126AB9">
        <w:t>input to PEST</w:t>
      </w:r>
      <w:r w:rsidR="00ED0C4A">
        <w:t>.</w:t>
      </w:r>
    </w:p>
    <w:p w14:paraId="37F96165" w14:textId="751A1EEE" w:rsidR="009D420E" w:rsidRDefault="009D420E" w:rsidP="00D05012"/>
    <w:p w14:paraId="567BD64C" w14:textId="54928C41" w:rsidR="003A19A7" w:rsidRDefault="006B68AF" w:rsidP="00D05012">
      <w:r>
        <w:t>OUWIN</w:t>
      </w:r>
      <w:r w:rsidR="00236CB0">
        <w:t>’s simulation of streamflow goes beyond the HBV precipitation-runoff</w:t>
      </w:r>
      <w:r>
        <w:t xml:space="preserve"> </w:t>
      </w:r>
      <w:r w:rsidR="00291CFF">
        <w:t>model</w:t>
      </w:r>
      <w:r w:rsidR="00861CD4">
        <w:t xml:space="preserve"> to include</w:t>
      </w:r>
      <w:r w:rsidR="00291CFF">
        <w:t xml:space="preserve"> simulate</w:t>
      </w:r>
      <w:r w:rsidR="00E67E6F">
        <w:t>d</w:t>
      </w:r>
      <w:r w:rsidR="00291CFF">
        <w:t xml:space="preserve"> irrigation and municipal withdrawals</w:t>
      </w:r>
      <w:r w:rsidR="00C23B82">
        <w:t xml:space="preserve"> from streams, and </w:t>
      </w:r>
      <w:r w:rsidR="00E67E6F">
        <w:t xml:space="preserve">simulated </w:t>
      </w:r>
      <w:r w:rsidR="00861CD4">
        <w:t>municipal discharges to streams</w:t>
      </w:r>
      <w:r w:rsidR="0066589E">
        <w:t>.  Additions to the surface water budget from groundwater pumping for irrigation are also included</w:t>
      </w:r>
      <w:r w:rsidR="006C63C6">
        <w:t>.  T</w:t>
      </w:r>
      <w:r w:rsidR="00724B18">
        <w:t xml:space="preserve">he Chicken Creek </w:t>
      </w:r>
      <w:r w:rsidR="00294A58">
        <w:t>area</w:t>
      </w:r>
      <w:r w:rsidR="00724B18">
        <w:t xml:space="preserve"> gets its municipal</w:t>
      </w:r>
      <w:r w:rsidR="00294A58">
        <w:t xml:space="preserve"> water from outside the Chicken Creek watershed, and </w:t>
      </w:r>
      <w:r w:rsidR="00F33379">
        <w:t xml:space="preserve">returns treated sewer water </w:t>
      </w:r>
      <w:r w:rsidR="003531BE">
        <w:t>to the Tualatin river at a location</w:t>
      </w:r>
      <w:r w:rsidR="000A270B">
        <w:t xml:space="preserve"> outside the Chicken Creek watershed, so </w:t>
      </w:r>
      <w:r w:rsidR="00116095">
        <w:t xml:space="preserve">the effect of </w:t>
      </w:r>
      <w:r w:rsidR="000A270B">
        <w:t xml:space="preserve">municipal water usage </w:t>
      </w:r>
      <w:r w:rsidR="00447C17">
        <w:t xml:space="preserve">on the flows in Chicken Creek itself is limited to </w:t>
      </w:r>
      <w:r w:rsidR="004921D7">
        <w:t xml:space="preserve">runoff from outdoor water use supplied from city water (e.g. </w:t>
      </w:r>
      <w:r w:rsidR="00A0512E">
        <w:t>lawn sprinklers</w:t>
      </w:r>
      <w:r w:rsidR="00186709">
        <w:t>)</w:t>
      </w:r>
      <w:r w:rsidR="00EE4F9C">
        <w:t>.</w:t>
      </w:r>
      <w:r w:rsidR="00CE218C">
        <w:t xml:space="preserve">  Outdoor use of city water is simulated </w:t>
      </w:r>
      <w:r w:rsidR="009418FB">
        <w:t>using seasonality data from the Portland Water Bureau</w:t>
      </w:r>
      <w:r w:rsidR="007D61FC">
        <w:t>; it is a relatively small part of the overall water</w:t>
      </w:r>
      <w:r w:rsidR="00EE42F3">
        <w:t xml:space="preserve"> budget for the watershed.  </w:t>
      </w:r>
      <w:r w:rsidR="003F732B">
        <w:t>It is plausible that records of municipal water usage</w:t>
      </w:r>
      <w:r w:rsidR="00215B5F">
        <w:t xml:space="preserve"> could be obtained from the local water utility, Clean Water Services</w:t>
      </w:r>
      <w:r w:rsidR="003A19A7">
        <w:t>.</w:t>
      </w:r>
      <w:r w:rsidR="000A270B">
        <w:t xml:space="preserve"> </w:t>
      </w:r>
      <w:r w:rsidR="00294A58">
        <w:t xml:space="preserve"> </w:t>
      </w:r>
      <w:r w:rsidR="003A19A7">
        <w:t>Agricultural irrigation is also simulated</w:t>
      </w:r>
      <w:r w:rsidR="00BE6D19">
        <w:t>, but r</w:t>
      </w:r>
      <w:r w:rsidR="00247315">
        <w:t>ecords of actual irr</w:t>
      </w:r>
      <w:r w:rsidR="004C509C">
        <w:t>igation are not available.</w:t>
      </w:r>
    </w:p>
    <w:p w14:paraId="151B803B" w14:textId="5B1314B9" w:rsidR="00BE6D19" w:rsidRDefault="00BE6D19" w:rsidP="00D05012"/>
    <w:p w14:paraId="060EED61" w14:textId="284CECBE" w:rsidR="00BE6D19" w:rsidRDefault="00BE6D19" w:rsidP="00D05012">
      <w:r>
        <w:t>The</w:t>
      </w:r>
      <w:r w:rsidR="009F0104">
        <w:t xml:space="preserve"> additional information in records of municipal water usage</w:t>
      </w:r>
      <w:r w:rsidR="00FE2400">
        <w:t xml:space="preserve"> could be used</w:t>
      </w:r>
      <w:r w:rsidR="00C31E3F">
        <w:t xml:space="preserve"> to improve the Chicken Creek</w:t>
      </w:r>
      <w:r w:rsidR="008302E8">
        <w:t xml:space="preserve"> streamflow calibration in several ways.  First, </w:t>
      </w:r>
      <w:r w:rsidR="005F3282">
        <w:t>records of actual municipal water usage could be substituted for simulation</w:t>
      </w:r>
      <w:r w:rsidR="00814F6D">
        <w:t xml:space="preserve"> of municipal water usage</w:t>
      </w:r>
      <w:r w:rsidR="002F3E08">
        <w:t>, to better constrain the input</w:t>
      </w:r>
      <w:r w:rsidR="00B007D9">
        <w:t xml:space="preserve"> to the streams from outdoor use of city water</w:t>
      </w:r>
      <w:r w:rsidR="00C87742">
        <w:t>.  Then the PEST calibration could be rerun.  Second</w:t>
      </w:r>
      <w:r w:rsidR="00B10A42">
        <w:t xml:space="preserve">, </w:t>
      </w:r>
      <w:r w:rsidR="005957B0">
        <w:t xml:space="preserve">one or more </w:t>
      </w:r>
      <w:r w:rsidR="00B10A42">
        <w:t>parameter</w:t>
      </w:r>
      <w:r w:rsidR="005957B0">
        <w:t>s</w:t>
      </w:r>
      <w:r w:rsidR="00B10A42">
        <w:t xml:space="preserve"> of the urban water module could be added to the</w:t>
      </w:r>
      <w:r w:rsidR="00155BB6">
        <w:t xml:space="preserve"> parameter space explored by PEST </w:t>
      </w:r>
      <w:r w:rsidR="0018214F">
        <w:t>in the flow calibration, analogous to the addition of the ET_MULT</w:t>
      </w:r>
      <w:r w:rsidR="005957B0">
        <w:t xml:space="preserve"> parameter.</w:t>
      </w:r>
      <w:r w:rsidR="00B71E7E">
        <w:t xml:space="preserve"> </w:t>
      </w:r>
      <w:r w:rsidR="00BC7956">
        <w:t xml:space="preserve"> Third, </w:t>
      </w:r>
      <w:r w:rsidR="004313DB">
        <w:t xml:space="preserve">a multiple </w:t>
      </w:r>
      <w:r w:rsidR="003A698F">
        <w:t xml:space="preserve">objective calibration </w:t>
      </w:r>
      <w:r w:rsidR="00060C3F">
        <w:t xml:space="preserve">(Gupta et al. 1998) </w:t>
      </w:r>
      <w:r w:rsidR="003A698F">
        <w:t xml:space="preserve">could be done by </w:t>
      </w:r>
      <w:r w:rsidR="00DE136A">
        <w:t>including</w:t>
      </w:r>
      <w:r w:rsidR="003A698F">
        <w:t xml:space="preserve"> an objective function which rela</w:t>
      </w:r>
      <w:r w:rsidR="00F30028">
        <w:t xml:space="preserve">tes actual municipal water usage to simulated usage, </w:t>
      </w:r>
      <w:r w:rsidR="007C2D20">
        <w:t xml:space="preserve">with the </w:t>
      </w:r>
      <w:r w:rsidR="00E65E73">
        <w:t>present one</w:t>
      </w:r>
      <w:r w:rsidR="00A1751B">
        <w:t xml:space="preserve"> relating measured flows to observed flows</w:t>
      </w:r>
      <w:r w:rsidR="00E65E73">
        <w:t>.</w:t>
      </w:r>
    </w:p>
    <w:p w14:paraId="7425557C" w14:textId="77777777" w:rsidR="003A19A7" w:rsidRDefault="003A19A7" w:rsidP="00D05012"/>
    <w:p w14:paraId="461F9DBB" w14:textId="019C8099" w:rsidR="007C63F9" w:rsidRDefault="007C63F9" w:rsidP="00D05012"/>
    <w:p w14:paraId="3C470D25" w14:textId="3CF5EF8F" w:rsidR="00551041" w:rsidRPr="006E54B2" w:rsidRDefault="00551041" w:rsidP="00551041">
      <w:pPr>
        <w:pStyle w:val="Heading1"/>
      </w:pPr>
      <w:r w:rsidRPr="006E54B2">
        <w:lastRenderedPageBreak/>
        <w:t xml:space="preserve">Glossary </w:t>
      </w:r>
      <w:r w:rsidR="00AC1386">
        <w:t xml:space="preserve">of </w:t>
      </w:r>
      <w:r w:rsidRPr="006E54B2">
        <w:t xml:space="preserve">acronyms </w:t>
      </w:r>
    </w:p>
    <w:p w14:paraId="0CD01F7C" w14:textId="77777777" w:rsidR="00551041" w:rsidRPr="00F976E8" w:rsidRDefault="00551041" w:rsidP="00551041">
      <w:pPr>
        <w:rPr>
          <w:sz w:val="20"/>
          <w:szCs w:val="20"/>
        </w:rPr>
      </w:pPr>
    </w:p>
    <w:p w14:paraId="69797561" w14:textId="77777777" w:rsidR="00551041" w:rsidRPr="00F231C0" w:rsidRDefault="00551041" w:rsidP="00551041">
      <w:pPr>
        <w:rPr>
          <w:sz w:val="20"/>
          <w:szCs w:val="20"/>
        </w:rPr>
      </w:pPr>
      <w:r w:rsidRPr="00F231C0">
        <w:rPr>
          <w:b/>
          <w:bCs/>
          <w:sz w:val="20"/>
          <w:szCs w:val="20"/>
        </w:rPr>
        <w:t xml:space="preserve">BETA </w:t>
      </w:r>
      <w:r w:rsidRPr="00F231C0">
        <w:rPr>
          <w:sz w:val="20"/>
          <w:szCs w:val="20"/>
        </w:rPr>
        <w:t>– recharge exponent, an HBV parameter</w:t>
      </w:r>
    </w:p>
    <w:p w14:paraId="7D55B027" w14:textId="77777777" w:rsidR="00551041" w:rsidRPr="00F231C0" w:rsidRDefault="00551041" w:rsidP="00551041">
      <w:pPr>
        <w:rPr>
          <w:sz w:val="20"/>
          <w:szCs w:val="20"/>
        </w:rPr>
      </w:pPr>
      <w:r w:rsidRPr="00F231C0">
        <w:rPr>
          <w:b/>
          <w:bCs/>
          <w:sz w:val="20"/>
          <w:szCs w:val="20"/>
        </w:rPr>
        <w:t>CFMAX</w:t>
      </w:r>
      <w:r w:rsidRPr="00F231C0">
        <w:rPr>
          <w:sz w:val="20"/>
          <w:szCs w:val="20"/>
        </w:rPr>
        <w:t xml:space="preserve"> – melt rate, an HBV parameter</w:t>
      </w:r>
    </w:p>
    <w:p w14:paraId="5B53CC57" w14:textId="77777777" w:rsidR="00551041" w:rsidRPr="00F231C0" w:rsidRDefault="00551041" w:rsidP="00551041">
      <w:pPr>
        <w:rPr>
          <w:sz w:val="20"/>
          <w:szCs w:val="20"/>
        </w:rPr>
      </w:pPr>
      <w:r w:rsidRPr="00F231C0">
        <w:rPr>
          <w:b/>
          <w:bCs/>
          <w:sz w:val="20"/>
          <w:szCs w:val="20"/>
        </w:rPr>
        <w:t xml:space="preserve">CFR </w:t>
      </w:r>
      <w:r w:rsidRPr="00F231C0">
        <w:rPr>
          <w:sz w:val="20"/>
          <w:szCs w:val="20"/>
        </w:rPr>
        <w:t>– refreezing coefficient, an HBV parameter</w:t>
      </w:r>
    </w:p>
    <w:p w14:paraId="38D30F54" w14:textId="77777777" w:rsidR="00551041" w:rsidRPr="00F231C0" w:rsidRDefault="00551041" w:rsidP="00551041">
      <w:pPr>
        <w:rPr>
          <w:sz w:val="20"/>
          <w:szCs w:val="20"/>
        </w:rPr>
      </w:pPr>
      <w:r w:rsidRPr="00F231C0">
        <w:rPr>
          <w:b/>
          <w:sz w:val="20"/>
          <w:szCs w:val="20"/>
        </w:rPr>
        <w:t>cfs</w:t>
      </w:r>
      <w:r w:rsidRPr="00F231C0">
        <w:rPr>
          <w:sz w:val="20"/>
          <w:szCs w:val="20"/>
        </w:rPr>
        <w:t xml:space="preserve"> – cubic feet per second</w:t>
      </w:r>
    </w:p>
    <w:p w14:paraId="5C73F833" w14:textId="77777777" w:rsidR="00551041" w:rsidRPr="00F231C0" w:rsidRDefault="00551041" w:rsidP="00551041">
      <w:pPr>
        <w:rPr>
          <w:sz w:val="20"/>
          <w:szCs w:val="20"/>
        </w:rPr>
      </w:pPr>
      <w:r w:rsidRPr="00F231C0">
        <w:rPr>
          <w:b/>
          <w:sz w:val="20"/>
          <w:szCs w:val="20"/>
        </w:rPr>
        <w:t>cms</w:t>
      </w:r>
      <w:r w:rsidRPr="00F231C0">
        <w:rPr>
          <w:sz w:val="20"/>
          <w:szCs w:val="20"/>
        </w:rPr>
        <w:t xml:space="preserve"> – cubic meters per second</w:t>
      </w:r>
    </w:p>
    <w:p w14:paraId="440E8388" w14:textId="77777777" w:rsidR="00551041" w:rsidRPr="00F231C0" w:rsidRDefault="00551041" w:rsidP="00551041">
      <w:pPr>
        <w:rPr>
          <w:sz w:val="20"/>
          <w:szCs w:val="20"/>
        </w:rPr>
      </w:pPr>
      <w:r w:rsidRPr="00F231C0">
        <w:rPr>
          <w:b/>
          <w:sz w:val="20"/>
          <w:szCs w:val="20"/>
        </w:rPr>
        <w:t>DGVM</w:t>
      </w:r>
      <w:r w:rsidRPr="00F231C0">
        <w:rPr>
          <w:sz w:val="20"/>
          <w:szCs w:val="20"/>
        </w:rPr>
        <w:t xml:space="preserve"> – dynamic global vegetation model</w:t>
      </w:r>
    </w:p>
    <w:p w14:paraId="17294C2D" w14:textId="77777777" w:rsidR="00551041" w:rsidRPr="00F231C0" w:rsidRDefault="00551041" w:rsidP="00551041">
      <w:pPr>
        <w:rPr>
          <w:sz w:val="20"/>
          <w:szCs w:val="20"/>
        </w:rPr>
      </w:pPr>
      <w:r w:rsidRPr="00F231C0">
        <w:rPr>
          <w:b/>
          <w:sz w:val="20"/>
          <w:szCs w:val="20"/>
        </w:rPr>
        <w:t>ET</w:t>
      </w:r>
      <w:r w:rsidRPr="00F231C0">
        <w:rPr>
          <w:sz w:val="20"/>
          <w:szCs w:val="20"/>
        </w:rPr>
        <w:t xml:space="preserve"> – evapotranspiration</w:t>
      </w:r>
    </w:p>
    <w:p w14:paraId="265C2354" w14:textId="77777777" w:rsidR="00551041" w:rsidRPr="00F231C0" w:rsidRDefault="00551041" w:rsidP="00551041">
      <w:pPr>
        <w:rPr>
          <w:sz w:val="20"/>
          <w:szCs w:val="20"/>
        </w:rPr>
      </w:pPr>
      <w:r w:rsidRPr="00F231C0">
        <w:rPr>
          <w:b/>
          <w:bCs/>
          <w:sz w:val="20"/>
          <w:szCs w:val="20"/>
        </w:rPr>
        <w:t>ET_MULT</w:t>
      </w:r>
      <w:r w:rsidRPr="00F231C0">
        <w:rPr>
          <w:sz w:val="20"/>
          <w:szCs w:val="20"/>
        </w:rPr>
        <w:t xml:space="preserve"> – evapotranspiration multiplier, an HBV parameter</w:t>
      </w:r>
    </w:p>
    <w:p w14:paraId="7C3D42E9" w14:textId="77777777" w:rsidR="00551041" w:rsidRPr="00F231C0" w:rsidRDefault="00551041" w:rsidP="00551041">
      <w:pPr>
        <w:rPr>
          <w:sz w:val="20"/>
          <w:szCs w:val="20"/>
        </w:rPr>
      </w:pPr>
      <w:r w:rsidRPr="00F231C0">
        <w:rPr>
          <w:b/>
          <w:bCs/>
          <w:sz w:val="20"/>
          <w:szCs w:val="20"/>
        </w:rPr>
        <w:t>FC</w:t>
      </w:r>
      <w:r w:rsidRPr="00F231C0">
        <w:rPr>
          <w:sz w:val="20"/>
          <w:szCs w:val="20"/>
        </w:rPr>
        <w:t xml:space="preserve"> – field capacity, an HBV parameter</w:t>
      </w:r>
    </w:p>
    <w:p w14:paraId="6F0745BF" w14:textId="77777777" w:rsidR="00551041" w:rsidRPr="00F231C0" w:rsidRDefault="00551041" w:rsidP="00551041">
      <w:pPr>
        <w:rPr>
          <w:sz w:val="20"/>
          <w:szCs w:val="20"/>
          <w:lang w:val="en"/>
        </w:rPr>
      </w:pPr>
      <w:r w:rsidRPr="00F231C0">
        <w:rPr>
          <w:b/>
          <w:sz w:val="20"/>
          <w:szCs w:val="20"/>
        </w:rPr>
        <w:t>HBV</w:t>
      </w:r>
      <w:r w:rsidRPr="00F231C0">
        <w:rPr>
          <w:sz w:val="20"/>
          <w:szCs w:val="20"/>
        </w:rPr>
        <w:t xml:space="preserve"> – the </w:t>
      </w:r>
      <w:r w:rsidRPr="00F231C0">
        <w:rPr>
          <w:sz w:val="20"/>
          <w:szCs w:val="20"/>
          <w:lang w:val="en"/>
        </w:rPr>
        <w:t>Hydrologiska Byråns Vattenbalansavdelning hydrology model</w:t>
      </w:r>
    </w:p>
    <w:p w14:paraId="050B934C" w14:textId="77777777" w:rsidR="00551041" w:rsidRPr="00F231C0" w:rsidRDefault="00551041" w:rsidP="00551041">
      <w:pPr>
        <w:rPr>
          <w:sz w:val="20"/>
          <w:szCs w:val="20"/>
        </w:rPr>
      </w:pPr>
      <w:r w:rsidRPr="00F231C0">
        <w:rPr>
          <w:b/>
          <w:sz w:val="20"/>
          <w:szCs w:val="20"/>
          <w:lang w:val="en"/>
        </w:rPr>
        <w:t>HBVCALIB</w:t>
      </w:r>
      <w:r w:rsidRPr="00F231C0">
        <w:rPr>
          <w:sz w:val="20"/>
          <w:szCs w:val="20"/>
          <w:lang w:val="en"/>
        </w:rPr>
        <w:t xml:space="preserve"> – an identifier for the set of HBV parameter values used in a particular part of the study area</w:t>
      </w:r>
    </w:p>
    <w:p w14:paraId="684F2461" w14:textId="77777777" w:rsidR="00551041" w:rsidRPr="00F231C0" w:rsidRDefault="00551041" w:rsidP="00551041">
      <w:pPr>
        <w:rPr>
          <w:sz w:val="20"/>
          <w:szCs w:val="20"/>
        </w:rPr>
      </w:pPr>
      <w:r w:rsidRPr="00F231C0">
        <w:rPr>
          <w:b/>
          <w:bCs/>
          <w:sz w:val="20"/>
          <w:szCs w:val="20"/>
        </w:rPr>
        <w:t>K0</w:t>
      </w:r>
      <w:r w:rsidRPr="00F231C0">
        <w:rPr>
          <w:sz w:val="20"/>
          <w:szCs w:val="20"/>
        </w:rPr>
        <w:t xml:space="preserve"> – fast drain fraction, an HBV parameter</w:t>
      </w:r>
    </w:p>
    <w:p w14:paraId="3F337A99" w14:textId="77777777" w:rsidR="00551041" w:rsidRPr="00F231C0" w:rsidRDefault="00551041" w:rsidP="00551041">
      <w:pPr>
        <w:rPr>
          <w:sz w:val="20"/>
          <w:szCs w:val="20"/>
        </w:rPr>
      </w:pPr>
      <w:r w:rsidRPr="00F231C0">
        <w:rPr>
          <w:b/>
          <w:bCs/>
          <w:sz w:val="20"/>
          <w:szCs w:val="20"/>
        </w:rPr>
        <w:t>K1</w:t>
      </w:r>
      <w:r w:rsidRPr="00F231C0">
        <w:rPr>
          <w:sz w:val="20"/>
          <w:szCs w:val="20"/>
        </w:rPr>
        <w:t xml:space="preserve"> – intermediate drain fraction, an HBV parameter</w:t>
      </w:r>
    </w:p>
    <w:p w14:paraId="34F325DC" w14:textId="77777777" w:rsidR="00551041" w:rsidRPr="00F231C0" w:rsidRDefault="00551041" w:rsidP="00551041">
      <w:pPr>
        <w:rPr>
          <w:sz w:val="20"/>
          <w:szCs w:val="20"/>
        </w:rPr>
      </w:pPr>
      <w:r w:rsidRPr="00F231C0">
        <w:rPr>
          <w:b/>
          <w:bCs/>
          <w:sz w:val="20"/>
          <w:szCs w:val="20"/>
        </w:rPr>
        <w:t xml:space="preserve">K2 </w:t>
      </w:r>
      <w:r w:rsidRPr="00F231C0">
        <w:rPr>
          <w:sz w:val="20"/>
          <w:szCs w:val="20"/>
        </w:rPr>
        <w:t xml:space="preserve"> - slow drain fraction, an HBV parameter</w:t>
      </w:r>
    </w:p>
    <w:p w14:paraId="77B4E885" w14:textId="77777777" w:rsidR="00551041" w:rsidRPr="00F231C0" w:rsidRDefault="00551041" w:rsidP="00551041">
      <w:pPr>
        <w:rPr>
          <w:sz w:val="20"/>
          <w:szCs w:val="20"/>
        </w:rPr>
      </w:pPr>
      <w:r w:rsidRPr="00F231C0">
        <w:rPr>
          <w:b/>
          <w:sz w:val="20"/>
          <w:szCs w:val="20"/>
        </w:rPr>
        <w:t>MACA</w:t>
      </w:r>
      <w:r w:rsidRPr="00F231C0">
        <w:rPr>
          <w:sz w:val="20"/>
          <w:szCs w:val="20"/>
        </w:rPr>
        <w:t xml:space="preserve"> – Multivariate Adaptive Constructed Analogs</w:t>
      </w:r>
    </w:p>
    <w:p w14:paraId="10C309DB" w14:textId="77777777" w:rsidR="00551041" w:rsidRPr="00F231C0" w:rsidRDefault="00551041" w:rsidP="00551041">
      <w:pPr>
        <w:rPr>
          <w:sz w:val="20"/>
          <w:szCs w:val="20"/>
        </w:rPr>
      </w:pPr>
      <w:r w:rsidRPr="00F231C0">
        <w:rPr>
          <w:b/>
          <w:sz w:val="20"/>
          <w:szCs w:val="20"/>
        </w:rPr>
        <w:t>OSU</w:t>
      </w:r>
      <w:r w:rsidRPr="00F231C0">
        <w:rPr>
          <w:sz w:val="20"/>
          <w:szCs w:val="20"/>
        </w:rPr>
        <w:t xml:space="preserve"> – Oregon State University</w:t>
      </w:r>
    </w:p>
    <w:p w14:paraId="255DCAB6" w14:textId="77777777" w:rsidR="00551041" w:rsidRPr="00F231C0" w:rsidRDefault="00551041" w:rsidP="00551041">
      <w:pPr>
        <w:rPr>
          <w:sz w:val="20"/>
          <w:szCs w:val="20"/>
        </w:rPr>
      </w:pPr>
      <w:r w:rsidRPr="00F231C0">
        <w:rPr>
          <w:b/>
          <w:sz w:val="20"/>
          <w:szCs w:val="20"/>
        </w:rPr>
        <w:t>OUWIN</w:t>
      </w:r>
      <w:r w:rsidRPr="00F231C0">
        <w:rPr>
          <w:sz w:val="20"/>
          <w:szCs w:val="20"/>
        </w:rPr>
        <w:t xml:space="preserve"> – Oregon Urban Water Innovation Network</w:t>
      </w:r>
    </w:p>
    <w:p w14:paraId="34D18BF5" w14:textId="77777777" w:rsidR="00551041" w:rsidRPr="00F231C0" w:rsidRDefault="00551041" w:rsidP="00551041">
      <w:pPr>
        <w:rPr>
          <w:sz w:val="20"/>
          <w:szCs w:val="20"/>
        </w:rPr>
      </w:pPr>
      <w:r w:rsidRPr="00F231C0">
        <w:rPr>
          <w:b/>
          <w:bCs/>
          <w:sz w:val="20"/>
          <w:szCs w:val="20"/>
        </w:rPr>
        <w:t xml:space="preserve">PERC </w:t>
      </w:r>
      <w:r w:rsidRPr="00F231C0">
        <w:rPr>
          <w:sz w:val="20"/>
          <w:szCs w:val="20"/>
        </w:rPr>
        <w:t>– percolation fraction, an HBV parameter</w:t>
      </w:r>
    </w:p>
    <w:p w14:paraId="65F30799" w14:textId="77777777" w:rsidR="00551041" w:rsidRPr="00F231C0" w:rsidRDefault="00551041" w:rsidP="00551041">
      <w:pPr>
        <w:rPr>
          <w:bCs/>
          <w:kern w:val="36"/>
          <w:sz w:val="20"/>
          <w:szCs w:val="20"/>
          <w:lang w:val="en"/>
        </w:rPr>
      </w:pPr>
      <w:r w:rsidRPr="00F231C0">
        <w:rPr>
          <w:b/>
          <w:sz w:val="20"/>
          <w:szCs w:val="20"/>
        </w:rPr>
        <w:t>PEST</w:t>
      </w:r>
      <w:r w:rsidRPr="00F231C0">
        <w:rPr>
          <w:sz w:val="20"/>
          <w:szCs w:val="20"/>
        </w:rPr>
        <w:t xml:space="preserve"> – </w:t>
      </w:r>
      <w:r w:rsidRPr="00F231C0">
        <w:rPr>
          <w:bCs/>
          <w:kern w:val="36"/>
          <w:sz w:val="20"/>
          <w:szCs w:val="20"/>
          <w:lang w:val="en"/>
        </w:rPr>
        <w:t xml:space="preserve">Model-Independent Parameter Estimation and Uncertainty Analysis software application </w:t>
      </w:r>
      <w:r w:rsidRPr="00F231C0">
        <w:rPr>
          <w:sz w:val="20"/>
          <w:szCs w:val="20"/>
        </w:rPr>
        <w:t>(</w:t>
      </w:r>
      <w:hyperlink r:id="rId11" w:history="1">
        <w:r w:rsidRPr="00F231C0">
          <w:rPr>
            <w:rStyle w:val="Hyperlink"/>
            <w:sz w:val="20"/>
            <w:szCs w:val="20"/>
          </w:rPr>
          <w:t>www.pesthomepage.org</w:t>
        </w:r>
      </w:hyperlink>
      <w:r w:rsidRPr="00F231C0">
        <w:rPr>
          <w:sz w:val="20"/>
          <w:szCs w:val="20"/>
        </w:rPr>
        <w:t>)</w:t>
      </w:r>
    </w:p>
    <w:p w14:paraId="765BFFE9" w14:textId="77777777" w:rsidR="00551041" w:rsidRPr="00F231C0" w:rsidRDefault="00551041" w:rsidP="00551041">
      <w:pPr>
        <w:rPr>
          <w:sz w:val="20"/>
          <w:szCs w:val="20"/>
        </w:rPr>
      </w:pPr>
      <w:r w:rsidRPr="00F231C0">
        <w:rPr>
          <w:b/>
          <w:sz w:val="20"/>
          <w:szCs w:val="20"/>
        </w:rPr>
        <w:t>SWE</w:t>
      </w:r>
      <w:r w:rsidRPr="00F231C0">
        <w:rPr>
          <w:sz w:val="20"/>
          <w:szCs w:val="20"/>
        </w:rPr>
        <w:t xml:space="preserve"> – snow water equivalent</w:t>
      </w:r>
    </w:p>
    <w:p w14:paraId="427592A4" w14:textId="77777777" w:rsidR="00551041" w:rsidRPr="00F231C0" w:rsidRDefault="00551041" w:rsidP="00551041">
      <w:pPr>
        <w:rPr>
          <w:sz w:val="20"/>
          <w:szCs w:val="20"/>
        </w:rPr>
      </w:pPr>
      <w:r w:rsidRPr="00F231C0">
        <w:rPr>
          <w:b/>
          <w:bCs/>
          <w:sz w:val="20"/>
          <w:szCs w:val="20"/>
        </w:rPr>
        <w:t>TT</w:t>
      </w:r>
      <w:r w:rsidRPr="00F231C0">
        <w:rPr>
          <w:sz w:val="20"/>
          <w:szCs w:val="20"/>
        </w:rPr>
        <w:t xml:space="preserve"> – refreezing threshold temperature, an HBV parameter</w:t>
      </w:r>
    </w:p>
    <w:p w14:paraId="1186B6C4" w14:textId="77777777" w:rsidR="00551041" w:rsidRPr="00F231C0" w:rsidRDefault="00551041" w:rsidP="00551041">
      <w:pPr>
        <w:rPr>
          <w:sz w:val="20"/>
          <w:szCs w:val="20"/>
        </w:rPr>
      </w:pPr>
      <w:r w:rsidRPr="00F231C0">
        <w:rPr>
          <w:b/>
          <w:bCs/>
          <w:sz w:val="20"/>
          <w:szCs w:val="20"/>
        </w:rPr>
        <w:t xml:space="preserve">UZL </w:t>
      </w:r>
      <w:r w:rsidRPr="00F231C0">
        <w:rPr>
          <w:sz w:val="20"/>
          <w:szCs w:val="20"/>
        </w:rPr>
        <w:t>– fast drain threshold, an HBV parameter</w:t>
      </w:r>
    </w:p>
    <w:p w14:paraId="3BAB38F3" w14:textId="77777777" w:rsidR="00551041" w:rsidRPr="00F231C0" w:rsidRDefault="00551041" w:rsidP="00551041">
      <w:pPr>
        <w:rPr>
          <w:sz w:val="20"/>
          <w:szCs w:val="20"/>
        </w:rPr>
      </w:pPr>
      <w:r w:rsidRPr="00F231C0">
        <w:rPr>
          <w:b/>
          <w:bCs/>
          <w:sz w:val="20"/>
          <w:szCs w:val="20"/>
        </w:rPr>
        <w:t>WP</w:t>
      </w:r>
      <w:r w:rsidRPr="00F231C0">
        <w:rPr>
          <w:sz w:val="20"/>
          <w:szCs w:val="20"/>
        </w:rPr>
        <w:t xml:space="preserve"> – wilting point, an HBV parameter</w:t>
      </w:r>
    </w:p>
    <w:p w14:paraId="32B49406" w14:textId="77777777" w:rsidR="00551041" w:rsidRPr="00F231C0" w:rsidRDefault="00551041" w:rsidP="00551041">
      <w:pPr>
        <w:rPr>
          <w:sz w:val="20"/>
          <w:szCs w:val="20"/>
        </w:rPr>
      </w:pPr>
      <w:r w:rsidRPr="00F231C0">
        <w:rPr>
          <w:b/>
          <w:sz w:val="20"/>
          <w:szCs w:val="20"/>
        </w:rPr>
        <w:t>WRB</w:t>
      </w:r>
      <w:r w:rsidRPr="00F231C0">
        <w:rPr>
          <w:sz w:val="20"/>
          <w:szCs w:val="20"/>
        </w:rPr>
        <w:t xml:space="preserve"> - Willamette River basin</w:t>
      </w:r>
    </w:p>
    <w:p w14:paraId="1E33E24A" w14:textId="46582814" w:rsidR="00551041" w:rsidRPr="00814027" w:rsidRDefault="00551041" w:rsidP="00814027">
      <w:pPr>
        <w:rPr>
          <w:sz w:val="20"/>
          <w:szCs w:val="20"/>
        </w:rPr>
      </w:pPr>
      <w:r w:rsidRPr="00F231C0">
        <w:rPr>
          <w:b/>
          <w:sz w:val="20"/>
          <w:szCs w:val="20"/>
        </w:rPr>
        <w:t>WW2100</w:t>
      </w:r>
      <w:r w:rsidRPr="00F231C0">
        <w:rPr>
          <w:sz w:val="20"/>
          <w:szCs w:val="20"/>
        </w:rPr>
        <w:t xml:space="preserve"> – Willamette Water 2100</w:t>
      </w:r>
    </w:p>
    <w:p w14:paraId="477CF957" w14:textId="4849EF82" w:rsidR="00551041" w:rsidRDefault="00551041" w:rsidP="00551041">
      <w:pPr>
        <w:pStyle w:val="Heading1"/>
      </w:pPr>
      <w:r>
        <w:t>References</w:t>
      </w:r>
    </w:p>
    <w:p w14:paraId="57761AE1" w14:textId="77777777" w:rsidR="00B04308" w:rsidRPr="00B04308" w:rsidRDefault="00B04308" w:rsidP="00B04308"/>
    <w:p w14:paraId="20764AE2" w14:textId="3F0670FD" w:rsidR="00551041" w:rsidRPr="00B04308" w:rsidRDefault="00551041" w:rsidP="00551041">
      <w:r w:rsidRPr="00B04308">
        <w:t>Abebe NA, Ogden FL, Pradhan NR (2010).  Sensitivity and uncertainty analysis of the conceptual HBV rainfall-runoff model: Implications for parameter estimation.  Journal of Hydrology 389: 301-310.</w:t>
      </w:r>
    </w:p>
    <w:p w14:paraId="75297F0F" w14:textId="77777777" w:rsidR="00814027" w:rsidRPr="00B04308" w:rsidRDefault="00814027" w:rsidP="00551041"/>
    <w:p w14:paraId="7523967E" w14:textId="43F0F00E" w:rsidR="00551041" w:rsidRPr="00320149" w:rsidRDefault="00551041" w:rsidP="00551041">
      <w:r w:rsidRPr="00B04308">
        <w:t>Aghakouchak A, Habib E (2010).  Application of a Conceptual Hydrologic Model in Teaching Hydrologic Processes.  Int. J. Engng Ed. 26(4): 963-973.</w:t>
      </w:r>
    </w:p>
    <w:p w14:paraId="0D3617D7" w14:textId="77777777" w:rsidR="00526FF8" w:rsidRPr="00320149" w:rsidRDefault="00526FF8" w:rsidP="00551041"/>
    <w:p w14:paraId="3A386E6F" w14:textId="7D6D4F46" w:rsidR="000A752B" w:rsidRPr="00320149" w:rsidRDefault="000A752B" w:rsidP="00551041">
      <w:r w:rsidRPr="00320149">
        <w:t>Gupta HV, Sorooshian S,</w:t>
      </w:r>
      <w:r w:rsidR="003120E8" w:rsidRPr="00320149">
        <w:t xml:space="preserve"> Yapo PO (1998). Toward improved calibration of hydrologic models: Multiple and noncommensurable measures of information. Water Resources Research</w:t>
      </w:r>
      <w:r w:rsidR="003660C7" w:rsidRPr="00320149">
        <w:t xml:space="preserve"> 34 (4): 751-763</w:t>
      </w:r>
      <w:r w:rsidR="004F7573" w:rsidRPr="00320149">
        <w:t>, April 1998.</w:t>
      </w:r>
    </w:p>
    <w:p w14:paraId="65872CBC" w14:textId="0DCC0F54" w:rsidR="00EE4778" w:rsidRPr="00320149" w:rsidRDefault="00EE4778" w:rsidP="00551041"/>
    <w:p w14:paraId="71514A2B" w14:textId="53FC6AE5" w:rsidR="00551041" w:rsidRPr="00320149" w:rsidRDefault="00551041" w:rsidP="00551041">
      <w:r w:rsidRPr="00B04308">
        <w:t>Inouye AM (2015).  Development of a Hydrologic Model to Explore Impacts of Climate Change on Water Resources in the Big Wood Basin, Idaho.  M.S. thesis, Oregon State University.</w:t>
      </w:r>
    </w:p>
    <w:p w14:paraId="159DA431" w14:textId="77777777" w:rsidR="00814027" w:rsidRPr="00320149" w:rsidRDefault="00814027" w:rsidP="00551041"/>
    <w:p w14:paraId="56975120" w14:textId="4440F904" w:rsidR="00551041" w:rsidRPr="00320149" w:rsidRDefault="00551041" w:rsidP="00551041">
      <w:r w:rsidRPr="00320149">
        <w:t>Conklin DR (2016). WW2100 HBV Parameter Calibration.  Oregon Freshwater Simulations, 9/15/16, unpublished. 22 pages.</w:t>
      </w:r>
      <w:r w:rsidR="007B1E9D">
        <w:t xml:space="preserve">  Available in the WW2100 Subversion repository</w:t>
      </w:r>
      <w:r w:rsidR="008E6185">
        <w:t xml:space="preserve"> at </w:t>
      </w:r>
      <w:hyperlink r:id="rId12" w:history="1">
        <w:r w:rsidR="0010734A" w:rsidRPr="00A47379">
          <w:rPr>
            <w:rStyle w:val="Hyperlink"/>
          </w:rPr>
          <w:t>https://freshwater.ceoas.oregonstate.edu:8443/svn/WW2100svn/trunk/StudyAreas/WW2100/Docs</w:t>
        </w:r>
      </w:hyperlink>
      <w:r w:rsidR="0010734A">
        <w:t xml:space="preserve"> </w:t>
      </w:r>
    </w:p>
    <w:p w14:paraId="23E3810F" w14:textId="258C628C" w:rsidR="00814027" w:rsidRPr="00320149" w:rsidRDefault="00814027" w:rsidP="00551041">
      <w:pPr>
        <w:rPr>
          <w:rFonts w:cstheme="minorHAnsi"/>
        </w:rPr>
      </w:pPr>
    </w:p>
    <w:p w14:paraId="36C7D9DE" w14:textId="77777777" w:rsidR="00B118BA" w:rsidRPr="00320149" w:rsidRDefault="00B118BA" w:rsidP="00B118BA">
      <w:pPr>
        <w:pStyle w:val="NoSpacing"/>
        <w:rPr>
          <w:rFonts w:asciiTheme="minorHAnsi" w:hAnsiTheme="minorHAnsi" w:cstheme="minorHAnsi"/>
          <w:sz w:val="22"/>
          <w:szCs w:val="22"/>
        </w:rPr>
      </w:pPr>
      <w:r w:rsidRPr="00320149">
        <w:rPr>
          <w:rFonts w:asciiTheme="minorHAnsi" w:hAnsiTheme="minorHAnsi" w:cstheme="minorHAnsi"/>
          <w:sz w:val="22"/>
          <w:szCs w:val="22"/>
        </w:rPr>
        <w:lastRenderedPageBreak/>
        <w:t>Moriasi DN, Arnold JG, Van Liew MW, Bingner RL, Harmel RD, and Veith TL (2007). Model Evaluation Guidelines for Systematic Quantification of Accuracy in Watershed Simulations. Transactions of the ASABE, 50(3): 885-900.</w:t>
      </w:r>
    </w:p>
    <w:p w14:paraId="2BFDEEC5" w14:textId="77777777" w:rsidR="00B118BA" w:rsidRPr="00320149" w:rsidRDefault="00B118BA" w:rsidP="00B118BA">
      <w:pPr>
        <w:rPr>
          <w:rFonts w:cstheme="minorHAnsi"/>
        </w:rPr>
      </w:pPr>
    </w:p>
    <w:p w14:paraId="549BE844" w14:textId="4FE9FCA3" w:rsidR="00B118BA" w:rsidRPr="00320149" w:rsidRDefault="00B118BA" w:rsidP="00B118BA">
      <w:pPr>
        <w:rPr>
          <w:rFonts w:cstheme="minorHAnsi"/>
        </w:rPr>
      </w:pPr>
      <w:r w:rsidRPr="00320149">
        <w:rPr>
          <w:rFonts w:cstheme="minorHAnsi"/>
        </w:rPr>
        <w:t>Moriasi DN, Gitau MW, Pai N, Daggupati P (2015).  Hydrologic and Water Quality Models: Performance Measures and Evaluation Criteria.  Transactions of the ASABE, 58(6): 1763-1785.</w:t>
      </w:r>
    </w:p>
    <w:p w14:paraId="15AD5CA5" w14:textId="77777777" w:rsidR="00B118BA" w:rsidRPr="00320149" w:rsidRDefault="00B118BA" w:rsidP="00551041">
      <w:pPr>
        <w:rPr>
          <w:rFonts w:cstheme="minorHAnsi"/>
        </w:rPr>
      </w:pPr>
    </w:p>
    <w:p w14:paraId="06101C0F" w14:textId="69DAE4D4" w:rsidR="00551041" w:rsidRPr="00320149" w:rsidRDefault="00551041" w:rsidP="00551041">
      <w:r w:rsidRPr="00320149">
        <w:t>Seibert J (1997).  Estimation of Parameter Uncertainty in the HBV Model.  Nordic Hydrology, 28 (4/5): 247-262.</w:t>
      </w:r>
    </w:p>
    <w:p w14:paraId="0D8984B1" w14:textId="77777777" w:rsidR="00814027" w:rsidRPr="00320149" w:rsidRDefault="00814027" w:rsidP="00551041"/>
    <w:p w14:paraId="3311205A" w14:textId="77777777" w:rsidR="00551041" w:rsidRPr="00E51A9B" w:rsidRDefault="00551041" w:rsidP="00551041">
      <w:r w:rsidRPr="00B04308">
        <w:t>Steele-Dunne S, Lynch P, McGrath R, Semmler T, Wang S, Hanafin J, Nolan P (2008).  The impacts of climate change on hydrology in Ireland.  Journal of Hydrology 356: 28-45.</w:t>
      </w:r>
    </w:p>
    <w:p w14:paraId="10913FDC" w14:textId="609F06B6" w:rsidR="00B04308" w:rsidRDefault="00B04308">
      <w:bookmarkStart w:id="2" w:name="_GoBack"/>
      <w:bookmarkEnd w:id="2"/>
    </w:p>
    <w:sectPr w:rsidR="00B04308">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Conklin" w:date="2019-08-30T13:53:00Z" w:initials="DC">
    <w:p w14:paraId="06300EC4" w14:textId="013D0CE9" w:rsidR="00863319" w:rsidRDefault="008A55D3" w:rsidP="00863319">
      <w:pPr>
        <w:rPr>
          <w:noProof/>
        </w:rPr>
      </w:pPr>
      <w:r>
        <w:rPr>
          <w:rStyle w:val="CommentReference"/>
        </w:rPr>
        <w:annotationRef/>
      </w:r>
      <w:r w:rsidR="00B109AC">
        <w:rPr>
          <w:noProof/>
        </w:rPr>
        <w:t xml:space="preserve">Original monthly from </w:t>
      </w:r>
      <w:r w:rsidR="00682BF2" w:rsidRPr="00682BF2">
        <w:rPr>
          <w:noProof/>
        </w:rPr>
        <w:t>Hindcast 110 132 Chicken Creek 2009-15 validate</w:t>
      </w:r>
      <w:r w:rsidR="00B109AC">
        <w:rPr>
          <w:noProof/>
        </w:rPr>
        <w:t xml:space="preserve">.  Original daily from </w:t>
      </w:r>
      <w:r w:rsidR="002A1BB4" w:rsidRPr="002A1BB4">
        <w:rPr>
          <w:noProof/>
        </w:rPr>
        <w:t>Hindcast 110 129 Chicken Creek 2009-15 validate</w:t>
      </w:r>
      <w:r w:rsidR="00B109AC">
        <w:rPr>
          <w:noProof/>
        </w:rPr>
        <w:t>.</w:t>
      </w:r>
    </w:p>
    <w:p w14:paraId="4E634CBE" w14:textId="3100C91C" w:rsidR="00863319" w:rsidRPr="00863319" w:rsidRDefault="00B109AC" w:rsidP="00863319">
      <w:pPr>
        <w:rPr>
          <w:rFonts w:ascii="Calibri" w:eastAsia="Times New Roman" w:hAnsi="Calibri" w:cs="Calibri"/>
          <w:color w:val="000000"/>
        </w:rPr>
      </w:pPr>
      <w:r>
        <w:rPr>
          <w:noProof/>
        </w:rPr>
        <w:t xml:space="preserve">New monthly and daily from </w:t>
      </w:r>
      <w:r w:rsidR="00863319" w:rsidRPr="00863319">
        <w:rPr>
          <w:rFonts w:ascii="Calibri" w:eastAsia="Times New Roman" w:hAnsi="Calibri" w:cs="Calibri"/>
          <w:color w:val="000000"/>
        </w:rPr>
        <w:t>Hindcast_143_158_ChickenCreek_2008-15_calibrate</w:t>
      </w:r>
    </w:p>
    <w:p w14:paraId="407A475E" w14:textId="0C702012" w:rsidR="008A55D3" w:rsidRDefault="008A55D3">
      <w:pPr>
        <w:pStyle w:val="CommentText"/>
      </w:pPr>
    </w:p>
  </w:comment>
  <w:comment w:id="1" w:author="David Conklin" w:date="2019-08-30T15:10:00Z" w:initials="DC">
    <w:p w14:paraId="7E308EF1" w14:textId="14FF4E17" w:rsidR="00380A33" w:rsidRDefault="00380A33">
      <w:pPr>
        <w:pStyle w:val="CommentText"/>
      </w:pPr>
      <w:r>
        <w:rPr>
          <w:rStyle w:val="CommentReference"/>
        </w:rPr>
        <w:annotationRef/>
      </w:r>
      <w:r w:rsidR="00B109AC">
        <w:rPr>
          <w:noProof/>
        </w:rPr>
        <w:t xml:space="preserve">Data from </w:t>
      </w:r>
      <w:r w:rsidR="001B7550" w:rsidRPr="001B7550">
        <w:rPr>
          <w:noProof/>
        </w:rPr>
        <w:t>Hindcast_143_158_ChickenCreek_</w:t>
      </w:r>
      <w:r w:rsidR="00B109AC">
        <w:rPr>
          <w:noProof/>
        </w:rPr>
        <w:t xml:space="preserve">2008-15_calibrate and </w:t>
      </w:r>
      <w:r w:rsidR="006A73F7" w:rsidRPr="006A73F7">
        <w:rPr>
          <w:noProof/>
        </w:rPr>
        <w:t>Hindcast_143_158_ChickenCreek_2002-07_validate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7A475E" w15:done="0"/>
  <w15:commentEx w15:paraId="7E308E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7A475E" w16cid:durableId="2113A8CC"/>
  <w16cid:commentId w16cid:paraId="7E308EF1" w16cid:durableId="2113BA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C9906" w14:textId="77777777" w:rsidR="00A60CDE" w:rsidRDefault="00A60CDE" w:rsidP="00A71595">
      <w:r>
        <w:separator/>
      </w:r>
    </w:p>
  </w:endnote>
  <w:endnote w:type="continuationSeparator" w:id="0">
    <w:p w14:paraId="758904A6" w14:textId="77777777" w:rsidR="00A60CDE" w:rsidRDefault="00A60CDE" w:rsidP="00A7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283969"/>
      <w:docPartObj>
        <w:docPartGallery w:val="Page Numbers (Bottom of Page)"/>
        <w:docPartUnique/>
      </w:docPartObj>
    </w:sdtPr>
    <w:sdtEndPr>
      <w:rPr>
        <w:noProof/>
      </w:rPr>
    </w:sdtEndPr>
    <w:sdtContent>
      <w:p w14:paraId="7370B63A" w14:textId="4A726C56" w:rsidR="00A71595" w:rsidRDefault="00A715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251E26" w14:textId="77777777" w:rsidR="00A71595" w:rsidRDefault="00A71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B1F6C" w14:textId="77777777" w:rsidR="00A60CDE" w:rsidRDefault="00A60CDE" w:rsidP="00A71595">
      <w:r>
        <w:separator/>
      </w:r>
    </w:p>
  </w:footnote>
  <w:footnote w:type="continuationSeparator" w:id="0">
    <w:p w14:paraId="6F0BAB19" w14:textId="77777777" w:rsidR="00A60CDE" w:rsidRDefault="00A60CDE" w:rsidP="00A7159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Conklin">
    <w15:presenceInfo w15:providerId="Windows Live" w15:userId="9bcbd102af5dd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3F"/>
    <w:rsid w:val="00020A00"/>
    <w:rsid w:val="00027A79"/>
    <w:rsid w:val="00034D51"/>
    <w:rsid w:val="000365F5"/>
    <w:rsid w:val="00041F3C"/>
    <w:rsid w:val="00045590"/>
    <w:rsid w:val="00054BDD"/>
    <w:rsid w:val="00054FCC"/>
    <w:rsid w:val="00055F48"/>
    <w:rsid w:val="00056716"/>
    <w:rsid w:val="00056916"/>
    <w:rsid w:val="00060C3F"/>
    <w:rsid w:val="00065C7D"/>
    <w:rsid w:val="00077EBA"/>
    <w:rsid w:val="00080C67"/>
    <w:rsid w:val="00081369"/>
    <w:rsid w:val="000A270B"/>
    <w:rsid w:val="000A3577"/>
    <w:rsid w:val="000A3EA3"/>
    <w:rsid w:val="000A6674"/>
    <w:rsid w:val="000A6CFF"/>
    <w:rsid w:val="000A752B"/>
    <w:rsid w:val="000B27BB"/>
    <w:rsid w:val="000B30A7"/>
    <w:rsid w:val="000B4C67"/>
    <w:rsid w:val="000B5B9B"/>
    <w:rsid w:val="000C09AB"/>
    <w:rsid w:val="000C1EC5"/>
    <w:rsid w:val="000D3853"/>
    <w:rsid w:val="000D5FE2"/>
    <w:rsid w:val="000D6436"/>
    <w:rsid w:val="000E0B60"/>
    <w:rsid w:val="000F41AA"/>
    <w:rsid w:val="000F757B"/>
    <w:rsid w:val="00106487"/>
    <w:rsid w:val="0010734A"/>
    <w:rsid w:val="00110490"/>
    <w:rsid w:val="001141D8"/>
    <w:rsid w:val="00116095"/>
    <w:rsid w:val="00121F58"/>
    <w:rsid w:val="00123D5B"/>
    <w:rsid w:val="00124C93"/>
    <w:rsid w:val="001250DA"/>
    <w:rsid w:val="00126AB9"/>
    <w:rsid w:val="0013609B"/>
    <w:rsid w:val="00140959"/>
    <w:rsid w:val="00141BCF"/>
    <w:rsid w:val="00146BBB"/>
    <w:rsid w:val="001476D0"/>
    <w:rsid w:val="00150E5B"/>
    <w:rsid w:val="00151927"/>
    <w:rsid w:val="00152ED2"/>
    <w:rsid w:val="00155303"/>
    <w:rsid w:val="00155BB6"/>
    <w:rsid w:val="001611DF"/>
    <w:rsid w:val="00161289"/>
    <w:rsid w:val="00173733"/>
    <w:rsid w:val="0018214F"/>
    <w:rsid w:val="00186709"/>
    <w:rsid w:val="00190D2C"/>
    <w:rsid w:val="0019553C"/>
    <w:rsid w:val="0019632A"/>
    <w:rsid w:val="001A6B6F"/>
    <w:rsid w:val="001B7550"/>
    <w:rsid w:val="001C7BA9"/>
    <w:rsid w:val="001D166E"/>
    <w:rsid w:val="001D1863"/>
    <w:rsid w:val="001D2E5D"/>
    <w:rsid w:val="001E703A"/>
    <w:rsid w:val="001F6DA6"/>
    <w:rsid w:val="001F772D"/>
    <w:rsid w:val="0020625B"/>
    <w:rsid w:val="002101DC"/>
    <w:rsid w:val="00212716"/>
    <w:rsid w:val="00214F7D"/>
    <w:rsid w:val="00215B5F"/>
    <w:rsid w:val="00215F23"/>
    <w:rsid w:val="00222112"/>
    <w:rsid w:val="00227139"/>
    <w:rsid w:val="00232202"/>
    <w:rsid w:val="00232C42"/>
    <w:rsid w:val="00236CB0"/>
    <w:rsid w:val="00237F84"/>
    <w:rsid w:val="002468F2"/>
    <w:rsid w:val="00246AD1"/>
    <w:rsid w:val="00247315"/>
    <w:rsid w:val="002504C3"/>
    <w:rsid w:val="002505E3"/>
    <w:rsid w:val="0025351A"/>
    <w:rsid w:val="002542A6"/>
    <w:rsid w:val="0026079F"/>
    <w:rsid w:val="00272C59"/>
    <w:rsid w:val="00276196"/>
    <w:rsid w:val="00277A40"/>
    <w:rsid w:val="00282BD1"/>
    <w:rsid w:val="00284C11"/>
    <w:rsid w:val="002874EF"/>
    <w:rsid w:val="002912A5"/>
    <w:rsid w:val="00291CFF"/>
    <w:rsid w:val="00293058"/>
    <w:rsid w:val="002942A2"/>
    <w:rsid w:val="00294A58"/>
    <w:rsid w:val="002A0340"/>
    <w:rsid w:val="002A1BB4"/>
    <w:rsid w:val="002B0B9A"/>
    <w:rsid w:val="002B1341"/>
    <w:rsid w:val="002B5A47"/>
    <w:rsid w:val="002C034C"/>
    <w:rsid w:val="002D5C05"/>
    <w:rsid w:val="002D77D6"/>
    <w:rsid w:val="002D79B7"/>
    <w:rsid w:val="002E12D3"/>
    <w:rsid w:val="002E1CD4"/>
    <w:rsid w:val="002E5A66"/>
    <w:rsid w:val="002F3E08"/>
    <w:rsid w:val="0030333F"/>
    <w:rsid w:val="003067BE"/>
    <w:rsid w:val="00310F08"/>
    <w:rsid w:val="00311A66"/>
    <w:rsid w:val="003120E8"/>
    <w:rsid w:val="003146B9"/>
    <w:rsid w:val="0031667A"/>
    <w:rsid w:val="00320149"/>
    <w:rsid w:val="00320542"/>
    <w:rsid w:val="00327B29"/>
    <w:rsid w:val="003379B4"/>
    <w:rsid w:val="003513A4"/>
    <w:rsid w:val="003531BE"/>
    <w:rsid w:val="003660C7"/>
    <w:rsid w:val="003723A3"/>
    <w:rsid w:val="00380A33"/>
    <w:rsid w:val="00380D6B"/>
    <w:rsid w:val="003819A9"/>
    <w:rsid w:val="003860C9"/>
    <w:rsid w:val="003865F0"/>
    <w:rsid w:val="00390417"/>
    <w:rsid w:val="003A19A7"/>
    <w:rsid w:val="003A698F"/>
    <w:rsid w:val="003B11FA"/>
    <w:rsid w:val="003B475E"/>
    <w:rsid w:val="003C7AA6"/>
    <w:rsid w:val="003D0E29"/>
    <w:rsid w:val="003D46AB"/>
    <w:rsid w:val="003D66FC"/>
    <w:rsid w:val="003E0399"/>
    <w:rsid w:val="003E403B"/>
    <w:rsid w:val="003E43CE"/>
    <w:rsid w:val="003F12C8"/>
    <w:rsid w:val="003F732B"/>
    <w:rsid w:val="003F79E5"/>
    <w:rsid w:val="00414086"/>
    <w:rsid w:val="00417C30"/>
    <w:rsid w:val="00421096"/>
    <w:rsid w:val="00422D4C"/>
    <w:rsid w:val="00423EFA"/>
    <w:rsid w:val="004313DB"/>
    <w:rsid w:val="004313E6"/>
    <w:rsid w:val="00435FF2"/>
    <w:rsid w:val="00437DB0"/>
    <w:rsid w:val="00442BE2"/>
    <w:rsid w:val="00447C17"/>
    <w:rsid w:val="004513F4"/>
    <w:rsid w:val="00452701"/>
    <w:rsid w:val="0045294C"/>
    <w:rsid w:val="00454AE9"/>
    <w:rsid w:val="004604E0"/>
    <w:rsid w:val="00462758"/>
    <w:rsid w:val="00463DEE"/>
    <w:rsid w:val="00466698"/>
    <w:rsid w:val="00481502"/>
    <w:rsid w:val="004921D7"/>
    <w:rsid w:val="0049668F"/>
    <w:rsid w:val="004A064E"/>
    <w:rsid w:val="004A1DD5"/>
    <w:rsid w:val="004A44BE"/>
    <w:rsid w:val="004A6D27"/>
    <w:rsid w:val="004B416D"/>
    <w:rsid w:val="004B44E8"/>
    <w:rsid w:val="004C1A80"/>
    <w:rsid w:val="004C509C"/>
    <w:rsid w:val="004C7F98"/>
    <w:rsid w:val="004D263A"/>
    <w:rsid w:val="004D2E5E"/>
    <w:rsid w:val="004D3A98"/>
    <w:rsid w:val="004E3B3D"/>
    <w:rsid w:val="004E75EA"/>
    <w:rsid w:val="004F7573"/>
    <w:rsid w:val="004F7844"/>
    <w:rsid w:val="00500B21"/>
    <w:rsid w:val="0051672A"/>
    <w:rsid w:val="005176F4"/>
    <w:rsid w:val="005206A0"/>
    <w:rsid w:val="00526FF8"/>
    <w:rsid w:val="00530EEC"/>
    <w:rsid w:val="0053606C"/>
    <w:rsid w:val="005378A2"/>
    <w:rsid w:val="00544825"/>
    <w:rsid w:val="0054488F"/>
    <w:rsid w:val="00551041"/>
    <w:rsid w:val="00557105"/>
    <w:rsid w:val="005660D6"/>
    <w:rsid w:val="005712B9"/>
    <w:rsid w:val="00573405"/>
    <w:rsid w:val="00573704"/>
    <w:rsid w:val="00577588"/>
    <w:rsid w:val="00577C32"/>
    <w:rsid w:val="005957B0"/>
    <w:rsid w:val="005A5D67"/>
    <w:rsid w:val="005B02DC"/>
    <w:rsid w:val="005C23E9"/>
    <w:rsid w:val="005D23EA"/>
    <w:rsid w:val="005E22AD"/>
    <w:rsid w:val="005E4A09"/>
    <w:rsid w:val="005F3282"/>
    <w:rsid w:val="005F565B"/>
    <w:rsid w:val="00600C8E"/>
    <w:rsid w:val="00603E89"/>
    <w:rsid w:val="006118A2"/>
    <w:rsid w:val="00613BD4"/>
    <w:rsid w:val="006162AB"/>
    <w:rsid w:val="0061649A"/>
    <w:rsid w:val="00625E08"/>
    <w:rsid w:val="00631DE8"/>
    <w:rsid w:val="00633D43"/>
    <w:rsid w:val="0064267F"/>
    <w:rsid w:val="00646030"/>
    <w:rsid w:val="006472AB"/>
    <w:rsid w:val="006508AF"/>
    <w:rsid w:val="00657AD3"/>
    <w:rsid w:val="0066589E"/>
    <w:rsid w:val="00675313"/>
    <w:rsid w:val="00676D3D"/>
    <w:rsid w:val="006807A8"/>
    <w:rsid w:val="00682BF2"/>
    <w:rsid w:val="006949DF"/>
    <w:rsid w:val="00695E07"/>
    <w:rsid w:val="006A73F7"/>
    <w:rsid w:val="006A7505"/>
    <w:rsid w:val="006B1567"/>
    <w:rsid w:val="006B68AF"/>
    <w:rsid w:val="006C1344"/>
    <w:rsid w:val="006C63C6"/>
    <w:rsid w:val="006D63C4"/>
    <w:rsid w:val="006E4BA9"/>
    <w:rsid w:val="00702C8F"/>
    <w:rsid w:val="00724B18"/>
    <w:rsid w:val="00727B72"/>
    <w:rsid w:val="007306FE"/>
    <w:rsid w:val="00737878"/>
    <w:rsid w:val="007437A9"/>
    <w:rsid w:val="00747969"/>
    <w:rsid w:val="0075255B"/>
    <w:rsid w:val="007556B6"/>
    <w:rsid w:val="00760450"/>
    <w:rsid w:val="007617B5"/>
    <w:rsid w:val="007617F9"/>
    <w:rsid w:val="00762502"/>
    <w:rsid w:val="00764185"/>
    <w:rsid w:val="00764CC6"/>
    <w:rsid w:val="00767D11"/>
    <w:rsid w:val="00782E7A"/>
    <w:rsid w:val="00797E5A"/>
    <w:rsid w:val="007A081C"/>
    <w:rsid w:val="007B1E9D"/>
    <w:rsid w:val="007B3FA1"/>
    <w:rsid w:val="007B4942"/>
    <w:rsid w:val="007C124F"/>
    <w:rsid w:val="007C2D20"/>
    <w:rsid w:val="007C37BE"/>
    <w:rsid w:val="007C5DCA"/>
    <w:rsid w:val="007C63F9"/>
    <w:rsid w:val="007D05C4"/>
    <w:rsid w:val="007D495F"/>
    <w:rsid w:val="007D61FC"/>
    <w:rsid w:val="007D62F9"/>
    <w:rsid w:val="007D6B56"/>
    <w:rsid w:val="007F6E64"/>
    <w:rsid w:val="007F786E"/>
    <w:rsid w:val="007F79D2"/>
    <w:rsid w:val="00805B07"/>
    <w:rsid w:val="00806C40"/>
    <w:rsid w:val="00806DDB"/>
    <w:rsid w:val="008130C7"/>
    <w:rsid w:val="00814027"/>
    <w:rsid w:val="00814F6D"/>
    <w:rsid w:val="00815B15"/>
    <w:rsid w:val="00815FCA"/>
    <w:rsid w:val="008174E7"/>
    <w:rsid w:val="0082250A"/>
    <w:rsid w:val="008302E8"/>
    <w:rsid w:val="00831A81"/>
    <w:rsid w:val="008357D7"/>
    <w:rsid w:val="008364FD"/>
    <w:rsid w:val="008460FF"/>
    <w:rsid w:val="00855837"/>
    <w:rsid w:val="00861CD4"/>
    <w:rsid w:val="00862909"/>
    <w:rsid w:val="00863319"/>
    <w:rsid w:val="00865CC8"/>
    <w:rsid w:val="00880878"/>
    <w:rsid w:val="008A1F32"/>
    <w:rsid w:val="008A409E"/>
    <w:rsid w:val="008A418B"/>
    <w:rsid w:val="008A55D3"/>
    <w:rsid w:val="008A66E1"/>
    <w:rsid w:val="008B67DE"/>
    <w:rsid w:val="008C2801"/>
    <w:rsid w:val="008C743A"/>
    <w:rsid w:val="008D4C21"/>
    <w:rsid w:val="008D4F6C"/>
    <w:rsid w:val="008E544A"/>
    <w:rsid w:val="008E5973"/>
    <w:rsid w:val="008E6185"/>
    <w:rsid w:val="008F2D85"/>
    <w:rsid w:val="008F711A"/>
    <w:rsid w:val="00902A55"/>
    <w:rsid w:val="009155DF"/>
    <w:rsid w:val="00921381"/>
    <w:rsid w:val="009348A2"/>
    <w:rsid w:val="00940B53"/>
    <w:rsid w:val="009418FB"/>
    <w:rsid w:val="009430C1"/>
    <w:rsid w:val="00950F74"/>
    <w:rsid w:val="00954388"/>
    <w:rsid w:val="00955B94"/>
    <w:rsid w:val="00963ECA"/>
    <w:rsid w:val="009922B9"/>
    <w:rsid w:val="00993602"/>
    <w:rsid w:val="009A46AA"/>
    <w:rsid w:val="009B0466"/>
    <w:rsid w:val="009B24ED"/>
    <w:rsid w:val="009B34B7"/>
    <w:rsid w:val="009B555B"/>
    <w:rsid w:val="009B71C5"/>
    <w:rsid w:val="009B72E1"/>
    <w:rsid w:val="009C2C8B"/>
    <w:rsid w:val="009C3584"/>
    <w:rsid w:val="009C64D7"/>
    <w:rsid w:val="009C7485"/>
    <w:rsid w:val="009D420E"/>
    <w:rsid w:val="009E4DB1"/>
    <w:rsid w:val="009E610C"/>
    <w:rsid w:val="009F0104"/>
    <w:rsid w:val="009F01A5"/>
    <w:rsid w:val="00A042C3"/>
    <w:rsid w:val="00A0512E"/>
    <w:rsid w:val="00A07C10"/>
    <w:rsid w:val="00A07E8F"/>
    <w:rsid w:val="00A14D6C"/>
    <w:rsid w:val="00A1751B"/>
    <w:rsid w:val="00A21C52"/>
    <w:rsid w:val="00A23D2A"/>
    <w:rsid w:val="00A32EEC"/>
    <w:rsid w:val="00A358D8"/>
    <w:rsid w:val="00A41D29"/>
    <w:rsid w:val="00A55E26"/>
    <w:rsid w:val="00A60CDE"/>
    <w:rsid w:val="00A653A9"/>
    <w:rsid w:val="00A71595"/>
    <w:rsid w:val="00A74263"/>
    <w:rsid w:val="00A76B21"/>
    <w:rsid w:val="00A80B37"/>
    <w:rsid w:val="00A82C31"/>
    <w:rsid w:val="00A9215E"/>
    <w:rsid w:val="00A9575B"/>
    <w:rsid w:val="00AA310A"/>
    <w:rsid w:val="00AA47A8"/>
    <w:rsid w:val="00AB3A9E"/>
    <w:rsid w:val="00AC1386"/>
    <w:rsid w:val="00AC35F7"/>
    <w:rsid w:val="00AC7FFD"/>
    <w:rsid w:val="00AD1795"/>
    <w:rsid w:val="00AD3A59"/>
    <w:rsid w:val="00AD739B"/>
    <w:rsid w:val="00AE3970"/>
    <w:rsid w:val="00AE591B"/>
    <w:rsid w:val="00AF2A0F"/>
    <w:rsid w:val="00AF6ADF"/>
    <w:rsid w:val="00AF7E8A"/>
    <w:rsid w:val="00B007D9"/>
    <w:rsid w:val="00B04308"/>
    <w:rsid w:val="00B109AC"/>
    <w:rsid w:val="00B10A42"/>
    <w:rsid w:val="00B118BA"/>
    <w:rsid w:val="00B16170"/>
    <w:rsid w:val="00B25956"/>
    <w:rsid w:val="00B330CB"/>
    <w:rsid w:val="00B33F9E"/>
    <w:rsid w:val="00B35451"/>
    <w:rsid w:val="00B472ED"/>
    <w:rsid w:val="00B527C0"/>
    <w:rsid w:val="00B71E7E"/>
    <w:rsid w:val="00B76CEB"/>
    <w:rsid w:val="00B802FD"/>
    <w:rsid w:val="00B8238E"/>
    <w:rsid w:val="00B83516"/>
    <w:rsid w:val="00B91421"/>
    <w:rsid w:val="00BA0643"/>
    <w:rsid w:val="00BA5A3F"/>
    <w:rsid w:val="00BA657B"/>
    <w:rsid w:val="00BB0DD7"/>
    <w:rsid w:val="00BB25B3"/>
    <w:rsid w:val="00BB6F76"/>
    <w:rsid w:val="00BC7956"/>
    <w:rsid w:val="00BD3429"/>
    <w:rsid w:val="00BD39DA"/>
    <w:rsid w:val="00BE1E76"/>
    <w:rsid w:val="00BE3BFB"/>
    <w:rsid w:val="00BE6D19"/>
    <w:rsid w:val="00BF2D36"/>
    <w:rsid w:val="00BF4B93"/>
    <w:rsid w:val="00BF5E5C"/>
    <w:rsid w:val="00C03279"/>
    <w:rsid w:val="00C04619"/>
    <w:rsid w:val="00C05E7F"/>
    <w:rsid w:val="00C112E5"/>
    <w:rsid w:val="00C12FBC"/>
    <w:rsid w:val="00C23B82"/>
    <w:rsid w:val="00C26D31"/>
    <w:rsid w:val="00C30BEE"/>
    <w:rsid w:val="00C31E3F"/>
    <w:rsid w:val="00C428FE"/>
    <w:rsid w:val="00C430AC"/>
    <w:rsid w:val="00C46241"/>
    <w:rsid w:val="00C51182"/>
    <w:rsid w:val="00C6635D"/>
    <w:rsid w:val="00C664F3"/>
    <w:rsid w:val="00C701DF"/>
    <w:rsid w:val="00C728B4"/>
    <w:rsid w:val="00C84723"/>
    <w:rsid w:val="00C85CC9"/>
    <w:rsid w:val="00C87742"/>
    <w:rsid w:val="00C90DC6"/>
    <w:rsid w:val="00C95536"/>
    <w:rsid w:val="00CA15C6"/>
    <w:rsid w:val="00CB13E9"/>
    <w:rsid w:val="00CB298C"/>
    <w:rsid w:val="00CD5760"/>
    <w:rsid w:val="00CD6DFC"/>
    <w:rsid w:val="00CE218C"/>
    <w:rsid w:val="00CE4479"/>
    <w:rsid w:val="00CE782E"/>
    <w:rsid w:val="00CF0D1C"/>
    <w:rsid w:val="00CF2C15"/>
    <w:rsid w:val="00D00127"/>
    <w:rsid w:val="00D00C95"/>
    <w:rsid w:val="00D05012"/>
    <w:rsid w:val="00D337E3"/>
    <w:rsid w:val="00D36875"/>
    <w:rsid w:val="00D47606"/>
    <w:rsid w:val="00D51E02"/>
    <w:rsid w:val="00D529DE"/>
    <w:rsid w:val="00D64A65"/>
    <w:rsid w:val="00D64DC5"/>
    <w:rsid w:val="00D73F28"/>
    <w:rsid w:val="00D771AB"/>
    <w:rsid w:val="00D80B02"/>
    <w:rsid w:val="00D85A6D"/>
    <w:rsid w:val="00D938C8"/>
    <w:rsid w:val="00D951BE"/>
    <w:rsid w:val="00DA132E"/>
    <w:rsid w:val="00DD1956"/>
    <w:rsid w:val="00DD44EA"/>
    <w:rsid w:val="00DD511B"/>
    <w:rsid w:val="00DE136A"/>
    <w:rsid w:val="00DF4085"/>
    <w:rsid w:val="00E0640A"/>
    <w:rsid w:val="00E10AB9"/>
    <w:rsid w:val="00E14CE5"/>
    <w:rsid w:val="00E1663C"/>
    <w:rsid w:val="00E333BF"/>
    <w:rsid w:val="00E3385E"/>
    <w:rsid w:val="00E3390B"/>
    <w:rsid w:val="00E34D29"/>
    <w:rsid w:val="00E34E01"/>
    <w:rsid w:val="00E4776C"/>
    <w:rsid w:val="00E47D6A"/>
    <w:rsid w:val="00E543DF"/>
    <w:rsid w:val="00E61967"/>
    <w:rsid w:val="00E61C00"/>
    <w:rsid w:val="00E65E73"/>
    <w:rsid w:val="00E66A6B"/>
    <w:rsid w:val="00E67E6F"/>
    <w:rsid w:val="00E74621"/>
    <w:rsid w:val="00E75FF6"/>
    <w:rsid w:val="00E804D7"/>
    <w:rsid w:val="00E82291"/>
    <w:rsid w:val="00E97EBA"/>
    <w:rsid w:val="00EA1E4E"/>
    <w:rsid w:val="00EA6D4E"/>
    <w:rsid w:val="00EA76DF"/>
    <w:rsid w:val="00EB0E3C"/>
    <w:rsid w:val="00EB55AB"/>
    <w:rsid w:val="00EB66CE"/>
    <w:rsid w:val="00EC384C"/>
    <w:rsid w:val="00EC6BB8"/>
    <w:rsid w:val="00ED0C4A"/>
    <w:rsid w:val="00ED2871"/>
    <w:rsid w:val="00ED6B04"/>
    <w:rsid w:val="00ED711E"/>
    <w:rsid w:val="00EE0DA2"/>
    <w:rsid w:val="00EE17A3"/>
    <w:rsid w:val="00EE42F3"/>
    <w:rsid w:val="00EE4778"/>
    <w:rsid w:val="00EE4D89"/>
    <w:rsid w:val="00EE4F9C"/>
    <w:rsid w:val="00EF31F3"/>
    <w:rsid w:val="00EF388A"/>
    <w:rsid w:val="00F056A8"/>
    <w:rsid w:val="00F06806"/>
    <w:rsid w:val="00F16866"/>
    <w:rsid w:val="00F231C0"/>
    <w:rsid w:val="00F24CBD"/>
    <w:rsid w:val="00F25261"/>
    <w:rsid w:val="00F30028"/>
    <w:rsid w:val="00F327BB"/>
    <w:rsid w:val="00F33379"/>
    <w:rsid w:val="00F35639"/>
    <w:rsid w:val="00F36D31"/>
    <w:rsid w:val="00F417BA"/>
    <w:rsid w:val="00F42066"/>
    <w:rsid w:val="00F45353"/>
    <w:rsid w:val="00F54D24"/>
    <w:rsid w:val="00F61E20"/>
    <w:rsid w:val="00F63A5A"/>
    <w:rsid w:val="00F6481F"/>
    <w:rsid w:val="00F72CFA"/>
    <w:rsid w:val="00F75AD1"/>
    <w:rsid w:val="00F83305"/>
    <w:rsid w:val="00F918A1"/>
    <w:rsid w:val="00F918F4"/>
    <w:rsid w:val="00F941B3"/>
    <w:rsid w:val="00FA3790"/>
    <w:rsid w:val="00FA658B"/>
    <w:rsid w:val="00FA6F5E"/>
    <w:rsid w:val="00FA72A9"/>
    <w:rsid w:val="00FA7E81"/>
    <w:rsid w:val="00FB1AC9"/>
    <w:rsid w:val="00FB2642"/>
    <w:rsid w:val="00FB3991"/>
    <w:rsid w:val="00FC2399"/>
    <w:rsid w:val="00FC4BA5"/>
    <w:rsid w:val="00FD022F"/>
    <w:rsid w:val="00FE2400"/>
    <w:rsid w:val="00FE28EC"/>
    <w:rsid w:val="00FE2C3B"/>
    <w:rsid w:val="00FF3BA3"/>
    <w:rsid w:val="00FF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5F98"/>
  <w15:chartTrackingRefBased/>
  <w15:docId w15:val="{83675ABC-3360-4E82-88DC-FB4128B8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A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8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37B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A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A3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5A3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A5A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83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3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5303"/>
    <w:rPr>
      <w:color w:val="0563C1" w:themeColor="hyperlink"/>
      <w:u w:val="single"/>
    </w:rPr>
  </w:style>
  <w:style w:type="paragraph" w:styleId="Caption">
    <w:name w:val="caption"/>
    <w:basedOn w:val="Normal"/>
    <w:next w:val="Normal"/>
    <w:uiPriority w:val="35"/>
    <w:unhideWhenUsed/>
    <w:qFormat/>
    <w:rsid w:val="007C37BE"/>
    <w:pPr>
      <w:spacing w:after="200"/>
    </w:pPr>
    <w:rPr>
      <w:i/>
      <w:iCs/>
      <w:color w:val="44546A" w:themeColor="text2"/>
      <w:sz w:val="18"/>
      <w:szCs w:val="18"/>
    </w:rPr>
  </w:style>
  <w:style w:type="paragraph" w:styleId="TOCHeading">
    <w:name w:val="TOC Heading"/>
    <w:basedOn w:val="Heading1"/>
    <w:next w:val="Normal"/>
    <w:uiPriority w:val="39"/>
    <w:unhideWhenUsed/>
    <w:qFormat/>
    <w:rsid w:val="007C37BE"/>
    <w:pPr>
      <w:spacing w:line="259" w:lineRule="auto"/>
      <w:outlineLvl w:val="9"/>
    </w:pPr>
  </w:style>
  <w:style w:type="paragraph" w:styleId="TOC1">
    <w:name w:val="toc 1"/>
    <w:basedOn w:val="Normal"/>
    <w:next w:val="Normal"/>
    <w:autoRedefine/>
    <w:uiPriority w:val="39"/>
    <w:unhideWhenUsed/>
    <w:rsid w:val="007C37BE"/>
    <w:pPr>
      <w:spacing w:after="100"/>
    </w:pPr>
  </w:style>
  <w:style w:type="paragraph" w:styleId="TOC2">
    <w:name w:val="toc 2"/>
    <w:basedOn w:val="Normal"/>
    <w:next w:val="Normal"/>
    <w:autoRedefine/>
    <w:uiPriority w:val="39"/>
    <w:unhideWhenUsed/>
    <w:rsid w:val="007C37BE"/>
    <w:pPr>
      <w:spacing w:after="100"/>
      <w:ind w:left="220"/>
    </w:pPr>
  </w:style>
  <w:style w:type="character" w:customStyle="1" w:styleId="Heading3Char">
    <w:name w:val="Heading 3 Char"/>
    <w:basedOn w:val="DefaultParagraphFont"/>
    <w:link w:val="Heading3"/>
    <w:uiPriority w:val="9"/>
    <w:rsid w:val="007C37B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C37BE"/>
    <w:pPr>
      <w:spacing w:after="100"/>
      <w:ind w:left="440"/>
    </w:pPr>
  </w:style>
  <w:style w:type="paragraph" w:styleId="Header">
    <w:name w:val="header"/>
    <w:basedOn w:val="Normal"/>
    <w:link w:val="HeaderChar"/>
    <w:uiPriority w:val="99"/>
    <w:unhideWhenUsed/>
    <w:rsid w:val="00A71595"/>
    <w:pPr>
      <w:tabs>
        <w:tab w:val="center" w:pos="4680"/>
        <w:tab w:val="right" w:pos="9360"/>
      </w:tabs>
    </w:pPr>
  </w:style>
  <w:style w:type="character" w:customStyle="1" w:styleId="HeaderChar">
    <w:name w:val="Header Char"/>
    <w:basedOn w:val="DefaultParagraphFont"/>
    <w:link w:val="Header"/>
    <w:uiPriority w:val="99"/>
    <w:rsid w:val="00A71595"/>
  </w:style>
  <w:style w:type="paragraph" w:styleId="Footer">
    <w:name w:val="footer"/>
    <w:basedOn w:val="Normal"/>
    <w:link w:val="FooterChar"/>
    <w:uiPriority w:val="99"/>
    <w:unhideWhenUsed/>
    <w:rsid w:val="00A71595"/>
    <w:pPr>
      <w:tabs>
        <w:tab w:val="center" w:pos="4680"/>
        <w:tab w:val="right" w:pos="9360"/>
      </w:tabs>
    </w:pPr>
  </w:style>
  <w:style w:type="character" w:customStyle="1" w:styleId="FooterChar">
    <w:name w:val="Footer Char"/>
    <w:basedOn w:val="DefaultParagraphFont"/>
    <w:link w:val="Footer"/>
    <w:uiPriority w:val="99"/>
    <w:rsid w:val="00A71595"/>
  </w:style>
  <w:style w:type="paragraph" w:styleId="NoSpacing">
    <w:name w:val="No Spacing"/>
    <w:uiPriority w:val="1"/>
    <w:qFormat/>
    <w:rsid w:val="00B118BA"/>
    <w:pPr>
      <w:pBdr>
        <w:top w:val="nil"/>
        <w:left w:val="nil"/>
        <w:bottom w:val="nil"/>
        <w:right w:val="nil"/>
        <w:between w:val="nil"/>
        <w:bar w:val="nil"/>
      </w:pBdr>
    </w:pPr>
    <w:rPr>
      <w:rFonts w:ascii="Times New Roman" w:eastAsia="Arial Unicode MS" w:hAnsi="Times New Roman" w:cs="Times New Roman"/>
      <w:sz w:val="24"/>
      <w:szCs w:val="24"/>
      <w:bdr w:val="nil"/>
    </w:rPr>
  </w:style>
  <w:style w:type="character" w:styleId="UnresolvedMention">
    <w:name w:val="Unresolved Mention"/>
    <w:basedOn w:val="DefaultParagraphFont"/>
    <w:uiPriority w:val="99"/>
    <w:semiHidden/>
    <w:unhideWhenUsed/>
    <w:rsid w:val="0010734A"/>
    <w:rPr>
      <w:color w:val="605E5C"/>
      <w:shd w:val="clear" w:color="auto" w:fill="E1DFDD"/>
    </w:rPr>
  </w:style>
  <w:style w:type="character" w:styleId="CommentReference">
    <w:name w:val="annotation reference"/>
    <w:basedOn w:val="DefaultParagraphFont"/>
    <w:uiPriority w:val="99"/>
    <w:semiHidden/>
    <w:unhideWhenUsed/>
    <w:rsid w:val="008A55D3"/>
    <w:rPr>
      <w:sz w:val="16"/>
      <w:szCs w:val="16"/>
    </w:rPr>
  </w:style>
  <w:style w:type="paragraph" w:styleId="CommentText">
    <w:name w:val="annotation text"/>
    <w:basedOn w:val="Normal"/>
    <w:link w:val="CommentTextChar"/>
    <w:uiPriority w:val="99"/>
    <w:semiHidden/>
    <w:unhideWhenUsed/>
    <w:rsid w:val="008A55D3"/>
    <w:rPr>
      <w:sz w:val="20"/>
      <w:szCs w:val="20"/>
    </w:rPr>
  </w:style>
  <w:style w:type="character" w:customStyle="1" w:styleId="CommentTextChar">
    <w:name w:val="Comment Text Char"/>
    <w:basedOn w:val="DefaultParagraphFont"/>
    <w:link w:val="CommentText"/>
    <w:uiPriority w:val="99"/>
    <w:semiHidden/>
    <w:rsid w:val="008A55D3"/>
    <w:rPr>
      <w:sz w:val="20"/>
      <w:szCs w:val="20"/>
    </w:rPr>
  </w:style>
  <w:style w:type="paragraph" w:styleId="CommentSubject">
    <w:name w:val="annotation subject"/>
    <w:basedOn w:val="CommentText"/>
    <w:next w:val="CommentText"/>
    <w:link w:val="CommentSubjectChar"/>
    <w:uiPriority w:val="99"/>
    <w:semiHidden/>
    <w:unhideWhenUsed/>
    <w:rsid w:val="008A55D3"/>
    <w:rPr>
      <w:b/>
      <w:bCs/>
    </w:rPr>
  </w:style>
  <w:style w:type="character" w:customStyle="1" w:styleId="CommentSubjectChar">
    <w:name w:val="Comment Subject Char"/>
    <w:basedOn w:val="CommentTextChar"/>
    <w:link w:val="CommentSubject"/>
    <w:uiPriority w:val="99"/>
    <w:semiHidden/>
    <w:rsid w:val="008A55D3"/>
    <w:rPr>
      <w:b/>
      <w:bCs/>
      <w:sz w:val="20"/>
      <w:szCs w:val="20"/>
    </w:rPr>
  </w:style>
  <w:style w:type="paragraph" w:styleId="BalloonText">
    <w:name w:val="Balloon Text"/>
    <w:basedOn w:val="Normal"/>
    <w:link w:val="BalloonTextChar"/>
    <w:uiPriority w:val="99"/>
    <w:semiHidden/>
    <w:unhideWhenUsed/>
    <w:rsid w:val="008A55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5D3"/>
    <w:rPr>
      <w:rFonts w:ascii="Segoe UI" w:hAnsi="Segoe UI" w:cs="Segoe UI"/>
      <w:sz w:val="18"/>
      <w:szCs w:val="18"/>
    </w:rPr>
  </w:style>
  <w:style w:type="paragraph" w:styleId="Revision">
    <w:name w:val="Revision"/>
    <w:hidden/>
    <w:uiPriority w:val="99"/>
    <w:semiHidden/>
    <w:rsid w:val="008A5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65208">
      <w:bodyDiv w:val="1"/>
      <w:marLeft w:val="0"/>
      <w:marRight w:val="0"/>
      <w:marTop w:val="0"/>
      <w:marBottom w:val="0"/>
      <w:divBdr>
        <w:top w:val="none" w:sz="0" w:space="0" w:color="auto"/>
        <w:left w:val="none" w:sz="0" w:space="0" w:color="auto"/>
        <w:bottom w:val="none" w:sz="0" w:space="0" w:color="auto"/>
        <w:right w:val="none" w:sz="0" w:space="0" w:color="auto"/>
      </w:divBdr>
    </w:div>
    <w:div w:id="16871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freshwater.ceoas.oregonstate.edu:8443/svn/WW2100svn/trunk/StudyAreas/WW2100/Do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Envision\StudyAreas\WW2100\Docs\CalibrationWriteup\www.pesthomepage.org"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file:///C:\Envision\StudyAreas\WW2100\Docs\CalibrationWriteup\www.pesthomepage.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2A436-8B77-4196-B10A-6D6822FFF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8</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494</cp:revision>
  <cp:lastPrinted>2019-08-30T22:14:00Z</cp:lastPrinted>
  <dcterms:created xsi:type="dcterms:W3CDTF">2019-08-29T15:29:00Z</dcterms:created>
  <dcterms:modified xsi:type="dcterms:W3CDTF">2019-08-30T23:06:00Z</dcterms:modified>
</cp:coreProperties>
</file>