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B4" w:rsidRPr="00D73535" w:rsidRDefault="00D73535">
      <w:pPr>
        <w:rPr>
          <w:b/>
          <w:u w:val="single"/>
        </w:rPr>
      </w:pPr>
      <w:r w:rsidRPr="00D73535">
        <w:rPr>
          <w:b/>
          <w:u w:val="single"/>
        </w:rPr>
        <w:t>The Economics of Banking Antitrust</w:t>
      </w:r>
    </w:p>
    <w:p w:rsidR="002B75C7" w:rsidRDefault="002B75C7" w:rsidP="002B75C7">
      <w:pPr>
        <w:pStyle w:val="Prrafodelista"/>
        <w:numPr>
          <w:ilvl w:val="0"/>
          <w:numId w:val="18"/>
        </w:numPr>
      </w:pPr>
      <w:r w:rsidRPr="002B75C7">
        <w:t>La política antimonopolio implica un conjunto de políticas dirigidas a promover la competencia en los mercados y, por lo tanto, alcanzar la eficiencia asignativa.</w:t>
      </w:r>
    </w:p>
    <w:p w:rsidR="00D73535" w:rsidRPr="00D73535" w:rsidRDefault="00D73535" w:rsidP="00D73535">
      <w:pPr>
        <w:rPr>
          <w:u w:val="single"/>
        </w:rPr>
      </w:pPr>
      <w:r w:rsidRPr="00D73535">
        <w:rPr>
          <w:u w:val="single"/>
        </w:rPr>
        <w:t xml:space="preserve">Why Banks Mege </w:t>
      </w:r>
    </w:p>
    <w:p w:rsidR="002B75C7" w:rsidRDefault="002B75C7" w:rsidP="002B75C7">
      <w:pPr>
        <w:pStyle w:val="Prrafodelista"/>
        <w:numPr>
          <w:ilvl w:val="0"/>
          <w:numId w:val="18"/>
        </w:numPr>
      </w:pPr>
      <w:r w:rsidRPr="002B75C7">
        <w:t>La razón fundamental por la que los bancos contemplan y consumen fusiones y adquisiciones es mejorar el valor de los accionistas.</w:t>
      </w:r>
    </w:p>
    <w:p w:rsidR="00D73535" w:rsidRDefault="00D73535" w:rsidP="00D73535">
      <w:pPr>
        <w:rPr>
          <w:u w:val="single"/>
        </w:rPr>
      </w:pPr>
      <w:r w:rsidRPr="00D73535">
        <w:rPr>
          <w:u w:val="single"/>
        </w:rPr>
        <w:t xml:space="preserve">Profit Enhacements from Mergers </w:t>
      </w:r>
    </w:p>
    <w:p w:rsidR="002B75C7" w:rsidRDefault="002B75C7" w:rsidP="002B75C7">
      <w:pPr>
        <w:pStyle w:val="Prrafodelista"/>
        <w:numPr>
          <w:ilvl w:val="0"/>
          <w:numId w:val="1"/>
        </w:numPr>
      </w:pPr>
      <w:r>
        <w:t>Existen dos mecanismos fundamentales a través de los cuales una fusión bancaria podría generar mayores flujos de ingresos para una institución consolidada de lo que las instituciones anteriores a la fusión podrían obtener por separado.</w:t>
      </w:r>
    </w:p>
    <w:p w:rsidR="002B75C7" w:rsidRDefault="002B75C7" w:rsidP="00696305">
      <w:pPr>
        <w:pStyle w:val="Prrafodelista"/>
        <w:numPr>
          <w:ilvl w:val="1"/>
          <w:numId w:val="1"/>
        </w:numPr>
      </w:pPr>
      <w:r>
        <w:t>Un canal es la provisión más efectiva de servicios de generación de ingresos por parte de la institución posterior a la fusión. Si el banco consolidado es operado por una administración mejor que una o más de las instituciones consolidadas, entonces el banco consolidado debería poder ampliar su participación de mercado y aumentar sus ingresos.</w:t>
      </w:r>
    </w:p>
    <w:p w:rsidR="002B75C7" w:rsidRDefault="002B75C7" w:rsidP="00696305">
      <w:pPr>
        <w:pStyle w:val="Prrafodelista"/>
        <w:numPr>
          <w:ilvl w:val="1"/>
          <w:numId w:val="1"/>
        </w:numPr>
      </w:pPr>
      <w:r>
        <w:t>Una ganancia en el poder del mercado puede permitir que el banco posterior a la fusión establezca las tasas de interés y las tarifas en niveles que se desvíen más de los niveles perfectamente competitivos, como puede ser el caso antes de la fusión.</w:t>
      </w:r>
    </w:p>
    <w:p w:rsidR="002B75C7" w:rsidRDefault="002B75C7" w:rsidP="002B75C7">
      <w:pPr>
        <w:pStyle w:val="Prrafodelista"/>
        <w:numPr>
          <w:ilvl w:val="0"/>
          <w:numId w:val="1"/>
        </w:numPr>
      </w:pPr>
      <w:r>
        <w:t>Hay varias maneras en que una fusión podría reducir los costos operativos de un banco</w:t>
      </w:r>
    </w:p>
    <w:p w:rsidR="002B75C7" w:rsidRDefault="002B75C7" w:rsidP="00696305">
      <w:pPr>
        <w:pStyle w:val="Prrafodelista"/>
        <w:numPr>
          <w:ilvl w:val="1"/>
          <w:numId w:val="1"/>
        </w:numPr>
      </w:pPr>
      <w:r>
        <w:t>El reemplazo de una ineficiente gestión de la institución adquirente podría, contribuido o además de mejorar la capacidad de gestión para generar ingresos adicionales, generar ganancias de eficiencia si el nuevo administrador puede mejorar la combinación de imputación y lograr ganancias de eficiencia X mediante la implementación de tecnologías y costos más bajos. métodos de negocio.</w:t>
      </w:r>
    </w:p>
    <w:p w:rsidR="002B75C7" w:rsidRDefault="002B75C7" w:rsidP="00696305">
      <w:pPr>
        <w:pStyle w:val="Prrafodelista"/>
        <w:numPr>
          <w:ilvl w:val="1"/>
          <w:numId w:val="1"/>
        </w:numPr>
      </w:pPr>
      <w:r>
        <w:t>reunir las especializaciones de diferentes firmas bancarias en una sola estructura de gestión podría proporcionar sinergias de mezcla de productos que generen economías de alcance. Finalmente, la consolidación en una organización absolutamente más grande podría generar economías de escala que reduzcan los gastos operativos por unidad.</w:t>
      </w:r>
    </w:p>
    <w:p w:rsidR="002B75C7" w:rsidRDefault="002B75C7" w:rsidP="002B75C7">
      <w:pPr>
        <w:pStyle w:val="Prrafodelista"/>
        <w:numPr>
          <w:ilvl w:val="0"/>
          <w:numId w:val="1"/>
        </w:numPr>
      </w:pPr>
      <w:r>
        <w:t>los aumentos de los precios de las acciones posteriores a la fusión se explicaron mejor por las estimaciones de los ahorros en los costos que los anticipados por las mejoras en los ingresos.</w:t>
      </w:r>
    </w:p>
    <w:p w:rsidR="002B75C7" w:rsidRDefault="002B75C7" w:rsidP="002B75C7">
      <w:pPr>
        <w:pStyle w:val="Prrafodelista"/>
        <w:numPr>
          <w:ilvl w:val="0"/>
          <w:numId w:val="1"/>
        </w:numPr>
      </w:pPr>
      <w:r>
        <w:t>Las motivaciones de rentabilidad para las fusiones bancarias implican que los bancos adquiridos deben compartir características que los identifiquen como posibles objetivos de adquisición</w:t>
      </w:r>
    </w:p>
    <w:p w:rsidR="002B75C7" w:rsidRDefault="002B75C7" w:rsidP="002B75C7">
      <w:pPr>
        <w:pStyle w:val="Prrafodelista"/>
        <w:numPr>
          <w:ilvl w:val="0"/>
          <w:numId w:val="1"/>
        </w:numPr>
      </w:pPr>
      <w:r>
        <w:t>Las mayores cuotas de mercado, los índices de capital / activos más bajos y la ubicación en los mercados urbanos son factores clave que aumentan la probabilidad de que un banco sea un objetivo de adquisición.</w:t>
      </w:r>
    </w:p>
    <w:p w:rsidR="002B75C7" w:rsidRDefault="002B75C7" w:rsidP="002B75C7">
      <w:pPr>
        <w:pStyle w:val="Prrafodelista"/>
        <w:numPr>
          <w:ilvl w:val="0"/>
          <w:numId w:val="1"/>
        </w:numPr>
      </w:pPr>
      <w:r>
        <w:t>Mientras más bajas sean las ganancias de un banco, mayor será la probabilidad de que sea adquirido.</w:t>
      </w:r>
    </w:p>
    <w:p w:rsidR="002B75C7" w:rsidRDefault="002B75C7" w:rsidP="002B75C7">
      <w:pPr>
        <w:pStyle w:val="Prrafodelista"/>
        <w:numPr>
          <w:ilvl w:val="0"/>
          <w:numId w:val="1"/>
        </w:numPr>
      </w:pPr>
      <w:r>
        <w:lastRenderedPageBreak/>
        <w:t>los adquirentes evitan o pagan primas más bajas para obtener adquisiciones con mayores montos de préstamos improductivos</w:t>
      </w:r>
    </w:p>
    <w:p w:rsidR="002B75C7" w:rsidRDefault="002B75C7" w:rsidP="002B75C7">
      <w:pPr>
        <w:pStyle w:val="Prrafodelista"/>
        <w:numPr>
          <w:ilvl w:val="0"/>
          <w:numId w:val="1"/>
        </w:numPr>
      </w:pPr>
      <w:r>
        <w:t>Los factores clave que atraen la atención a los posibles bancos objetivo son la presencia de estos últimos en mercados altamente concentrados, lo que sugiere rentas percibidas generadas por el poder del mercado, y los factores relativos que atraen la atención a los posibles bancos objetivo son la presencia de</w:t>
      </w:r>
      <w:r>
        <w:t xml:space="preserve"> </w:t>
      </w:r>
      <w:r>
        <w:t>más tarde en mercados altamente concentrados, lo que sugiere rentas percibidas generadas por el poder del mercado, y</w:t>
      </w:r>
    </w:p>
    <w:p w:rsidR="002B75C7" w:rsidRDefault="002B75C7" w:rsidP="002B75C7">
      <w:pPr>
        <w:pStyle w:val="Prrafodelista"/>
        <w:numPr>
          <w:ilvl w:val="0"/>
          <w:numId w:val="1"/>
        </w:numPr>
      </w:pPr>
      <w:r>
        <w:t>Las consolidaciones bancarias europeas entre 1998 y 2002 concluyen que los objetivos de las adquisiciones generalmente experimentaron un desempeño operativo anterior a la fusión inferior al promedio entre sus pares.</w:t>
      </w:r>
    </w:p>
    <w:p w:rsidR="002B75C7" w:rsidRDefault="002B75C7" w:rsidP="002B75C7">
      <w:pPr>
        <w:pStyle w:val="Prrafodelista"/>
        <w:numPr>
          <w:ilvl w:val="0"/>
          <w:numId w:val="1"/>
        </w:numPr>
      </w:pPr>
      <w:r>
        <w:t>Factores que hicieron a los grandes bancos que cotizan en bolsa.</w:t>
      </w:r>
    </w:p>
    <w:p w:rsidR="002B75C7" w:rsidRDefault="002B75C7" w:rsidP="00696305">
      <w:pPr>
        <w:pStyle w:val="Prrafodelista"/>
        <w:numPr>
          <w:ilvl w:val="1"/>
          <w:numId w:val="1"/>
        </w:numPr>
      </w:pPr>
      <w:r>
        <w:t>una preponderancia de adquisiciones de bancos más grandes con niveles más altos de depósitos minoristas básicos pero un rendimiento de activos más bajo y más préstamos improductivos, en consonancia con la interpretación de que los bancos con recursos considerables pero niveles de desempeño relativamente bajos tienen más probabilidades de ser objetivos de adquisición.</w:t>
      </w:r>
    </w:p>
    <w:p w:rsidR="002B75C7" w:rsidRDefault="002B75C7" w:rsidP="00696305">
      <w:pPr>
        <w:pStyle w:val="Prrafodelista"/>
        <w:numPr>
          <w:ilvl w:val="0"/>
          <w:numId w:val="19"/>
        </w:numPr>
      </w:pPr>
      <w:r>
        <w:t>Es más probable que los bancos mejor capitalizados sean objetivos de adquisición.</w:t>
      </w:r>
    </w:p>
    <w:p w:rsidR="002B75C7" w:rsidRDefault="002B75C7" w:rsidP="002B75C7">
      <w:pPr>
        <w:pStyle w:val="Prrafodelista"/>
        <w:numPr>
          <w:ilvl w:val="0"/>
          <w:numId w:val="1"/>
        </w:numPr>
      </w:pPr>
      <w:r>
        <w:t>Consolidaciones bancarias de Estados Unidos.</w:t>
      </w:r>
    </w:p>
    <w:p w:rsidR="002B75C7" w:rsidRDefault="002B75C7" w:rsidP="00696305">
      <w:pPr>
        <w:pStyle w:val="Prrafodelista"/>
        <w:numPr>
          <w:ilvl w:val="1"/>
          <w:numId w:val="1"/>
        </w:numPr>
      </w:pPr>
      <w:r>
        <w:t>Los bancos en los que los administradores poseen una mayor parte de las acciones tienen menos probabilidades de ser adquiridos, lo que sugiere que los administradores arraigados pueden ser capaces de bloquear las adquisiciones que de otra manera podrían ser rentables para los adquirentes.</w:t>
      </w:r>
    </w:p>
    <w:p w:rsidR="002B75C7" w:rsidRDefault="002B75C7" w:rsidP="00696305">
      <w:pPr>
        <w:pStyle w:val="Prrafodelista"/>
        <w:numPr>
          <w:ilvl w:val="1"/>
          <w:numId w:val="1"/>
        </w:numPr>
      </w:pPr>
      <w:r>
        <w:t>Es más probable que se adquieran bancos con menores rendimientos de activos.</w:t>
      </w:r>
    </w:p>
    <w:p w:rsidR="002B75C7" w:rsidRDefault="002B75C7" w:rsidP="00696305">
      <w:pPr>
        <w:pStyle w:val="Prrafodelista"/>
        <w:numPr>
          <w:ilvl w:val="0"/>
          <w:numId w:val="1"/>
        </w:numPr>
      </w:pPr>
      <w:r>
        <w:t>Las fusiones en las que los adquirentes pagan precios más altos en relación con el valor en libros de los activos implican adquirentes más grandes y de mayor crecimiento con rendimientos relativamente altos sobre los activos.</w:t>
      </w:r>
    </w:p>
    <w:p w:rsidR="002B75C7" w:rsidRDefault="002B75C7" w:rsidP="002B75C7">
      <w:pPr>
        <w:pStyle w:val="Prrafodelista"/>
        <w:numPr>
          <w:ilvl w:val="0"/>
          <w:numId w:val="1"/>
        </w:numPr>
      </w:pPr>
      <w:r>
        <w:t>El determinante clave de si se realizan o no adquisiciones de fusiones bancarias es la diferencia entre las valoraciones de los posibles adquirentes y los bancos objetivo, que argumentan ofrece a los adquirentes un mayor nivel de apalancamiento que les permite maximizar las ganancias de rendimiento posteriores a la fusión en relación con el Costos de las consolidaciones.</w:t>
      </w:r>
    </w:p>
    <w:p w:rsidR="002B75C7" w:rsidRDefault="002B75C7" w:rsidP="002B75C7">
      <w:pPr>
        <w:pStyle w:val="Prrafodelista"/>
        <w:numPr>
          <w:ilvl w:val="0"/>
          <w:numId w:val="1"/>
        </w:numPr>
      </w:pPr>
      <w:r>
        <w:t>Los bancos más grandes también tenían más probabilidades de adquirir objetivos más grandes, y los objetivos de adquisición tienen más probabilidades de tener una mayor cantidad de depósitos básicos pero una rentabilidad relativamente menor</w:t>
      </w:r>
    </w:p>
    <w:p w:rsidR="002B75C7" w:rsidRDefault="002B75C7" w:rsidP="002B75C7">
      <w:pPr>
        <w:pStyle w:val="Prrafodelista"/>
        <w:numPr>
          <w:ilvl w:val="0"/>
          <w:numId w:val="1"/>
        </w:numPr>
      </w:pPr>
      <w:r>
        <w:t>Es más probable que los bancos con índices de capital a activos más altos adquieran bancos que operan con índices de capital a activos más bajos.</w:t>
      </w:r>
    </w:p>
    <w:p w:rsidR="002B75C7" w:rsidRDefault="002B75C7" w:rsidP="002B75C7">
      <w:pPr>
        <w:pStyle w:val="Prrafodelista"/>
        <w:numPr>
          <w:ilvl w:val="0"/>
          <w:numId w:val="1"/>
        </w:numPr>
      </w:pPr>
      <w:r>
        <w:t>los bancos adquiridos muestran un rendimiento de ingresos relativamente más débil y, por lo tanto, aumentan el peso de la evidencia que sugiere que los bancos de menores ingresos son más propensos a ser objetivos en las adquisiciones</w:t>
      </w:r>
    </w:p>
    <w:p w:rsidR="002B75C7" w:rsidRDefault="002B75C7" w:rsidP="002B75C7">
      <w:pPr>
        <w:pStyle w:val="Prrafodelista"/>
        <w:numPr>
          <w:ilvl w:val="0"/>
          <w:numId w:val="1"/>
        </w:numPr>
      </w:pPr>
      <w:r>
        <w:t>Beneficios de la diversificación de las fusiones bancarias</w:t>
      </w:r>
    </w:p>
    <w:p w:rsidR="002B75C7" w:rsidRDefault="002B75C7" w:rsidP="002B75C7">
      <w:pPr>
        <w:pStyle w:val="Prrafodelista"/>
        <w:numPr>
          <w:ilvl w:val="0"/>
          <w:numId w:val="1"/>
        </w:numPr>
      </w:pPr>
      <w:r>
        <w:t>Otro factor comúnmente citado que proporciona un incentivo para que los bancos consoliden sus operaciones son las posibles ganancias en el valor para los accionistas generado por la diversificación de costos y riesgos.</w:t>
      </w:r>
    </w:p>
    <w:p w:rsidR="002B75C7" w:rsidRDefault="002B75C7" w:rsidP="00696305">
      <w:pPr>
        <w:pStyle w:val="Prrafodelista"/>
        <w:numPr>
          <w:ilvl w:val="0"/>
          <w:numId w:val="1"/>
        </w:numPr>
      </w:pPr>
      <w:r>
        <w:lastRenderedPageBreak/>
        <w:t>Es probable que los beneficios de diversificación sean particularmente significativos si el crecimiento económico en los mercados de una institución objetivo se correlaciona negativamente con el crecimiento en los mercados de la adquirente</w:t>
      </w:r>
    </w:p>
    <w:p w:rsidR="00696305" w:rsidRDefault="002B75C7" w:rsidP="00696305">
      <w:pPr>
        <w:pStyle w:val="Prrafodelista"/>
        <w:numPr>
          <w:ilvl w:val="0"/>
          <w:numId w:val="1"/>
        </w:numPr>
      </w:pPr>
      <w:r>
        <w:t>la ampliación geográfica de las actividades de los bancos se asocia con una menor volatilidad de las ganancias y un menor riesgo de insolvencia.</w:t>
      </w:r>
      <w:r w:rsidRPr="002B75C7">
        <w:t xml:space="preserve"> </w:t>
      </w:r>
      <w:r>
        <w:t>Para probar si las fusiones aumentan el riesgo bancario o producen beneficios que reducen el riesgo,</w:t>
      </w:r>
    </w:p>
    <w:p w:rsidR="002B75C7" w:rsidRDefault="002B75C7" w:rsidP="00696305">
      <w:pPr>
        <w:pStyle w:val="Prrafodelista"/>
        <w:numPr>
          <w:ilvl w:val="1"/>
          <w:numId w:val="1"/>
        </w:numPr>
      </w:pPr>
      <w:r>
        <w:t>las fusiones bancarias que estudiaron produjeron beneficios de diversificación de riesgos en lugar de expandir las exposiciones de riesgo.</w:t>
      </w:r>
    </w:p>
    <w:p w:rsidR="002B75C7" w:rsidRDefault="002B75C7" w:rsidP="00696305">
      <w:pPr>
        <w:pStyle w:val="Prrafodelista"/>
        <w:numPr>
          <w:ilvl w:val="1"/>
          <w:numId w:val="1"/>
        </w:numPr>
      </w:pPr>
      <w:r>
        <w:t>el beneficio de la diversificación de riesgos es el argumento más fuerte a favor de la consolidación bancaria</w:t>
      </w:r>
    </w:p>
    <w:p w:rsidR="00696305" w:rsidRDefault="002B75C7" w:rsidP="00696305">
      <w:pPr>
        <w:pStyle w:val="Prrafodelista"/>
        <w:numPr>
          <w:ilvl w:val="0"/>
          <w:numId w:val="1"/>
        </w:numPr>
      </w:pPr>
      <w:r>
        <w:t>Las medidas compuestas de riesgo, particularmente el riesgo financiero, como lo predice la teoría de la cartera, se redujeron al aumentar la diversificación geográfica.</w:t>
      </w:r>
    </w:p>
    <w:p w:rsidR="002B75C7" w:rsidRDefault="002B75C7" w:rsidP="00696305">
      <w:pPr>
        <w:pStyle w:val="Prrafodelista"/>
        <w:numPr>
          <w:ilvl w:val="0"/>
          <w:numId w:val="1"/>
        </w:numPr>
      </w:pPr>
      <w:r>
        <w:t>Los riesgos operativos de los bancos aumentaron junto con la diversificación geográfica ampliada, como lo demuestran las menores ganancias y los menores índices de capital a activos.</w:t>
      </w:r>
    </w:p>
    <w:p w:rsidR="002B75C7" w:rsidRDefault="002B75C7" w:rsidP="002B75C7">
      <w:pPr>
        <w:pStyle w:val="Prrafodelista"/>
        <w:numPr>
          <w:ilvl w:val="0"/>
          <w:numId w:val="1"/>
        </w:numPr>
      </w:pPr>
      <w:r>
        <w:t>Es probable que los beneficios de la consolidación de la diversificación de riesgos sean empequeñecidos por las reducciones de riesgo que se producirían por una mayor escala de operaciones.</w:t>
      </w:r>
    </w:p>
    <w:p w:rsidR="002B75C7" w:rsidRDefault="002B75C7" w:rsidP="002B75C7">
      <w:pPr>
        <w:pStyle w:val="Prrafodelista"/>
        <w:numPr>
          <w:ilvl w:val="0"/>
          <w:numId w:val="1"/>
        </w:numPr>
      </w:pPr>
      <w:r>
        <w:t>Las consolidaciones bancarias influyen en la exposición de los bancos a los riesgos de tasas de interés.</w:t>
      </w:r>
    </w:p>
    <w:p w:rsidR="002B75C7" w:rsidRDefault="002B75C7" w:rsidP="002B75C7">
      <w:pPr>
        <w:pStyle w:val="Prrafodelista"/>
        <w:numPr>
          <w:ilvl w:val="0"/>
          <w:numId w:val="1"/>
        </w:numPr>
      </w:pPr>
      <w:r>
        <w:t>Es más probable que los bancos de mayor riesgo participen en actividades de fusión.</w:t>
      </w:r>
    </w:p>
    <w:p w:rsidR="002B75C7" w:rsidRDefault="002B75C7" w:rsidP="002B75C7">
      <w:pPr>
        <w:pStyle w:val="Prrafodelista"/>
        <w:numPr>
          <w:ilvl w:val="0"/>
          <w:numId w:val="1"/>
        </w:numPr>
      </w:pPr>
      <w:r>
        <w:t>Los bancos involucrados en fusiones tendían a estar menos capitalizados que los bancos que se rehusaban a la consolidación.</w:t>
      </w:r>
    </w:p>
    <w:p w:rsidR="002B75C7" w:rsidRDefault="002B75C7" w:rsidP="002B75C7">
      <w:pPr>
        <w:pStyle w:val="Prrafodelista"/>
        <w:numPr>
          <w:ilvl w:val="0"/>
          <w:numId w:val="1"/>
        </w:numPr>
      </w:pPr>
      <w:r>
        <w:t>la mayoría de las fusiones involucró a bancos con perfiles de riesgo relativamente alto, incluidos varios bancos que oficialmente se clasificaron como instituciones en dificultades.</w:t>
      </w:r>
    </w:p>
    <w:p w:rsidR="002B75C7" w:rsidRDefault="002B75C7" w:rsidP="002B75C7">
      <w:pPr>
        <w:pStyle w:val="Prrafodelista"/>
        <w:numPr>
          <w:ilvl w:val="0"/>
          <w:numId w:val="1"/>
        </w:numPr>
      </w:pPr>
      <w:r>
        <w:t>Las fusiones bancarias de Estados Unidos que diversifican las actividades de un banco consolidado y las distribuyen en territorios más grandes generalmente no aumentan el valor de los accionistas.</w:t>
      </w:r>
    </w:p>
    <w:p w:rsidR="002B75C7" w:rsidRDefault="002B75C7" w:rsidP="002B75C7">
      <w:pPr>
        <w:pStyle w:val="Prrafodelista"/>
        <w:numPr>
          <w:ilvl w:val="0"/>
          <w:numId w:val="1"/>
        </w:numPr>
      </w:pPr>
      <w:r>
        <w:t>las consolidaciones que se centran en las actividades y la presencia geográfica son más probables que conduzcan a mayores flujos de ingresos.</w:t>
      </w:r>
    </w:p>
    <w:p w:rsidR="002B75C7" w:rsidRPr="002B75C7" w:rsidRDefault="002B75C7" w:rsidP="002B75C7">
      <w:pPr>
        <w:pStyle w:val="Prrafodelista"/>
        <w:numPr>
          <w:ilvl w:val="0"/>
          <w:numId w:val="1"/>
        </w:numPr>
        <w:rPr>
          <w:u w:val="single"/>
        </w:rPr>
      </w:pPr>
      <w:r>
        <w:t>las fusiones bancarias en última instancia aumentan el valor para el accionista solo cuando una fusión involucra a un adquirente relativamente ineficiente que experimenta ganancias de eficiencia a través de la consolidación o socios que reducen con éxito la exposición general al riesgo y los costos de bancarrota esperados en la institución fusionada.</w:t>
      </w:r>
    </w:p>
    <w:p w:rsidR="00696305" w:rsidRDefault="00FC63E9" w:rsidP="005339CD">
      <w:pPr>
        <w:rPr>
          <w:u w:val="single"/>
        </w:rPr>
      </w:pPr>
      <w:r w:rsidRPr="002B75C7">
        <w:rPr>
          <w:u w:val="single"/>
        </w:rPr>
        <w:t>Mergers in Initially Perfectly Competitive Banking Markets</w:t>
      </w:r>
    </w:p>
    <w:p w:rsidR="00696305" w:rsidRPr="00696305" w:rsidRDefault="005339CD" w:rsidP="005339CD">
      <w:pPr>
        <w:pStyle w:val="Prrafodelista"/>
        <w:numPr>
          <w:ilvl w:val="0"/>
          <w:numId w:val="20"/>
        </w:numPr>
        <w:rPr>
          <w:u w:val="single"/>
        </w:rPr>
      </w:pPr>
      <w:r>
        <w:t>En teoría, las fusiones bancarias en mercados inicialmente competitivos pueden resultar en deterioros o mejoras netas del bienestar social.</w:t>
      </w:r>
    </w:p>
    <w:p w:rsidR="00696305" w:rsidRPr="00696305" w:rsidRDefault="005339CD" w:rsidP="005339CD">
      <w:pPr>
        <w:pStyle w:val="Prrafodelista"/>
        <w:numPr>
          <w:ilvl w:val="0"/>
          <w:numId w:val="20"/>
        </w:numPr>
        <w:rPr>
          <w:u w:val="single"/>
        </w:rPr>
      </w:pPr>
      <w:r>
        <w:t>Los costos marginales de recursos de los bancos son idénticos e invariables a las opciones de balance de los bancos.</w:t>
      </w:r>
    </w:p>
    <w:p w:rsidR="005339CD" w:rsidRPr="00696305" w:rsidRDefault="005339CD" w:rsidP="005339CD">
      <w:pPr>
        <w:pStyle w:val="Prrafodelista"/>
        <w:numPr>
          <w:ilvl w:val="0"/>
          <w:numId w:val="20"/>
        </w:numPr>
        <w:rPr>
          <w:u w:val="single"/>
        </w:rPr>
      </w:pPr>
      <w:r>
        <w:t xml:space="preserve">para cambios similares en las tasas de interés y los costos marginales de los recursos, las reducciones en el excedente total resultarán de la consolidación bancaria. Por lo tanto, las ganancias de eficiencia logradas a través de la consolidación de la industria tienen menos probabilidades de generar ganancias en el bienestar social si la industria es </w:t>
      </w:r>
      <w:r>
        <w:lastRenderedPageBreak/>
        <w:t>imperfectamente competitiva antes de la consolidación a través de fusiones que si la industria es perfectamente competitiva desde el principio.</w:t>
      </w:r>
    </w:p>
    <w:p w:rsidR="00FC63E9" w:rsidRDefault="00CC36C1" w:rsidP="005339CD">
      <w:pPr>
        <w:rPr>
          <w:u w:val="single"/>
        </w:rPr>
      </w:pPr>
      <w:r w:rsidRPr="00CC36C1">
        <w:rPr>
          <w:u w:val="single"/>
        </w:rPr>
        <w:t>Evidence on the Consequences of Banking Consolidation</w:t>
      </w:r>
    </w:p>
    <w:p w:rsidR="005339CD" w:rsidRDefault="005339CD" w:rsidP="00696305">
      <w:pPr>
        <w:pStyle w:val="Prrafodelista"/>
        <w:numPr>
          <w:ilvl w:val="0"/>
          <w:numId w:val="21"/>
        </w:numPr>
      </w:pPr>
      <w:r w:rsidRPr="005339CD">
        <w:t>Los impactos netos en el mercado de las fusiones bancarias son ambiguos en términos teóricos. Por lo tanto, evaluar estos impactos netos en última instancia es un problema empírico.</w:t>
      </w:r>
    </w:p>
    <w:p w:rsidR="00CC36C1" w:rsidRPr="00CC36C1" w:rsidRDefault="00CC36C1" w:rsidP="00CC36C1">
      <w:pPr>
        <w:rPr>
          <w:b/>
          <w:u w:val="single"/>
        </w:rPr>
      </w:pPr>
      <w:r w:rsidRPr="00CC36C1">
        <w:rPr>
          <w:b/>
        </w:rPr>
        <w:t>Mergers and Market Power</w:t>
      </w:r>
    </w:p>
    <w:p w:rsidR="00696305" w:rsidRDefault="005339CD" w:rsidP="005339CD">
      <w:pPr>
        <w:pStyle w:val="Prrafodelista"/>
        <w:numPr>
          <w:ilvl w:val="0"/>
          <w:numId w:val="21"/>
        </w:numPr>
      </w:pPr>
      <w:r>
        <w:t>¿La consolidación bancaria contribuye a aumentar el poder de mercado?</w:t>
      </w:r>
    </w:p>
    <w:p w:rsidR="00696305" w:rsidRDefault="005339CD" w:rsidP="005339CD">
      <w:pPr>
        <w:pStyle w:val="Prrafodelista"/>
        <w:numPr>
          <w:ilvl w:val="1"/>
          <w:numId w:val="21"/>
        </w:numPr>
      </w:pPr>
      <w:r>
        <w:t>la consolidación en la industria de servicios financieros de los Estados Unidos está asociada con un mayor poder de mercado</w:t>
      </w:r>
    </w:p>
    <w:p w:rsidR="00696305" w:rsidRDefault="005339CD" w:rsidP="005339CD">
      <w:pPr>
        <w:pStyle w:val="Prrafodelista"/>
        <w:numPr>
          <w:ilvl w:val="1"/>
          <w:numId w:val="21"/>
        </w:numPr>
      </w:pPr>
      <w:r>
        <w:t>las fusiones y adquisiciones durante este período no redujeron necesariamente los préstamos a las pequeñas empresas una vez que se tienen en cuenta las reacciones de los titulares junto con los esfuerzos de reorientación de las instituciones fusionadas.</w:t>
      </w:r>
    </w:p>
    <w:p w:rsidR="00696305" w:rsidRDefault="005339CD" w:rsidP="005339CD">
      <w:pPr>
        <w:pStyle w:val="Prrafodelista"/>
        <w:numPr>
          <w:ilvl w:val="1"/>
          <w:numId w:val="21"/>
        </w:numPr>
      </w:pPr>
      <w:r>
        <w:t>El resultado de estas consolidaciones fueron tasas de préstamos más altas y menos préstamos que, en última instancia, contribuyeron a la disminución de los valores inmobiliarios e incluso a un aumento de la delincuencia en las regiones de mercado afectadas.</w:t>
      </w:r>
    </w:p>
    <w:p w:rsidR="005339CD" w:rsidRDefault="005339CD" w:rsidP="005339CD">
      <w:pPr>
        <w:pStyle w:val="Prrafodelista"/>
        <w:numPr>
          <w:ilvl w:val="1"/>
          <w:numId w:val="21"/>
        </w:numPr>
      </w:pPr>
      <w:r>
        <w:t>las experiencias en el mercado crediticio de pequeños prestatarios comerciales estadounidenses a mediados de la década de 1990,</w:t>
      </w:r>
    </w:p>
    <w:p w:rsidR="00696305" w:rsidRDefault="005339CD" w:rsidP="005339CD">
      <w:pPr>
        <w:pStyle w:val="Prrafodelista"/>
        <w:numPr>
          <w:ilvl w:val="0"/>
          <w:numId w:val="21"/>
        </w:numPr>
      </w:pPr>
      <w:r>
        <w:t>Las fusiones no afectaron sustancialmente la capacidad de las empresas para obtener crédito ni alteraron significativamente las tasas de los préstamos que enfrentaron.</w:t>
      </w:r>
    </w:p>
    <w:p w:rsidR="00696305" w:rsidRDefault="005339CD" w:rsidP="005339CD">
      <w:pPr>
        <w:pStyle w:val="Prrafodelista"/>
        <w:numPr>
          <w:ilvl w:val="0"/>
          <w:numId w:val="21"/>
        </w:numPr>
      </w:pPr>
      <w:r>
        <w:t>En principio, las fusiones también pueden afectar la disponibilidad de servicios bancarios a través de redes de sucursales.</w:t>
      </w:r>
    </w:p>
    <w:p w:rsidR="00696305" w:rsidRDefault="005339CD" w:rsidP="005339CD">
      <w:pPr>
        <w:pStyle w:val="Prrafodelista"/>
        <w:numPr>
          <w:ilvl w:val="0"/>
          <w:numId w:val="21"/>
        </w:numPr>
      </w:pPr>
      <w:r>
        <w:t>hay una reducción per cápita en las sucursales de los bancos de EE. UU. Dentro de un área de código postal que contiene sucursales superpuestas de instituciones fusionadas, lo que sugiere cierta reducción en los servicios bancarios luego de una fusión</w:t>
      </w:r>
    </w:p>
    <w:p w:rsidR="00696305" w:rsidRDefault="005339CD" w:rsidP="005339CD">
      <w:pPr>
        <w:pStyle w:val="Prrafodelista"/>
        <w:numPr>
          <w:ilvl w:val="0"/>
          <w:numId w:val="21"/>
        </w:numPr>
      </w:pPr>
      <w:r>
        <w:t>examina los efectos de las consolidaciones bancarias italianas en los resultados crediticios</w:t>
      </w:r>
    </w:p>
    <w:p w:rsidR="00696305" w:rsidRDefault="005339CD" w:rsidP="005339CD">
      <w:pPr>
        <w:pStyle w:val="Prrafodelista"/>
        <w:numPr>
          <w:ilvl w:val="1"/>
          <w:numId w:val="21"/>
        </w:numPr>
      </w:pPr>
      <w:r>
        <w:t>Los prestatarios de bancos pequeños adquiridos en una fusión tendían a beneficiarse de mejores condiciones de préstamo.</w:t>
      </w:r>
    </w:p>
    <w:p w:rsidR="00696305" w:rsidRDefault="005339CD" w:rsidP="005339CD">
      <w:pPr>
        <w:pStyle w:val="Prrafodelista"/>
        <w:numPr>
          <w:ilvl w:val="1"/>
          <w:numId w:val="21"/>
        </w:numPr>
      </w:pPr>
      <w:r>
        <w:t>las tasas de interés de los préstamos disminuyeron inicialmente como consecuencia de las ganancias en la eficiencia de los bancos, pero finalmente aumentaron con el tiempo a medida que los bancos fusionados ejercieron su mayor poder de mercado, en particular sobre los prestatarios con solo un puñado de relaciones bancarias adicionales</w:t>
      </w:r>
    </w:p>
    <w:p w:rsidR="00696305" w:rsidRDefault="005339CD" w:rsidP="005339CD">
      <w:pPr>
        <w:pStyle w:val="Prrafodelista"/>
        <w:numPr>
          <w:ilvl w:val="1"/>
          <w:numId w:val="21"/>
        </w:numPr>
      </w:pPr>
      <w:r>
        <w:t>las fusiones generaron disminuciones en los préstamos, especialmente cuando resultaron en la terminación de las relaciones con los clientes en los bancos adquiridos.</w:t>
      </w:r>
    </w:p>
    <w:p w:rsidR="00696305" w:rsidRDefault="005339CD" w:rsidP="005339CD">
      <w:pPr>
        <w:pStyle w:val="Prrafodelista"/>
        <w:numPr>
          <w:ilvl w:val="0"/>
          <w:numId w:val="21"/>
        </w:numPr>
      </w:pPr>
      <w:r>
        <w:t>las fusiones son impulsadas por estrategias dirigidas a ampliar los servicios con el objetivo de aumentar los ingresos y, por ende, las ganancias, mientras que las adquisiciones reducen los préstamos incobrables en los bancos adquiridos y, por lo tanto, aumentan la rentabilidad de los bancos adquiridos.</w:t>
      </w:r>
    </w:p>
    <w:p w:rsidR="005339CD" w:rsidRDefault="005339CD" w:rsidP="005339CD">
      <w:pPr>
        <w:pStyle w:val="Prrafodelista"/>
        <w:numPr>
          <w:ilvl w:val="0"/>
          <w:numId w:val="21"/>
        </w:numPr>
      </w:pPr>
      <w:r>
        <w:lastRenderedPageBreak/>
        <w:t>el aumento de la concentración en el mercado de depósitos se asoció con tasas de depósito más bajas y este efecto se mejoró cuando una mayor parte de los depositantes no cambiaron las alianzas con otros bancos como consecuencia del cambio de costos</w:t>
      </w:r>
    </w:p>
    <w:p w:rsidR="00696305" w:rsidRDefault="00524315" w:rsidP="005339CD">
      <w:pPr>
        <w:rPr>
          <w:u w:val="single"/>
        </w:rPr>
      </w:pPr>
      <w:r w:rsidRPr="00524315">
        <w:rPr>
          <w:u w:val="single"/>
        </w:rPr>
        <w:t>Evidence on Efficiency Gains from Banking Consolidation</w:t>
      </w:r>
    </w:p>
    <w:p w:rsidR="00696305" w:rsidRPr="00696305" w:rsidRDefault="005339CD" w:rsidP="005339CD">
      <w:pPr>
        <w:pStyle w:val="Prrafodelista"/>
        <w:numPr>
          <w:ilvl w:val="0"/>
          <w:numId w:val="22"/>
        </w:numPr>
        <w:rPr>
          <w:u w:val="single"/>
        </w:rPr>
      </w:pPr>
      <w:r>
        <w:t>¿La mejora del poder de mercado se compensa, al menos en parte, con los aumentos de eficiencia de las fusiones bancarias?</w:t>
      </w:r>
    </w:p>
    <w:p w:rsidR="00696305" w:rsidRPr="00696305" w:rsidRDefault="005339CD" w:rsidP="005339CD">
      <w:pPr>
        <w:pStyle w:val="Prrafodelista"/>
        <w:numPr>
          <w:ilvl w:val="1"/>
          <w:numId w:val="22"/>
        </w:numPr>
        <w:rPr>
          <w:u w:val="single"/>
        </w:rPr>
      </w:pPr>
      <w:r>
        <w:t>Las fusiones aumentaron la eficiencia de la gestión con respecto a las ganancias. Bancos fusionados,</w:t>
      </w:r>
    </w:p>
    <w:p w:rsidR="00696305" w:rsidRPr="00696305" w:rsidRDefault="005339CD" w:rsidP="005339CD">
      <w:pPr>
        <w:pStyle w:val="Prrafodelista"/>
        <w:numPr>
          <w:ilvl w:val="1"/>
          <w:numId w:val="22"/>
        </w:numPr>
        <w:rPr>
          <w:u w:val="single"/>
        </w:rPr>
      </w:pPr>
      <w:r>
        <w:t>experimentó un aumento promedio en la eficiencia de los beneficios de al menos el 16 por ciento en relación con otros bancos grandes, con la mayoría de las mejoras en la eficiencia de los beneficios generadas por las mejoras en los ingresos resultantes de la transferencia de más activos de valores a préstamos en lugar de cambios en las tasas de interés o las tarifas</w:t>
      </w:r>
    </w:p>
    <w:p w:rsidR="00696305" w:rsidRPr="00696305" w:rsidRDefault="005339CD" w:rsidP="005339CD">
      <w:pPr>
        <w:pStyle w:val="Prrafodelista"/>
        <w:numPr>
          <w:ilvl w:val="1"/>
          <w:numId w:val="22"/>
        </w:numPr>
        <w:rPr>
          <w:u w:val="single"/>
        </w:rPr>
      </w:pPr>
      <w:r>
        <w:t>Las ganancias en el rendimiento de las operaciones operativas fueron mayores para las fusiones que involucraban bancos más grandes que pequeños, que se enfocaban en una sola actividad en lugar de la diversificación de actividades, y que estaban más enfocadas geográficamente en lugar de ampliarse geográficamente.</w:t>
      </w:r>
    </w:p>
    <w:p w:rsidR="00696305" w:rsidRPr="00696305" w:rsidRDefault="005339CD" w:rsidP="005339CD">
      <w:pPr>
        <w:pStyle w:val="Prrafodelista"/>
        <w:numPr>
          <w:ilvl w:val="0"/>
          <w:numId w:val="22"/>
        </w:numPr>
        <w:rPr>
          <w:u w:val="single"/>
        </w:rPr>
      </w:pPr>
      <w:r>
        <w:t>Los ahorros significativos de costos se realizan a menudo en las consolidaciones bancarias.</w:t>
      </w:r>
    </w:p>
    <w:p w:rsidR="00696305" w:rsidRPr="00696305" w:rsidRDefault="005339CD" w:rsidP="005339CD">
      <w:pPr>
        <w:pStyle w:val="Prrafodelista"/>
        <w:numPr>
          <w:ilvl w:val="0"/>
          <w:numId w:val="22"/>
        </w:numPr>
        <w:rPr>
          <w:u w:val="single"/>
        </w:rPr>
      </w:pPr>
      <w:r>
        <w:t>las ganancias de eficiencia de las consolidaciones bancarias pueden más que compensar los efectos de poder del mercado</w:t>
      </w:r>
    </w:p>
    <w:p w:rsidR="00696305" w:rsidRPr="00696305" w:rsidRDefault="005339CD" w:rsidP="005339CD">
      <w:pPr>
        <w:pStyle w:val="Prrafodelista"/>
        <w:numPr>
          <w:ilvl w:val="0"/>
          <w:numId w:val="22"/>
        </w:numPr>
        <w:rPr>
          <w:u w:val="single"/>
        </w:rPr>
      </w:pPr>
      <w:r>
        <w:t>En promedio, las fusiones redujeron los diferenciales de los préstamos y la reducción fue mayor en los bancos adquirentes con mayores descensos en los costos operativos posteriores a la fusión.</w:t>
      </w:r>
    </w:p>
    <w:p w:rsidR="00696305" w:rsidRPr="00696305" w:rsidRDefault="005339CD" w:rsidP="005339CD">
      <w:pPr>
        <w:pStyle w:val="Prrafodelista"/>
        <w:numPr>
          <w:ilvl w:val="0"/>
          <w:numId w:val="22"/>
        </w:numPr>
        <w:rPr>
          <w:u w:val="single"/>
        </w:rPr>
      </w:pPr>
      <w:r>
        <w:t>El comportamiento posterior a la fusión de las tasas de depósito en Italia a través de las tasas de depósito a corto plazo se redujo en el corto plazo, en el largo plazo las ganancias de eficiencia dominaron sobre los impactos del poder de mercado, lo que resultó en mayores tasas de depósito.</w:t>
      </w:r>
    </w:p>
    <w:p w:rsidR="00696305" w:rsidRPr="00696305" w:rsidRDefault="005339CD" w:rsidP="005339CD">
      <w:pPr>
        <w:pStyle w:val="Prrafodelista"/>
        <w:numPr>
          <w:ilvl w:val="0"/>
          <w:numId w:val="22"/>
        </w:numPr>
        <w:rPr>
          <w:u w:val="single"/>
        </w:rPr>
      </w:pPr>
      <w:r>
        <w:t>En el Reino Unido, hubo un aumento sustancial en la eficiencia de los costos para las instituciones consolidadas sin efectos significativos en la mayoría de las tasas de interés minoristas.</w:t>
      </w:r>
    </w:p>
    <w:p w:rsidR="005339CD" w:rsidRPr="00696305" w:rsidRDefault="005339CD" w:rsidP="005339CD">
      <w:pPr>
        <w:pStyle w:val="Prrafodelista"/>
        <w:numPr>
          <w:ilvl w:val="0"/>
          <w:numId w:val="22"/>
        </w:numPr>
        <w:rPr>
          <w:u w:val="single"/>
        </w:rPr>
      </w:pPr>
      <w:r>
        <w:t>las fusiones y adquisiciones bancarias pueden generar ganancias de eficiencia en los bancos incumbentes no fusionados, que responden a las noticias de una fusión al mejorar la eficiencia de sus operaciones en un esfuerzo por seguir siendo competidores viables</w:t>
      </w:r>
    </w:p>
    <w:p w:rsidR="00696305" w:rsidRDefault="005339CD" w:rsidP="005339CD">
      <w:r>
        <w:t xml:space="preserve">Pautas para la fusión </w:t>
      </w:r>
      <w:r w:rsidR="00696305">
        <w:t>de bancos de los Estados Unidos</w:t>
      </w:r>
      <w:r>
        <w:t xml:space="preserve"> </w:t>
      </w:r>
    </w:p>
    <w:p w:rsidR="005339CD" w:rsidRDefault="005339CD" w:rsidP="00696305">
      <w:pPr>
        <w:pStyle w:val="Prrafodelista"/>
        <w:numPr>
          <w:ilvl w:val="0"/>
          <w:numId w:val="23"/>
        </w:numPr>
      </w:pPr>
      <w:r>
        <w:t>cualquier fusión bancaria contemplada se debe proponer primero al reglamento bancario aplicable para</w:t>
      </w:r>
    </w:p>
    <w:p w:rsidR="00CD7014" w:rsidRDefault="00CD7014" w:rsidP="005339CD">
      <w:r>
        <w:t>The Relevant Market</w:t>
      </w:r>
    </w:p>
    <w:p w:rsidR="00696305" w:rsidRDefault="005339CD" w:rsidP="005339CD">
      <w:pPr>
        <w:pStyle w:val="Prrafodelista"/>
        <w:numPr>
          <w:ilvl w:val="0"/>
          <w:numId w:val="23"/>
        </w:numPr>
      </w:pPr>
      <w:r>
        <w:t>cada uno de los doce bancos de la Reserva Federal define los mercados bancarios relevantes (mercados claramente delineados y distintos para los servicios bancarios) que se utilizarán para evaluar los efectos de cualquier fusión propuesta dentro del área geográfica abarcada por sus propios límites de distrito de la Reserva Federal.</w:t>
      </w:r>
    </w:p>
    <w:p w:rsidR="00696305" w:rsidRDefault="005339CD" w:rsidP="005339CD">
      <w:pPr>
        <w:pStyle w:val="Prrafodelista"/>
        <w:numPr>
          <w:ilvl w:val="0"/>
          <w:numId w:val="23"/>
        </w:numPr>
      </w:pPr>
      <w:r>
        <w:lastRenderedPageBreak/>
        <w:t>Una vez que una región geográfica ha sido identificada como el mercado bancario relevante, el artículo relevante vendido en ese mercado por los bancos debe ser identificado.</w:t>
      </w:r>
    </w:p>
    <w:p w:rsidR="005339CD" w:rsidRDefault="005339CD" w:rsidP="005339CD">
      <w:pPr>
        <w:pStyle w:val="Prrafodelista"/>
        <w:numPr>
          <w:ilvl w:val="0"/>
          <w:numId w:val="23"/>
        </w:numPr>
      </w:pPr>
      <w:r>
        <w:t>porque estas instituciones aumentan sus fondos de depósito en los mercados nacionales. Para evaluar el grado de concentración en el mercado bancario relevante, la Reserva Federal sigue al Departamento de Justicia al basarse en el índice Herfindahl-Hirschman (HHI), la suma del porcentaje cuadrado de las cuotas de mercado de cada uno de los bancos en el mercado.</w:t>
      </w:r>
    </w:p>
    <w:p w:rsidR="00CD7014" w:rsidRDefault="00CD7014" w:rsidP="005339CD">
      <w:r>
        <w:t>Merger Screening</w:t>
      </w:r>
    </w:p>
    <w:p w:rsidR="00696305" w:rsidRDefault="005339CD" w:rsidP="005339CD">
      <w:pPr>
        <w:pStyle w:val="Prrafodelista"/>
        <w:numPr>
          <w:ilvl w:val="0"/>
          <w:numId w:val="24"/>
        </w:numPr>
      </w:pPr>
      <w:r>
        <w:t>Al evaluar las consolidaciones planificadas de firmas no financieras, el Departamento de Justicia de los EE. UU. Considera que un mercado no está concentrado si su HHI es inferior a 1.000, que está moderadamente concentrado si su HHI está entre 1.000 y 1.800, y que está altamente concentrado si su HHI excede 1,800.</w:t>
      </w:r>
    </w:p>
    <w:p w:rsidR="00696305" w:rsidRDefault="005339CD" w:rsidP="005339CD">
      <w:pPr>
        <w:pStyle w:val="Prrafodelista"/>
        <w:numPr>
          <w:ilvl w:val="0"/>
          <w:numId w:val="24"/>
        </w:numPr>
      </w:pPr>
      <w:r>
        <w:t>los valores promedio de HHI en los mercados urbanos se han mantenido muy cerca del nivel mínimo de 1.800 del Departamento de Justicia para definir una alta concentración de mercado, y los valores promedio de HHI para los mercados rurales están muy por encima de este valor.</w:t>
      </w:r>
    </w:p>
    <w:p w:rsidR="00696305" w:rsidRDefault="005339CD" w:rsidP="005339CD">
      <w:pPr>
        <w:pStyle w:val="Prrafodelista"/>
        <w:numPr>
          <w:ilvl w:val="0"/>
          <w:numId w:val="24"/>
        </w:numPr>
      </w:pPr>
      <w:r>
        <w:t xml:space="preserve">El mecanismo de selección de fusiones bancarias de los Estados Unidos consta de dos pantallas. La primera, conocida como Pantalla </w:t>
      </w:r>
      <w:proofErr w:type="gramStart"/>
      <w:r>
        <w:t>A</w:t>
      </w:r>
      <w:proofErr w:type="gramEnd"/>
      <w:r>
        <w:t>, calcula el HHI para el mercado bancario relevante dando un 100 por ciento de peso a los depósitos de los bancos comerciales, pero asignando solo un 50 por ciento de peso a los depósitos de las instituciones de ahorro, que las autoridades bancarias de los EE. UU. Perciben como un grupo más estrecho. Productos bancarios que los bancos comerciales. Esto, naturalmente, reduce el valor efectivo del HHI posterior a la fusión que produciría una fusión bancaria propuesta.</w:t>
      </w:r>
    </w:p>
    <w:p w:rsidR="00696305" w:rsidRDefault="005339CD" w:rsidP="005339CD">
      <w:pPr>
        <w:pStyle w:val="Prrafodelista"/>
        <w:numPr>
          <w:ilvl w:val="0"/>
          <w:numId w:val="24"/>
        </w:numPr>
      </w:pPr>
      <w:r>
        <w:t>Si se superan los umbrales de la Pantalla A para el HHI ponderado después de la fusión y el cambio en el HHI ponderado, entonces el Departamento de Justicia aplica una segunda pantalla, llamada Pantalla B. Esta pantalla calcula un HHI no ponderado posterior a la fusión y cambia el HHI no ponderado para RMAs en lugar de los mercados relevantes según lo definido por la Reserva Federal. Si los umbrales se rebasan nuevamente en la Pantalla B, los formuladores de políticas antimonopolio consideran otros factores específicos de la fusión planificada para llegar a su juicio final con respecto a sus méritos.</w:t>
      </w:r>
    </w:p>
    <w:p w:rsidR="005339CD" w:rsidRDefault="005339CD" w:rsidP="005339CD">
      <w:pPr>
        <w:pStyle w:val="Prrafodelista"/>
        <w:numPr>
          <w:ilvl w:val="0"/>
          <w:numId w:val="24"/>
        </w:numPr>
      </w:pPr>
      <w:r>
        <w:t>“factores atenuantes” es si actualmente existe una competencia directa entre las instituciones fusionadas, si las instituciones fusionadas parecen especializarse en la prestación de diferentes tipos de servicios, si las encuestas a los clientes sugieren que los grupos de productos de los socios de la fusión son sustitutos cercanos, y si las ubicaciones de sus oficinas y clientes muestran una importante superposición geográfica dentro del mercado relevante</w:t>
      </w:r>
    </w:p>
    <w:p w:rsidR="00CD7014" w:rsidRDefault="00CD7014" w:rsidP="005339CD">
      <w:r>
        <w:t>Is the Official Relevant Banking Market Really Relevant?</w:t>
      </w:r>
    </w:p>
    <w:p w:rsidR="00696305" w:rsidRDefault="005339CD" w:rsidP="00696305">
      <w:pPr>
        <w:pStyle w:val="Prrafodelista"/>
        <w:numPr>
          <w:ilvl w:val="0"/>
          <w:numId w:val="25"/>
        </w:numPr>
      </w:pPr>
      <w:r>
        <w:t>Un tema central del análisis antimonopolio es la determinación del mercado relevante.</w:t>
      </w:r>
    </w:p>
    <w:p w:rsidR="005339CD" w:rsidRDefault="005339CD" w:rsidP="00696305">
      <w:pPr>
        <w:pStyle w:val="Prrafodelista"/>
        <w:numPr>
          <w:ilvl w:val="0"/>
          <w:numId w:val="25"/>
        </w:numPr>
      </w:pPr>
      <w:r>
        <w:t>una delineación adecuada del mercado relevante para el análisis antimonopolio debe abarcar tanto el espacio del producto como el geográfico y debe tener en cuenta las capacidades de sustitución con respecto al consumo y la producción.</w:t>
      </w:r>
    </w:p>
    <w:p w:rsidR="00CD7014" w:rsidRDefault="00CD7014" w:rsidP="005339CD">
      <w:pPr>
        <w:ind w:firstLine="360"/>
      </w:pPr>
      <w:r>
        <w:lastRenderedPageBreak/>
        <w:t>A Theory-Policy Mis-Match</w:t>
      </w:r>
    </w:p>
    <w:p w:rsidR="00696305" w:rsidRDefault="005339CD" w:rsidP="00696305">
      <w:pPr>
        <w:pStyle w:val="Prrafodelista"/>
        <w:numPr>
          <w:ilvl w:val="0"/>
          <w:numId w:val="26"/>
        </w:numPr>
      </w:pPr>
      <w:r>
        <w:t>Las elasticidades positivas de los precios a largo plazo de la demanda y la oferta deberían proporcionar evidencia de sustituibilidad.</w:t>
      </w:r>
    </w:p>
    <w:p w:rsidR="005339CD" w:rsidRDefault="005339CD" w:rsidP="00696305">
      <w:pPr>
        <w:pStyle w:val="Prrafodelista"/>
        <w:numPr>
          <w:ilvl w:val="0"/>
          <w:numId w:val="26"/>
        </w:numPr>
      </w:pPr>
      <w:r>
        <w:t>Stigler y Sherwin argumentan que la metodología del Departamento de Justicia es inconsistente con un enfoque económico orientado a los datos, para definir los mercados.</w:t>
      </w:r>
    </w:p>
    <w:p w:rsidR="00CD7014" w:rsidRDefault="00CD7014" w:rsidP="005339CD">
      <w:pPr>
        <w:ind w:left="360"/>
      </w:pPr>
      <w:r>
        <w:t>Geographical Arbitrariness in the Bank Merger Guidelines</w:t>
      </w:r>
    </w:p>
    <w:p w:rsidR="00696305" w:rsidRDefault="005339CD" w:rsidP="005339CD">
      <w:pPr>
        <w:pStyle w:val="Prrafodelista"/>
        <w:numPr>
          <w:ilvl w:val="0"/>
          <w:numId w:val="27"/>
        </w:numPr>
      </w:pPr>
      <w:r>
        <w:t>La aplicación de las directrices del Departamento de Justicia a los mercados bancarios está plagada de dificultades adicionales. En primer lugar, ningún criterio de aumento de precios de monopolio está implicado en la aplicación de las directrices para definir los mercados bancarios. En su lugar, solo se tienen en cuenta consideraciones de espacio geográfico relativamente arbitrarias al adaptar las directrices a la industria bancaria.</w:t>
      </w:r>
    </w:p>
    <w:p w:rsidR="00696305" w:rsidRDefault="005339CD" w:rsidP="005339CD">
      <w:pPr>
        <w:pStyle w:val="Prrafodelista"/>
        <w:numPr>
          <w:ilvl w:val="0"/>
          <w:numId w:val="27"/>
        </w:numPr>
      </w:pPr>
      <w:r>
        <w:t>el argumento de que grandes fracciones de hogares y pequeñas empresas dentro de un área local determinada tienden a agrupar las compras de servicios financieros clave en instituciones bancarias que también se encuentran dentro de la misma área estrecha.</w:t>
      </w:r>
    </w:p>
    <w:p w:rsidR="00696305" w:rsidRDefault="005339CD" w:rsidP="005339CD">
      <w:pPr>
        <w:pStyle w:val="Prrafodelista"/>
        <w:numPr>
          <w:ilvl w:val="0"/>
          <w:numId w:val="27"/>
        </w:numPr>
      </w:pPr>
      <w:r>
        <w:t>la distancia es de hecho un factor clave para determinar el alcance de las interacciones entre los bancos en sus ofertas de grupos de productos para los consumidores, lo que implica que es razonable ver a las comunidades locales como el mercado relevante para la mayoría de los bancos.</w:t>
      </w:r>
    </w:p>
    <w:p w:rsidR="00696305" w:rsidRDefault="005339CD" w:rsidP="005339CD">
      <w:pPr>
        <w:pStyle w:val="Prrafodelista"/>
        <w:numPr>
          <w:ilvl w:val="0"/>
          <w:numId w:val="27"/>
        </w:numPr>
      </w:pPr>
      <w:r>
        <w:t>la distancia es un factor disuasivo clave para los préstamos, especialmente para las instituciones bancarias más pequeñas, y que la importancia de la distancia puede haber aumentado en los últimos años.</w:t>
      </w:r>
    </w:p>
    <w:p w:rsidR="00696305" w:rsidRDefault="005339CD" w:rsidP="005339CD">
      <w:pPr>
        <w:pStyle w:val="Prrafodelista"/>
        <w:numPr>
          <w:ilvl w:val="0"/>
          <w:numId w:val="27"/>
        </w:numPr>
      </w:pPr>
      <w:r>
        <w:t>Los mercados bancarios generalmente se extienden a niveles estatales en lugar de limitarse a ciudades o condados.</w:t>
      </w:r>
    </w:p>
    <w:p w:rsidR="005339CD" w:rsidRDefault="005339CD" w:rsidP="005339CD">
      <w:pPr>
        <w:pStyle w:val="Prrafodelista"/>
        <w:numPr>
          <w:ilvl w:val="0"/>
          <w:numId w:val="27"/>
        </w:numPr>
      </w:pPr>
      <w:r>
        <w:t>La concentración del mercado local es el principal determinante de las tasas de depósitos bancarios, también encuentran evidencia de que la concentración a nivel estatal desempeña un papel importante.</w:t>
      </w:r>
    </w:p>
    <w:p w:rsidR="00CD7014" w:rsidRDefault="00CD7014" w:rsidP="005339CD">
      <w:r>
        <w:t>Do the Formal Guidelines Mis-Measure Market Power?</w:t>
      </w:r>
    </w:p>
    <w:p w:rsidR="00696305" w:rsidRDefault="005339CD" w:rsidP="005339CD">
      <w:pPr>
        <w:pStyle w:val="Prrafodelista"/>
        <w:numPr>
          <w:ilvl w:val="0"/>
          <w:numId w:val="28"/>
        </w:numPr>
      </w:pPr>
      <w:r>
        <w:t>Las pautas de fusión bancaria de los EE. UU. Utilizadas por la Reserva Federal y otras autoridades bancarias y por el Departamento de Justicia suponen que una aproximación razonable del poder de mercado es la concentración del mercado según lo mide el HHI</w:t>
      </w:r>
    </w:p>
    <w:p w:rsidR="00696305" w:rsidRDefault="005339CD" w:rsidP="005339CD">
      <w:pPr>
        <w:pStyle w:val="Prrafodelista"/>
        <w:numPr>
          <w:ilvl w:val="0"/>
          <w:numId w:val="28"/>
        </w:numPr>
      </w:pPr>
      <w:r>
        <w:t>confiar en medidas de concentración, como el HHI, puede proporcionar indicaciones poco confiables de poder de mercado</w:t>
      </w:r>
    </w:p>
    <w:p w:rsidR="00696305" w:rsidRDefault="005339CD" w:rsidP="005339CD">
      <w:pPr>
        <w:pStyle w:val="Prrafodelista"/>
        <w:numPr>
          <w:ilvl w:val="0"/>
          <w:numId w:val="28"/>
        </w:numPr>
      </w:pPr>
      <w:r>
        <w:t>los valores relativos de HHI se invierten de los niveles de concentración relativa que sus hallazgos hubieran sugerido.</w:t>
      </w:r>
    </w:p>
    <w:p w:rsidR="00696305" w:rsidRDefault="005339CD" w:rsidP="005339CD">
      <w:pPr>
        <w:pStyle w:val="Prrafodelista"/>
        <w:numPr>
          <w:ilvl w:val="0"/>
          <w:numId w:val="28"/>
        </w:numPr>
      </w:pPr>
      <w:r>
        <w:t>las tasas de préstamo del mercado se explican mejor por el número de competidores que por el HHI.</w:t>
      </w:r>
    </w:p>
    <w:p w:rsidR="005339CD" w:rsidRDefault="005339CD" w:rsidP="005339CD">
      <w:pPr>
        <w:pStyle w:val="Prrafodelista"/>
        <w:numPr>
          <w:ilvl w:val="0"/>
          <w:numId w:val="28"/>
        </w:numPr>
      </w:pPr>
      <w:r>
        <w:t>cinco medidas de la competencia en el mercado bancario: el margen de interés neto, el índice de Lerner (la diferencia entre el precio del producto y el costo marginal como una proporción del precio), el rendimiento del activo, el estadístico H (una medida de la medida en que el insumo) los cambios en los costos se incorporan a los cambios en los precios), y el HHI está solo débilmente relacionado positivamente.</w:t>
      </w:r>
    </w:p>
    <w:p w:rsidR="00DE1400" w:rsidRDefault="00DE1400" w:rsidP="005339CD">
      <w:r>
        <w:lastRenderedPageBreak/>
        <w:t>Implications of Endogenous Sunk Fixed Costs</w:t>
      </w:r>
    </w:p>
    <w:p w:rsidR="00696305" w:rsidRDefault="005339CD" w:rsidP="005339CD">
      <w:pPr>
        <w:pStyle w:val="Prrafodelista"/>
        <w:numPr>
          <w:ilvl w:val="0"/>
          <w:numId w:val="29"/>
        </w:numPr>
      </w:pPr>
      <w:r>
        <w:t>los costos hundidos endógenos podrían ser una característica importante de la competencia en la industria bancaria.</w:t>
      </w:r>
    </w:p>
    <w:p w:rsidR="00696305" w:rsidRDefault="005339CD" w:rsidP="005339CD">
      <w:pPr>
        <w:pStyle w:val="Prrafodelista"/>
        <w:numPr>
          <w:ilvl w:val="0"/>
          <w:numId w:val="29"/>
        </w:numPr>
      </w:pPr>
      <w:r>
        <w:t>el nivel promedio de calidad de los productos de los bancos podría mejorarse mediante fusiones, lo que implica que los mercados bancarios más concentrados podrían producir un mayor bienestar para los consumidores.</w:t>
      </w:r>
    </w:p>
    <w:p w:rsidR="005339CD" w:rsidRDefault="005339CD" w:rsidP="005339CD">
      <w:pPr>
        <w:pStyle w:val="Prrafodelista"/>
        <w:numPr>
          <w:ilvl w:val="0"/>
          <w:numId w:val="29"/>
        </w:numPr>
      </w:pPr>
      <w:r>
        <w:t>Una implicación importante para la política antimonopolio de los Estados Unidos con respecto a la banca es que la calidad bancaria es una variable clave que debe incorporarse en las evaluaciones de políticas de los impactos en el bienestar de los consumidores de los cambios en la estructura dentro de los mercados bancarios.</w:t>
      </w:r>
    </w:p>
    <w:p w:rsidR="00696305" w:rsidRDefault="00DE1400" w:rsidP="00696305">
      <w:r>
        <w:t>Do Banking Consolidations Preclude Entry and Reduce Consumer Welfare?</w:t>
      </w:r>
    </w:p>
    <w:p w:rsidR="00696305" w:rsidRDefault="005339CD" w:rsidP="00696305">
      <w:pPr>
        <w:pStyle w:val="Prrafodelista"/>
        <w:numPr>
          <w:ilvl w:val="0"/>
          <w:numId w:val="30"/>
        </w:numPr>
      </w:pPr>
      <w:r>
        <w:t>Las consideraciones dinámicas de la teoría de juegos deberían ser elementos cruciales en la evaluación de las implicaciones de poder de mercado y bienestar de las fusiones en el consumidor.</w:t>
      </w:r>
    </w:p>
    <w:p w:rsidR="00696305" w:rsidRDefault="005339CD" w:rsidP="00696305">
      <w:pPr>
        <w:pStyle w:val="Prrafodelista"/>
        <w:numPr>
          <w:ilvl w:val="0"/>
          <w:numId w:val="30"/>
        </w:numPr>
      </w:pPr>
      <w:r>
        <w:t>¿La variación en la estructura del mercado bancario tiene efectos mensurablemente significativos en el bienestar del consumidor?</w:t>
      </w:r>
    </w:p>
    <w:p w:rsidR="005339CD" w:rsidRDefault="005339CD" w:rsidP="00696305">
      <w:pPr>
        <w:pStyle w:val="Prrafodelista"/>
        <w:numPr>
          <w:ilvl w:val="1"/>
          <w:numId w:val="30"/>
        </w:numPr>
      </w:pPr>
      <w:r>
        <w:t>Los impactos en el bienestar de los consumidores de las mejoras en los servicios, como la expansión de las redes de sucursales, fueron al menos tan importantes como los cambios en el bienestar causados ​​por las variaciones en las tasas de interés y las tarifas.</w:t>
      </w:r>
    </w:p>
    <w:p w:rsidR="00AD7046" w:rsidRDefault="001458C7" w:rsidP="005339CD">
      <w:r>
        <w:t>Rethinking Bank Merger Analysis</w:t>
      </w:r>
    </w:p>
    <w:p w:rsidR="00AD7046" w:rsidRDefault="005339CD" w:rsidP="005339CD">
      <w:pPr>
        <w:pStyle w:val="Prrafodelista"/>
        <w:numPr>
          <w:ilvl w:val="0"/>
          <w:numId w:val="31"/>
        </w:numPr>
      </w:pPr>
      <w:r>
        <w:t>En principio, una consolidación del mercado puede hacer que los precios de mercado se muevan fuera del rango de los datos anteriores, lo que requiere depender de extrapolaciones fuera de muestra que pueden hacer que las estimaciones de demanda utilizadas para simular resultados de fusiones no sean confiables.</w:t>
      </w:r>
    </w:p>
    <w:p w:rsidR="00AD7046" w:rsidRDefault="005339CD" w:rsidP="005339CD">
      <w:pPr>
        <w:pStyle w:val="Prrafodelista"/>
        <w:numPr>
          <w:ilvl w:val="0"/>
          <w:numId w:val="31"/>
        </w:numPr>
      </w:pPr>
      <w:r>
        <w:t>la dinámica posterior a la fusión podría desviarse de aquellas que prevalecieron antes de la consolidación; por ejemplo, el comportamiento estratégico previo a la fusión a lo largo de Bertrand-Nash podría cambiar al comportamiento de Cournot-Nash después de una fusión, en contraste con la suposición de una simulación de fusión de que el comportamiento de Bertrand-Nash persistiría.</w:t>
      </w:r>
    </w:p>
    <w:p w:rsidR="00AD7046" w:rsidRDefault="005339CD" w:rsidP="005339CD">
      <w:pPr>
        <w:pStyle w:val="Prrafodelista"/>
        <w:numPr>
          <w:ilvl w:val="0"/>
          <w:numId w:val="31"/>
        </w:numPr>
      </w:pPr>
      <w:r>
        <w:t>los ajustes comparativos a los datos de los modelos de simulación de fusión propuestos que producen predicciones de fusión incompatibles entre sí pueden ser los mismos, lo que implica que, en el mejor de los casos, los modelos de simulación de fusión podrían utilizarse para complementar las técnicas actuales utilizadas por los litigantes en los casos de fusión.</w:t>
      </w:r>
    </w:p>
    <w:p w:rsidR="00AD7046" w:rsidRDefault="005339CD" w:rsidP="005339CD">
      <w:pPr>
        <w:pStyle w:val="Prrafodelista"/>
        <w:numPr>
          <w:ilvl w:val="0"/>
          <w:numId w:val="31"/>
        </w:numPr>
      </w:pPr>
      <w:r>
        <w:t>El poder de mercado en la industria bancaria finlandesa concuerda principalmente con el comportamiento de Bertrand-Nash asumido en la mayoría de los modelos de simulación de fusión anteriores.</w:t>
      </w:r>
    </w:p>
    <w:p w:rsidR="005339CD" w:rsidRDefault="005339CD" w:rsidP="005339CD">
      <w:pPr>
        <w:pStyle w:val="Prrafodelista"/>
        <w:numPr>
          <w:ilvl w:val="0"/>
          <w:numId w:val="31"/>
        </w:numPr>
      </w:pPr>
      <w:r>
        <w:t xml:space="preserve">una alteración del entorno de la industria que ayuda a motivar una fusión, pero no tiene nada que ver con consideraciones competitivas, también podría beneficiar a los rivales, lo </w:t>
      </w:r>
      <w:r>
        <w:lastRenderedPageBreak/>
        <w:t>que implica el potencial de falsas señales de disminución de la competencia si los precios de las acciones aumentan tanto para los socios de la fusión como para los rivales</w:t>
      </w:r>
    </w:p>
    <w:p w:rsidR="001458C7" w:rsidRDefault="001458C7" w:rsidP="005339CD">
      <w:r>
        <w:t>Antitrust Issues in Bank Payment Networks</w:t>
      </w:r>
    </w:p>
    <w:p w:rsidR="005339CD" w:rsidRDefault="005339CD" w:rsidP="00AD7046">
      <w:pPr>
        <w:pStyle w:val="Prrafodelista"/>
        <w:numPr>
          <w:ilvl w:val="0"/>
          <w:numId w:val="32"/>
        </w:numPr>
      </w:pPr>
      <w:r w:rsidRPr="005339CD">
        <w:t>Los ingresos generados por las transferencias de fondos en nombre de los depositantes, según Radecki, representaron el 28 por ciento de los ingresos operativos totales de los bancos. El procesamiento de pagos con tarjeta de crédito generó el 7 por ciento de sus ingresos, y el procesamiento de pagos de valores contribuyó con un 3 por ciento adicional. En total, por lo tanto, Radecki concluye que las transacciones relacionadas con el procesamiento de pagos contribuyen a generar alrededor del 38 por ciento de los ingresos de los bancos.</w:t>
      </w:r>
    </w:p>
    <w:p w:rsidR="001458C7" w:rsidRDefault="001458C7" w:rsidP="001458C7">
      <w:r>
        <w:t>Card Payment Networks as Two-Sided Markets</w:t>
      </w:r>
    </w:p>
    <w:p w:rsidR="00AD7046" w:rsidRDefault="005339CD" w:rsidP="005339CD">
      <w:pPr>
        <w:pStyle w:val="Prrafodelista"/>
        <w:numPr>
          <w:ilvl w:val="0"/>
          <w:numId w:val="32"/>
        </w:numPr>
      </w:pPr>
      <w:r>
        <w:t>En el caso de una red de pago con tarjeta, la propia red (por ejemplo, Visa, MasterCard, Discover o American Express) constituye la plataforma. Los usuarios finales son minoristas y titulares de tarjetas individuales.</w:t>
      </w:r>
    </w:p>
    <w:p w:rsidR="00AD7046" w:rsidRDefault="005339CD" w:rsidP="005339CD">
      <w:pPr>
        <w:pStyle w:val="Prrafodelista"/>
        <w:numPr>
          <w:ilvl w:val="0"/>
          <w:numId w:val="32"/>
        </w:numPr>
      </w:pPr>
      <w:r>
        <w:t>Un cambio en la estructura de precios relativos altera la actividad total en la red.</w:t>
      </w:r>
    </w:p>
    <w:p w:rsidR="00AD7046" w:rsidRDefault="005339CD" w:rsidP="005339CD">
      <w:pPr>
        <w:pStyle w:val="Prrafodelista"/>
        <w:numPr>
          <w:ilvl w:val="0"/>
          <w:numId w:val="32"/>
        </w:numPr>
      </w:pPr>
      <w:r>
        <w:t>En la industria de tarjetas de pago bancarias, los valores que los usuarios finales asignan para acceder a una red de pago determinada dependen de la cantidad de otros usuarios finales. Por ejemplo, una persona que posee una tarjeta que le da derecho a acceder a los servicios de compensación de pagos de los beneficios de una red cuando otros optan por usar la misma tarjeta, porque esto aumenta la probabilidad de que los minoristas elijan aceptar la tarjeta de la red.</w:t>
      </w:r>
    </w:p>
    <w:p w:rsidR="00AD7046" w:rsidRDefault="005339CD" w:rsidP="005339CD">
      <w:pPr>
        <w:pStyle w:val="Prrafodelista"/>
        <w:numPr>
          <w:ilvl w:val="0"/>
          <w:numId w:val="32"/>
        </w:numPr>
      </w:pPr>
      <w:r>
        <w:t>¿Por qué los minoristas aceptan tarjetas de pago?</w:t>
      </w:r>
    </w:p>
    <w:p w:rsidR="00AD7046" w:rsidRDefault="005339CD" w:rsidP="005339CD">
      <w:pPr>
        <w:pStyle w:val="Prrafodelista"/>
        <w:numPr>
          <w:ilvl w:val="1"/>
          <w:numId w:val="32"/>
        </w:numPr>
      </w:pPr>
      <w:r>
        <w:t>Beneficios transaccionales, en forma de ventas que de otro modo no se realizarían, que se acumulan para el minorista.</w:t>
      </w:r>
    </w:p>
    <w:p w:rsidR="00AD7046" w:rsidRDefault="005339CD" w:rsidP="005339CD">
      <w:pPr>
        <w:pStyle w:val="Prrafodelista"/>
        <w:numPr>
          <w:ilvl w:val="1"/>
          <w:numId w:val="32"/>
        </w:numPr>
      </w:pPr>
      <w:r>
        <w:t>motiva la aceptación por parte de los minoristas de las tarjetas de crédito y débito por los cambios ascendentes en las demandas de productos que enfrentan los comerciantes individuales, lo que genera ventas incrementales.</w:t>
      </w:r>
    </w:p>
    <w:p w:rsidR="005339CD" w:rsidRDefault="005339CD" w:rsidP="005339CD">
      <w:pPr>
        <w:pStyle w:val="Prrafodelista"/>
        <w:numPr>
          <w:ilvl w:val="1"/>
          <w:numId w:val="32"/>
        </w:numPr>
      </w:pPr>
      <w:r>
        <w:t>los comerciantes que compiten entre sí aceptan tarjetas de crédito porque al hacerlo les permite cerrar las ventas actuales con consumidores sin liquidez en lugar de enfrentar la incertidumbre sobre las ventas futuras.</w:t>
      </w:r>
    </w:p>
    <w:p w:rsidR="001458C7" w:rsidRDefault="001458C7" w:rsidP="005339CD">
      <w:r>
        <w:t>Multiple Actors and Pricing Structures in Card Payment Networks</w:t>
      </w:r>
    </w:p>
    <w:p w:rsidR="00AD7046" w:rsidRDefault="005339CD" w:rsidP="00AD7046">
      <w:pPr>
        <w:pStyle w:val="Prrafodelista"/>
        <w:numPr>
          <w:ilvl w:val="0"/>
          <w:numId w:val="33"/>
        </w:numPr>
      </w:pPr>
      <w:r>
        <w:t xml:space="preserve">la forma en que se establecen las estructuras de tarifas de uso de una red de pago con tarjeta depende de si la red es una red propietaria, es decir, es propiedad y se opera como una "red cerrada" que maximiza los beneficios individuales, como en el caso de </w:t>
      </w:r>
      <w:bookmarkStart w:id="0" w:name="_GoBack"/>
      <w:bookmarkEnd w:id="0"/>
      <w:r>
        <w:t>American Express red de tarjetas, o una red cooperativa, es decir, propiedad y operada por una asociación de instituciones coordinadoras, como la “red abierta” de tarjetas bancarias Visa.</w:t>
      </w:r>
    </w:p>
    <w:p w:rsidR="00AD7046" w:rsidRDefault="005339CD" w:rsidP="00AD7046">
      <w:pPr>
        <w:pStyle w:val="Prrafodelista"/>
        <w:numPr>
          <w:ilvl w:val="0"/>
          <w:numId w:val="33"/>
        </w:numPr>
      </w:pPr>
      <w:r>
        <w:t>Para minimizar las complejidades, algunos estudios suponen que las redes de pago con tarjeta rivales procesan un volumen de transacciones que es arbitrariamente fijo o esencialmente predeterminado a través de una distribución exógenamente especificada de opciones de transacciones del consumidor.</w:t>
      </w:r>
    </w:p>
    <w:p w:rsidR="001458C7" w:rsidRDefault="005339CD" w:rsidP="00AD7046">
      <w:pPr>
        <w:pStyle w:val="Prrafodelista"/>
        <w:numPr>
          <w:ilvl w:val="0"/>
          <w:numId w:val="33"/>
        </w:numPr>
      </w:pPr>
      <w:r>
        <w:lastRenderedPageBreak/>
        <w:t>En ausencia de otras complicaciones de precios, como los recargos por compras con efectivo en lugar de tarjetas, la tarifa de intercambio que maximiza el bienestar social general nunca es más alta que el nivel de maximización de beneficios.</w:t>
      </w:r>
    </w:p>
    <w:p w:rsidR="00CD7014" w:rsidRPr="00CD7014" w:rsidRDefault="00CD7014" w:rsidP="00CD7014">
      <w:pPr>
        <w:rPr>
          <w:u w:val="single"/>
        </w:rPr>
      </w:pPr>
    </w:p>
    <w:p w:rsidR="00524315" w:rsidRPr="00524315" w:rsidRDefault="00524315" w:rsidP="00524315">
      <w:pPr>
        <w:rPr>
          <w:u w:val="single"/>
        </w:rPr>
      </w:pPr>
    </w:p>
    <w:sectPr w:rsidR="00524315" w:rsidRPr="00524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F69"/>
    <w:multiLevelType w:val="hybridMultilevel"/>
    <w:tmpl w:val="4B1E16F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84F72C4"/>
    <w:multiLevelType w:val="hybridMultilevel"/>
    <w:tmpl w:val="21CACB5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08CB71A1"/>
    <w:multiLevelType w:val="hybridMultilevel"/>
    <w:tmpl w:val="D6F06D4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nsid w:val="0F8212D1"/>
    <w:multiLevelType w:val="hybridMultilevel"/>
    <w:tmpl w:val="221CD9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11E70773"/>
    <w:multiLevelType w:val="hybridMultilevel"/>
    <w:tmpl w:val="E53846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7374BD6"/>
    <w:multiLevelType w:val="hybridMultilevel"/>
    <w:tmpl w:val="498E4B0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nsid w:val="1B553834"/>
    <w:multiLevelType w:val="hybridMultilevel"/>
    <w:tmpl w:val="D9BEDC5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287673DE"/>
    <w:multiLevelType w:val="hybridMultilevel"/>
    <w:tmpl w:val="CD5A77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2CEA3BD5"/>
    <w:multiLevelType w:val="hybridMultilevel"/>
    <w:tmpl w:val="341A375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F0A5D10"/>
    <w:multiLevelType w:val="hybridMultilevel"/>
    <w:tmpl w:val="0D886F3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30B971E0"/>
    <w:multiLevelType w:val="hybridMultilevel"/>
    <w:tmpl w:val="BD4EF0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31F66D8C"/>
    <w:multiLevelType w:val="hybridMultilevel"/>
    <w:tmpl w:val="C16A93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336155BC"/>
    <w:multiLevelType w:val="hybridMultilevel"/>
    <w:tmpl w:val="BCB04A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3C7E6BA6"/>
    <w:multiLevelType w:val="hybridMultilevel"/>
    <w:tmpl w:val="01F223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F3D3ED7"/>
    <w:multiLevelType w:val="hybridMultilevel"/>
    <w:tmpl w:val="D1DA17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43556626"/>
    <w:multiLevelType w:val="hybridMultilevel"/>
    <w:tmpl w:val="484871C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459D4F15"/>
    <w:multiLevelType w:val="hybridMultilevel"/>
    <w:tmpl w:val="309C2DA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45CE205B"/>
    <w:multiLevelType w:val="hybridMultilevel"/>
    <w:tmpl w:val="5290B188"/>
    <w:lvl w:ilvl="0" w:tplc="100A0001">
      <w:start w:val="1"/>
      <w:numFmt w:val="bullet"/>
      <w:lvlText w:val=""/>
      <w:lvlJc w:val="left"/>
      <w:pPr>
        <w:ind w:left="643" w:hanging="360"/>
      </w:pPr>
      <w:rPr>
        <w:rFonts w:ascii="Symbol" w:hAnsi="Symbol" w:hint="default"/>
      </w:rPr>
    </w:lvl>
    <w:lvl w:ilvl="1" w:tplc="100A0003">
      <w:start w:val="1"/>
      <w:numFmt w:val="bullet"/>
      <w:lvlText w:val="o"/>
      <w:lvlJc w:val="left"/>
      <w:pPr>
        <w:ind w:left="1363" w:hanging="360"/>
      </w:pPr>
      <w:rPr>
        <w:rFonts w:ascii="Courier New" w:hAnsi="Courier New" w:cs="Courier New" w:hint="default"/>
      </w:rPr>
    </w:lvl>
    <w:lvl w:ilvl="2" w:tplc="100A0005" w:tentative="1">
      <w:start w:val="1"/>
      <w:numFmt w:val="bullet"/>
      <w:lvlText w:val=""/>
      <w:lvlJc w:val="left"/>
      <w:pPr>
        <w:ind w:left="2083" w:hanging="360"/>
      </w:pPr>
      <w:rPr>
        <w:rFonts w:ascii="Wingdings" w:hAnsi="Wingdings" w:hint="default"/>
      </w:rPr>
    </w:lvl>
    <w:lvl w:ilvl="3" w:tplc="100A0001" w:tentative="1">
      <w:start w:val="1"/>
      <w:numFmt w:val="bullet"/>
      <w:lvlText w:val=""/>
      <w:lvlJc w:val="left"/>
      <w:pPr>
        <w:ind w:left="2803" w:hanging="360"/>
      </w:pPr>
      <w:rPr>
        <w:rFonts w:ascii="Symbol" w:hAnsi="Symbol" w:hint="default"/>
      </w:rPr>
    </w:lvl>
    <w:lvl w:ilvl="4" w:tplc="100A0003" w:tentative="1">
      <w:start w:val="1"/>
      <w:numFmt w:val="bullet"/>
      <w:lvlText w:val="o"/>
      <w:lvlJc w:val="left"/>
      <w:pPr>
        <w:ind w:left="3523" w:hanging="360"/>
      </w:pPr>
      <w:rPr>
        <w:rFonts w:ascii="Courier New" w:hAnsi="Courier New" w:cs="Courier New" w:hint="default"/>
      </w:rPr>
    </w:lvl>
    <w:lvl w:ilvl="5" w:tplc="100A0005" w:tentative="1">
      <w:start w:val="1"/>
      <w:numFmt w:val="bullet"/>
      <w:lvlText w:val=""/>
      <w:lvlJc w:val="left"/>
      <w:pPr>
        <w:ind w:left="4243" w:hanging="360"/>
      </w:pPr>
      <w:rPr>
        <w:rFonts w:ascii="Wingdings" w:hAnsi="Wingdings" w:hint="default"/>
      </w:rPr>
    </w:lvl>
    <w:lvl w:ilvl="6" w:tplc="100A0001" w:tentative="1">
      <w:start w:val="1"/>
      <w:numFmt w:val="bullet"/>
      <w:lvlText w:val=""/>
      <w:lvlJc w:val="left"/>
      <w:pPr>
        <w:ind w:left="4963" w:hanging="360"/>
      </w:pPr>
      <w:rPr>
        <w:rFonts w:ascii="Symbol" w:hAnsi="Symbol" w:hint="default"/>
      </w:rPr>
    </w:lvl>
    <w:lvl w:ilvl="7" w:tplc="100A0003" w:tentative="1">
      <w:start w:val="1"/>
      <w:numFmt w:val="bullet"/>
      <w:lvlText w:val="o"/>
      <w:lvlJc w:val="left"/>
      <w:pPr>
        <w:ind w:left="5683" w:hanging="360"/>
      </w:pPr>
      <w:rPr>
        <w:rFonts w:ascii="Courier New" w:hAnsi="Courier New" w:cs="Courier New" w:hint="default"/>
      </w:rPr>
    </w:lvl>
    <w:lvl w:ilvl="8" w:tplc="100A0005" w:tentative="1">
      <w:start w:val="1"/>
      <w:numFmt w:val="bullet"/>
      <w:lvlText w:val=""/>
      <w:lvlJc w:val="left"/>
      <w:pPr>
        <w:ind w:left="6403" w:hanging="360"/>
      </w:pPr>
      <w:rPr>
        <w:rFonts w:ascii="Wingdings" w:hAnsi="Wingdings" w:hint="default"/>
      </w:rPr>
    </w:lvl>
  </w:abstractNum>
  <w:abstractNum w:abstractNumId="18">
    <w:nsid w:val="4C8A07CC"/>
    <w:multiLevelType w:val="hybridMultilevel"/>
    <w:tmpl w:val="8D14C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4D0C7989"/>
    <w:multiLevelType w:val="hybridMultilevel"/>
    <w:tmpl w:val="8FCC19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4D770753"/>
    <w:multiLevelType w:val="hybridMultilevel"/>
    <w:tmpl w:val="1AA8F2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09D5F28"/>
    <w:multiLevelType w:val="hybridMultilevel"/>
    <w:tmpl w:val="ABDCBF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5224484"/>
    <w:multiLevelType w:val="hybridMultilevel"/>
    <w:tmpl w:val="7F7AFD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554E57D2"/>
    <w:multiLevelType w:val="hybridMultilevel"/>
    <w:tmpl w:val="B84258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55C4123C"/>
    <w:multiLevelType w:val="hybridMultilevel"/>
    <w:tmpl w:val="5EBE38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948323B"/>
    <w:multiLevelType w:val="hybridMultilevel"/>
    <w:tmpl w:val="893660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6D581930"/>
    <w:multiLevelType w:val="hybridMultilevel"/>
    <w:tmpl w:val="442A67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6EAA4EC1"/>
    <w:multiLevelType w:val="hybridMultilevel"/>
    <w:tmpl w:val="FE5242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71D003C3"/>
    <w:multiLevelType w:val="hybridMultilevel"/>
    <w:tmpl w:val="E20CA0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72491A57"/>
    <w:multiLevelType w:val="hybridMultilevel"/>
    <w:tmpl w:val="4C9A28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4070374"/>
    <w:multiLevelType w:val="hybridMultilevel"/>
    <w:tmpl w:val="44AAB01A"/>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1">
    <w:nsid w:val="7D517239"/>
    <w:multiLevelType w:val="hybridMultilevel"/>
    <w:tmpl w:val="A24010F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2">
    <w:nsid w:val="7EC17386"/>
    <w:multiLevelType w:val="hybridMultilevel"/>
    <w:tmpl w:val="A3CC4D9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5"/>
  </w:num>
  <w:num w:numId="4">
    <w:abstractNumId w:val="24"/>
  </w:num>
  <w:num w:numId="5">
    <w:abstractNumId w:val="26"/>
  </w:num>
  <w:num w:numId="6">
    <w:abstractNumId w:val="1"/>
  </w:num>
  <w:num w:numId="7">
    <w:abstractNumId w:val="5"/>
  </w:num>
  <w:num w:numId="8">
    <w:abstractNumId w:val="3"/>
  </w:num>
  <w:num w:numId="9">
    <w:abstractNumId w:val="23"/>
  </w:num>
  <w:num w:numId="10">
    <w:abstractNumId w:val="18"/>
  </w:num>
  <w:num w:numId="11">
    <w:abstractNumId w:val="2"/>
  </w:num>
  <w:num w:numId="12">
    <w:abstractNumId w:val="11"/>
  </w:num>
  <w:num w:numId="13">
    <w:abstractNumId w:val="21"/>
  </w:num>
  <w:num w:numId="14">
    <w:abstractNumId w:val="16"/>
  </w:num>
  <w:num w:numId="15">
    <w:abstractNumId w:val="8"/>
  </w:num>
  <w:num w:numId="16">
    <w:abstractNumId w:val="17"/>
  </w:num>
  <w:num w:numId="17">
    <w:abstractNumId w:val="27"/>
  </w:num>
  <w:num w:numId="18">
    <w:abstractNumId w:val="14"/>
  </w:num>
  <w:num w:numId="19">
    <w:abstractNumId w:val="7"/>
  </w:num>
  <w:num w:numId="20">
    <w:abstractNumId w:val="12"/>
  </w:num>
  <w:num w:numId="21">
    <w:abstractNumId w:val="0"/>
  </w:num>
  <w:num w:numId="22">
    <w:abstractNumId w:val="6"/>
  </w:num>
  <w:num w:numId="23">
    <w:abstractNumId w:val="20"/>
  </w:num>
  <w:num w:numId="24">
    <w:abstractNumId w:val="4"/>
  </w:num>
  <w:num w:numId="25">
    <w:abstractNumId w:val="28"/>
  </w:num>
  <w:num w:numId="26">
    <w:abstractNumId w:val="29"/>
  </w:num>
  <w:num w:numId="27">
    <w:abstractNumId w:val="13"/>
  </w:num>
  <w:num w:numId="28">
    <w:abstractNumId w:val="10"/>
  </w:num>
  <w:num w:numId="29">
    <w:abstractNumId w:val="19"/>
  </w:num>
  <w:num w:numId="30">
    <w:abstractNumId w:val="9"/>
  </w:num>
  <w:num w:numId="31">
    <w:abstractNumId w:val="22"/>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35"/>
    <w:rsid w:val="001458C7"/>
    <w:rsid w:val="001C52D3"/>
    <w:rsid w:val="002B75C7"/>
    <w:rsid w:val="00460CB4"/>
    <w:rsid w:val="004A5155"/>
    <w:rsid w:val="00524315"/>
    <w:rsid w:val="005339CD"/>
    <w:rsid w:val="006606E7"/>
    <w:rsid w:val="00696305"/>
    <w:rsid w:val="00AD7046"/>
    <w:rsid w:val="00CC36C1"/>
    <w:rsid w:val="00CD7014"/>
    <w:rsid w:val="00D5659A"/>
    <w:rsid w:val="00D73535"/>
    <w:rsid w:val="00DE1400"/>
    <w:rsid w:val="00E862D6"/>
    <w:rsid w:val="00FC3B62"/>
    <w:rsid w:val="00FC63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66E59-FCE8-47A2-A036-2EF21E14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3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4136</Words>
  <Characters>22752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2019-06-11T14:33:00Z</dcterms:created>
  <dcterms:modified xsi:type="dcterms:W3CDTF">2019-06-11T21:37:00Z</dcterms:modified>
</cp:coreProperties>
</file>