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591A9" w14:textId="3AB83577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357060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4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562B1B02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ED6C66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</w:t>
      </w:r>
      <w:r w:rsidR="00357060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escriptive statistics</w:t>
      </w:r>
    </w:p>
    <w:p w14:paraId="0316819B" w14:textId="19B5047C" w:rsidR="008A45B4" w:rsidRDefault="00091847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1.1. Summarize the dataset. Specifically, create a table for the cont.csv dataset to show the means and standard deviations of the continuous variables and the counts and percentages for each category of the categorical variables. Write 2-3 sentences to report and interpret these statistics. (2 point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s</w:t>
      </w: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)</w:t>
      </w:r>
    </w:p>
    <w:p w14:paraId="426A0AF1" w14:textId="3147B4D9" w:rsidR="009E7574" w:rsidRPr="009E7574" w:rsidRDefault="009E7574" w:rsidP="008A45B4">
      <w:pPr>
        <w:shd w:val="clear" w:color="auto" w:fill="FFFFFF"/>
        <w:spacing w:after="15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zh-CN"/>
        </w:rPr>
      </w:pPr>
      <w:r w:rsidRPr="009E757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zh-CN"/>
        </w:rPr>
        <w:t>Table 1</w:t>
      </w:r>
    </w:p>
    <w:p w14:paraId="22F43B99" w14:textId="7154EE19" w:rsidR="009E7574" w:rsidRDefault="009E7574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Descriptive statistics on participants in the NCRECE Teacher Professional Development Study 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5"/>
        <w:gridCol w:w="1835"/>
      </w:tblGrid>
      <w:tr w:rsidR="008A45B4" w:rsidRPr="008A45B4" w14:paraId="770A0D29" w14:textId="77777777" w:rsidTr="00143679">
        <w:trPr>
          <w:trHeight w:val="342"/>
          <w:jc w:val="center"/>
        </w:trPr>
        <w:tc>
          <w:tcPr>
            <w:tcW w:w="2195" w:type="dxa"/>
            <w:tcBorders>
              <w:top w:val="double" w:sz="4" w:space="0" w:color="auto"/>
              <w:bottom w:val="single" w:sz="4" w:space="0" w:color="auto"/>
            </w:tcBorders>
          </w:tcPr>
          <w:p w14:paraId="061FFC4C" w14:textId="235F3695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</w:p>
        </w:tc>
        <w:tc>
          <w:tcPr>
            <w:tcW w:w="18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41EA76F" w14:textId="6536462B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375689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zh-CN"/>
              </w:rPr>
              <w:t>N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= 126</w:t>
            </w:r>
          </w:p>
        </w:tc>
      </w:tr>
      <w:tr w:rsidR="008A45B4" w:rsidRPr="008A45B4" w14:paraId="0DF55D1F" w14:textId="77777777" w:rsidTr="00143679">
        <w:trPr>
          <w:trHeight w:val="342"/>
          <w:jc w:val="center"/>
        </w:trPr>
        <w:tc>
          <w:tcPr>
            <w:tcW w:w="2195" w:type="dxa"/>
          </w:tcPr>
          <w:p w14:paraId="41E2AAD6" w14:textId="57BB788F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Control</w:t>
            </w:r>
          </w:p>
        </w:tc>
        <w:tc>
          <w:tcPr>
            <w:tcW w:w="1835" w:type="dxa"/>
            <w:vAlign w:val="center"/>
          </w:tcPr>
          <w:p w14:paraId="2FC0AE8E" w14:textId="76724DB0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60 (4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7.6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%)</w:t>
            </w:r>
          </w:p>
        </w:tc>
      </w:tr>
      <w:tr w:rsidR="008A45B4" w:rsidRPr="008A45B4" w14:paraId="6DC3E823" w14:textId="77777777" w:rsidTr="00143679">
        <w:trPr>
          <w:trHeight w:val="342"/>
          <w:jc w:val="center"/>
        </w:trPr>
        <w:tc>
          <w:tcPr>
            <w:tcW w:w="2195" w:type="dxa"/>
            <w:tcBorders>
              <w:bottom w:val="single" w:sz="4" w:space="0" w:color="auto"/>
            </w:tcBorders>
          </w:tcPr>
          <w:p w14:paraId="19023872" w14:textId="77898036" w:rsidR="008A45B4" w:rsidRPr="008A45B4" w:rsidRDefault="008A45B4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Treatment</w:t>
            </w:r>
          </w:p>
        </w:tc>
        <w:tc>
          <w:tcPr>
            <w:tcW w:w="1835" w:type="dxa"/>
            <w:tcBorders>
              <w:bottom w:val="single" w:sz="4" w:space="0" w:color="auto"/>
            </w:tcBorders>
            <w:vAlign w:val="center"/>
          </w:tcPr>
          <w:p w14:paraId="053C1A26" w14:textId="53F19873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66 (52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.4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%)</w:t>
            </w:r>
          </w:p>
        </w:tc>
      </w:tr>
      <w:tr w:rsidR="008A45B4" w:rsidRPr="008A45B4" w14:paraId="319E0D80" w14:textId="77777777" w:rsidTr="00143679">
        <w:trPr>
          <w:trHeight w:val="342"/>
          <w:jc w:val="center"/>
        </w:trPr>
        <w:tc>
          <w:tcPr>
            <w:tcW w:w="2195" w:type="dxa"/>
            <w:tcBorders>
              <w:top w:val="single" w:sz="4" w:space="0" w:color="auto"/>
              <w:bottom w:val="nil"/>
            </w:tcBorders>
          </w:tcPr>
          <w:p w14:paraId="0FAD79BC" w14:textId="07BA3D33" w:rsidR="008A45B4" w:rsidRPr="008A45B4" w:rsidRDefault="00143679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C</w:t>
            </w:r>
            <w:r w:rsidR="008A45B4"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oursework</w:t>
            </w:r>
          </w:p>
        </w:tc>
        <w:tc>
          <w:tcPr>
            <w:tcW w:w="1835" w:type="dxa"/>
            <w:tcBorders>
              <w:top w:val="single" w:sz="4" w:space="0" w:color="auto"/>
              <w:bottom w:val="nil"/>
            </w:tcBorders>
            <w:vAlign w:val="center"/>
          </w:tcPr>
          <w:p w14:paraId="0D23CDE2" w14:textId="77777777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11.7 (3.5)</w:t>
            </w:r>
          </w:p>
        </w:tc>
      </w:tr>
      <w:tr w:rsidR="008A45B4" w:rsidRPr="008A45B4" w14:paraId="6F234865" w14:textId="77777777" w:rsidTr="00143679">
        <w:trPr>
          <w:trHeight w:val="342"/>
          <w:jc w:val="center"/>
        </w:trPr>
        <w:tc>
          <w:tcPr>
            <w:tcW w:w="2195" w:type="dxa"/>
            <w:tcBorders>
              <w:top w:val="nil"/>
              <w:bottom w:val="double" w:sz="4" w:space="0" w:color="auto"/>
            </w:tcBorders>
          </w:tcPr>
          <w:p w14:paraId="1778BC66" w14:textId="6FC74FB7" w:rsidR="008A45B4" w:rsidRPr="008A45B4" w:rsidRDefault="00143679" w:rsidP="0010525D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V</w:t>
            </w:r>
            <w:r w:rsidR="008A45B4"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ocabulary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score</w:t>
            </w:r>
          </w:p>
        </w:tc>
        <w:tc>
          <w:tcPr>
            <w:tcW w:w="1835" w:type="dxa"/>
            <w:tcBorders>
              <w:top w:val="nil"/>
              <w:bottom w:val="double" w:sz="4" w:space="0" w:color="auto"/>
            </w:tcBorders>
            <w:vAlign w:val="center"/>
          </w:tcPr>
          <w:p w14:paraId="0DE040D1" w14:textId="32192426" w:rsidR="008A45B4" w:rsidRPr="008A45B4" w:rsidRDefault="008A45B4" w:rsidP="00143679">
            <w:pPr>
              <w:spacing w:after="150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88</w:t>
            </w:r>
            <w:r w:rsid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.1 (9.6</w:t>
            </w:r>
            <w:r w:rsidRPr="008A45B4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>)</w:t>
            </w:r>
          </w:p>
        </w:tc>
      </w:tr>
      <w:tr w:rsidR="00143679" w:rsidRPr="008A45B4" w14:paraId="485AA856" w14:textId="77777777" w:rsidTr="00143679">
        <w:trPr>
          <w:trHeight w:val="342"/>
          <w:jc w:val="center"/>
        </w:trPr>
        <w:tc>
          <w:tcPr>
            <w:tcW w:w="403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14:paraId="7A7A7EAD" w14:textId="1E0F5141" w:rsidR="00143679" w:rsidRPr="008A45B4" w:rsidRDefault="00143679" w:rsidP="00143679">
            <w:pPr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</w:pPr>
            <w:r w:rsidRPr="00143679">
              <w:rPr>
                <w:rFonts w:ascii="Helvetica" w:eastAsia="Times New Roman" w:hAnsi="Helvetica" w:cs="Helvetica"/>
                <w:i/>
                <w:color w:val="333333"/>
                <w:sz w:val="21"/>
                <w:szCs w:val="21"/>
                <w:lang w:eastAsia="zh-CN"/>
              </w:rPr>
              <w:t>Notes: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Top</w:t>
            </w:r>
            <w:r w:rsidRPr="0014367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zh-CN"/>
              </w:rPr>
              <w:t xml:space="preserve"> two rows report counts and proportions in parentheses. Bottom two rows report means and standard deviations in parentheses.</w:t>
            </w:r>
          </w:p>
        </w:tc>
      </w:tr>
    </w:tbl>
    <w:p w14:paraId="4332E12C" w14:textId="3551BBE9" w:rsidR="00091847" w:rsidRPr="00143679" w:rsidRDefault="00143679" w:rsidP="00143679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There are 1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26 teacher-level observations in the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data; none of the variables have any missing 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value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s.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</w:t>
      </w:r>
      <w:r w:rsidR="009E7574" w:rsidRPr="009E7574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As I show in Table 1, 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60 teachers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(47.6 percent) were in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the control group and 66 (52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.4 percent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were </w:t>
      </w:r>
      <w:r w:rsidR="005A6572" w:rsidRPr="00143679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in the treatment group.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On average, teachers attended </w:t>
      </w:r>
      <w:r w:rsidR="005A6572" w:rsidRPr="005A6572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11.7 sessions of coursework with a standard dev</w:t>
      </w:r>
      <w:r w:rsid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iation of 3.5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sessions, </w:t>
      </w:r>
      <w:r w:rsid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and their 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students’ </w:t>
      </w:r>
      <w:r w:rsid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average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vocabulary score was 88.1, with a teacher-level standard deviation of 9.6 points.</w:t>
      </w:r>
    </w:p>
    <w:p w14:paraId="09A0B73E" w14:textId="77777777" w:rsidR="00091847" w:rsidRPr="00091847" w:rsidRDefault="00091847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1.2 Create a plot (label the x and y axis) to visualize the relationship between the variable </w:t>
      </w:r>
      <w:r w:rsidRPr="00091847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VOCABULARY</w:t>
      </w: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and </w:t>
      </w:r>
      <w:r w:rsidRPr="00091847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COURSEWORK</w:t>
      </w: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. Include a line of best fit on this display. (2 points)</w:t>
      </w:r>
    </w:p>
    <w:p w14:paraId="75A27014" w14:textId="07C10950" w:rsidR="00091847" w:rsidRDefault="00143679" w:rsidP="000D4AFB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91DE3FB" wp14:editId="03B1E104">
            <wp:extent cx="3508744" cy="24951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vari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24" cy="250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F94A" w14:textId="3D4069AD" w:rsidR="00760A5A" w:rsidRPr="00760A5A" w:rsidRDefault="00760A5A" w:rsidP="000D4AFB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760A5A">
        <w:rPr>
          <w:rFonts w:ascii="Helvetica" w:eastAsia="Times New Roman" w:hAnsi="Helvetica" w:cs="Helvetica"/>
          <w:b/>
          <w:i/>
          <w:color w:val="2E74B5" w:themeColor="accent5" w:themeShade="BF"/>
          <w:sz w:val="21"/>
          <w:szCs w:val="21"/>
          <w:lang w:eastAsia="zh-CN"/>
        </w:rPr>
        <w:t>Figure 1.</w:t>
      </w:r>
      <w:r w:rsidRP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Relationship between teacher-level average student vocabulary scores on the PPVT-3 and number of professional development sessions attended</w:t>
      </w:r>
    </w:p>
    <w:p w14:paraId="73B2B60F" w14:textId="6B22ED2F" w:rsidR="00091847" w:rsidRPr="00091847" w:rsidRDefault="00091847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lastRenderedPageBreak/>
        <w:t>1.3 Write one sentence to interpret this visualized relationship. (1 point)</w:t>
      </w:r>
    </w:p>
    <w:p w14:paraId="29FF54F6" w14:textId="6BDC0CF5" w:rsidR="00091847" w:rsidRPr="00760A5A" w:rsidRDefault="00760A5A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In Figure 1, on average, it appears that teachers who attended more course sessions have students who scored higher on the PPVT-3 vocabulary test, though there is substantial variation in students’ scores at all levels of </w:t>
      </w:r>
      <w:proofErr w:type="spellStart"/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coursetaking</w:t>
      </w:r>
      <w:proofErr w:type="spellEnd"/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.</w:t>
      </w:r>
    </w:p>
    <w:p w14:paraId="0F5E1233" w14:textId="022D448E" w:rsidR="00091847" w:rsidRDefault="00091847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1.4 Can you conclude whether teachers who attended more coursework have higher student score? Why or why not? (1 point)</w:t>
      </w:r>
    </w:p>
    <w:p w14:paraId="1DAB9A3C" w14:textId="36478884" w:rsidR="00091847" w:rsidRPr="00760A5A" w:rsidRDefault="00760A5A" w:rsidP="00091847">
      <w:pPr>
        <w:shd w:val="clear" w:color="auto" w:fill="FFFFFF"/>
        <w:spacing w:after="150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No, I cannot conclude that teachers who attended more coursework had higher student test scores because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the slightly positive relationship in my sample could be due to random sampling idiosyncrasy, and I am not able to conclude that this is statistically different from zero.</w:t>
      </w:r>
      <w:r w:rsidRP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</w:t>
      </w:r>
    </w:p>
    <w:p w14:paraId="509C1005" w14:textId="5B48AE70" w:rsidR="000D72BA" w:rsidRPr="008A45B4" w:rsidRDefault="000D72BA" w:rsidP="008A45B4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</w:p>
    <w:p w14:paraId="7BC5BFBA" w14:textId="62B4C69C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2. </w:t>
      </w:r>
      <w:r w:rsidR="00091847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Research question </w:t>
      </w:r>
    </w:p>
    <w:p w14:paraId="0182ACA5" w14:textId="77777777" w:rsidR="00091847" w:rsidRPr="00091847" w:rsidRDefault="00091847" w:rsidP="0009184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 w:rsidRPr="00091847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2.1. Write your null hypothesis about the relationship between coursework dosage and teachers’ students’ average vocabulary scores. (1 point)</w:t>
      </w:r>
    </w:p>
    <w:p w14:paraId="23B2B175" w14:textId="68391D12" w:rsidR="00091847" w:rsidRDefault="00760A5A" w:rsidP="0009184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There is no relationship between coursework dosage and teachers’ students’ average vocabulary scores, on average in the population.</w:t>
      </w:r>
    </w:p>
    <w:p w14:paraId="6A43324C" w14:textId="33164BA1" w:rsidR="00091847" w:rsidRDefault="00091847" w:rsidP="00091847">
      <w:pPr>
        <w:shd w:val="clear" w:color="auto" w:fill="FFFFFF"/>
        <w:spacing w:before="100" w:beforeAutospacing="1" w:after="100" w:afterAutospacing="1"/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2.2 Formally test your hypothesis using an Ordinary Least Squares estimation strategy. Conduct the test and report your results in a formatted table.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(2 points)</w:t>
      </w:r>
    </w:p>
    <w:p w14:paraId="11583AF6" w14:textId="18681A34" w:rsidR="009E7574" w:rsidRPr="007E3490" w:rsidRDefault="009E7574" w:rsidP="00091847">
      <w:pPr>
        <w:shd w:val="clear" w:color="auto" w:fill="FFFFFF"/>
        <w:spacing w:before="100" w:beforeAutospacing="1" w:after="100" w:afterAutospacing="1"/>
        <w:rPr>
          <w:rStyle w:val="Strong"/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</w:pPr>
      <w:r w:rsidRPr="007E3490">
        <w:rPr>
          <w:rStyle w:val="Strong"/>
          <w:rFonts w:ascii="Helvetica" w:hAnsi="Helvetica" w:cs="Helvetica"/>
          <w:color w:val="4472C4" w:themeColor="accent1"/>
          <w:sz w:val="21"/>
          <w:szCs w:val="21"/>
          <w:shd w:val="clear" w:color="auto" w:fill="FFFFFF"/>
        </w:rPr>
        <w:t>Table 2</w:t>
      </w:r>
    </w:p>
    <w:p w14:paraId="672F17D1" w14:textId="41590861" w:rsidR="009E7574" w:rsidRPr="007E3490" w:rsidRDefault="009E7574" w:rsidP="00091847">
      <w:pPr>
        <w:shd w:val="clear" w:color="auto" w:fill="FFFFFF"/>
        <w:spacing w:before="100" w:beforeAutospacing="1" w:after="100" w:afterAutospacing="1"/>
        <w:rPr>
          <w:rStyle w:val="Strong"/>
          <w:rFonts w:ascii="Helvetica" w:hAnsi="Helvetica" w:cs="Helvetica"/>
          <w:b w:val="0"/>
          <w:bCs w:val="0"/>
          <w:color w:val="4472C4" w:themeColor="accent1"/>
          <w:sz w:val="21"/>
          <w:szCs w:val="21"/>
          <w:shd w:val="clear" w:color="auto" w:fill="FFFFFF"/>
        </w:rPr>
      </w:pPr>
      <w:r w:rsidRPr="007E3490">
        <w:rPr>
          <w:rStyle w:val="Strong"/>
          <w:rFonts w:ascii="Helvetica" w:hAnsi="Helvetica" w:cs="Helvetica"/>
          <w:b w:val="0"/>
          <w:bCs w:val="0"/>
          <w:color w:val="4472C4" w:themeColor="accent1"/>
          <w:sz w:val="21"/>
          <w:szCs w:val="21"/>
          <w:shd w:val="clear" w:color="auto" w:fill="FFFFFF"/>
        </w:rPr>
        <w:t>Ordinary Least Squares estimates of the relationship between teacher coursework attendance and</w:t>
      </w:r>
      <w:r w:rsidRPr="007E3490">
        <w:rPr>
          <w:b/>
          <w:bCs/>
          <w:color w:val="4472C4" w:themeColor="accent1"/>
        </w:rPr>
        <w:t xml:space="preserve"> </w:t>
      </w:r>
      <w:r w:rsidRPr="007E3490">
        <w:rPr>
          <w:rStyle w:val="Strong"/>
          <w:rFonts w:ascii="Helvetica" w:hAnsi="Helvetica" w:cs="Helvetica"/>
          <w:b w:val="0"/>
          <w:bCs w:val="0"/>
          <w:color w:val="4472C4" w:themeColor="accent1"/>
          <w:sz w:val="21"/>
          <w:szCs w:val="21"/>
          <w:shd w:val="clear" w:color="auto" w:fill="FFFFFF"/>
        </w:rPr>
        <w:t>teacher-level average student PPVT-3 vocabulary scores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81"/>
        <w:gridCol w:w="2581"/>
      </w:tblGrid>
      <w:tr w:rsidR="007E3490" w:rsidRPr="007E3490" w14:paraId="1CBCAD0D" w14:textId="77777777" w:rsidTr="003C5EA6">
        <w:trPr>
          <w:trHeight w:val="214"/>
          <w:tblHeader/>
          <w:jc w:val="center"/>
        </w:trPr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C85DD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</w:p>
        </w:tc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1DD1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Model 1</w:t>
            </w:r>
          </w:p>
        </w:tc>
      </w:tr>
      <w:tr w:rsidR="007E3490" w:rsidRPr="007E3490" w14:paraId="2CED9E8B" w14:textId="77777777" w:rsidTr="003C5EA6">
        <w:trPr>
          <w:trHeight w:val="317"/>
          <w:jc w:val="center"/>
        </w:trPr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78233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(Intercept)</w:t>
            </w:r>
          </w:p>
        </w:tc>
        <w:tc>
          <w:tcPr>
            <w:tcW w:w="258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A9408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82.520***</w:t>
            </w:r>
          </w:p>
        </w:tc>
      </w:tr>
      <w:tr w:rsidR="007E3490" w:rsidRPr="007E3490" w14:paraId="619A9F7A" w14:textId="77777777" w:rsidTr="003C5EA6">
        <w:trPr>
          <w:trHeight w:val="206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17B5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25319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(2.990)</w:t>
            </w:r>
          </w:p>
        </w:tc>
      </w:tr>
      <w:tr w:rsidR="007E3490" w:rsidRPr="007E3490" w14:paraId="4F93B369" w14:textId="77777777" w:rsidTr="003C5EA6">
        <w:trPr>
          <w:trHeight w:val="762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4EA69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Coursework Attendance (sessions)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15E85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0.479+</w:t>
            </w:r>
          </w:p>
        </w:tc>
      </w:tr>
      <w:tr w:rsidR="007E3490" w:rsidRPr="007E3490" w14:paraId="09764BA4" w14:textId="77777777" w:rsidTr="003C5EA6">
        <w:trPr>
          <w:trHeight w:val="214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AB98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1D5DD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(0.245)</w:t>
            </w:r>
          </w:p>
        </w:tc>
      </w:tr>
      <w:tr w:rsidR="007E3490" w:rsidRPr="007E3490" w14:paraId="1ED594BB" w14:textId="77777777" w:rsidTr="003C5EA6">
        <w:trPr>
          <w:trHeight w:val="310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08994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proofErr w:type="spellStart"/>
            <w:r w:rsidRPr="007E3490">
              <w:rPr>
                <w:rFonts w:ascii="Arial" w:eastAsia="Arial" w:hAnsi="Arial" w:cs="Arial"/>
                <w:color w:val="4472C4" w:themeColor="accent1"/>
              </w:rPr>
              <w:t>Num.Obs</w:t>
            </w:r>
            <w:proofErr w:type="spellEnd"/>
            <w:r w:rsidRPr="007E3490">
              <w:rPr>
                <w:rFonts w:ascii="Arial" w:eastAsia="Arial" w:hAnsi="Arial" w:cs="Arial"/>
                <w:color w:val="4472C4" w:themeColor="accent1"/>
              </w:rPr>
              <w:t>.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AB2AE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126</w:t>
            </w:r>
          </w:p>
        </w:tc>
      </w:tr>
      <w:tr w:rsidR="007E3490" w:rsidRPr="007E3490" w14:paraId="03D4A093" w14:textId="77777777" w:rsidTr="003C5EA6">
        <w:trPr>
          <w:trHeight w:val="199"/>
          <w:jc w:val="center"/>
        </w:trPr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8368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R2</w:t>
            </w:r>
          </w:p>
        </w:tc>
        <w:tc>
          <w:tcPr>
            <w:tcW w:w="258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EC78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0.030</w:t>
            </w:r>
          </w:p>
        </w:tc>
      </w:tr>
      <w:tr w:rsidR="007E3490" w:rsidRPr="007E3490" w14:paraId="7AECB63C" w14:textId="77777777" w:rsidTr="003C5EA6">
        <w:trPr>
          <w:trHeight w:val="539"/>
          <w:jc w:val="center"/>
        </w:trPr>
        <w:tc>
          <w:tcPr>
            <w:tcW w:w="5162" w:type="dxa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DDE1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Cells represent coefficients and standard errors in parentheses.</w:t>
            </w:r>
          </w:p>
        </w:tc>
      </w:tr>
      <w:tr w:rsidR="007E3490" w:rsidRPr="007E3490" w14:paraId="4430D22E" w14:textId="77777777" w:rsidTr="003C5EA6">
        <w:trPr>
          <w:trHeight w:val="420"/>
          <w:jc w:val="center"/>
        </w:trPr>
        <w:tc>
          <w:tcPr>
            <w:tcW w:w="5162" w:type="dxa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81029" w14:textId="77777777" w:rsidR="000D4AFB" w:rsidRPr="007E3490" w:rsidRDefault="000D4AFB" w:rsidP="003C5EA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color w:val="4472C4" w:themeColor="accent1"/>
              </w:rPr>
            </w:pPr>
            <w:r w:rsidRPr="007E3490">
              <w:rPr>
                <w:rFonts w:ascii="Arial" w:eastAsia="Arial" w:hAnsi="Arial" w:cs="Arial"/>
                <w:color w:val="4472C4" w:themeColor="accent1"/>
              </w:rPr>
              <w:t>+ p &lt; 0.1, * p &lt; 0.05, ** p &lt; 0.01, *** p &lt; 0.001</w:t>
            </w:r>
          </w:p>
        </w:tc>
      </w:tr>
    </w:tbl>
    <w:p w14:paraId="6D7E9112" w14:textId="77777777" w:rsidR="00697DC9" w:rsidRPr="007E3490" w:rsidRDefault="00697DC9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72C4" w:themeColor="accent1"/>
          <w:sz w:val="21"/>
          <w:szCs w:val="21"/>
        </w:rPr>
      </w:pPr>
    </w:p>
    <w:p w14:paraId="04F761CA" w14:textId="77777777" w:rsidR="009E7574" w:rsidRDefault="009E7574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8B447D8" w14:textId="0FA340BE" w:rsidR="00091847" w:rsidRDefault="00091847" w:rsidP="00091847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2.3 Substantively interpret the results of your test.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(2 point)</w:t>
      </w:r>
    </w:p>
    <w:p w14:paraId="41F019B0" w14:textId="24936232" w:rsidR="000D4AFB" w:rsidRPr="00091847" w:rsidRDefault="000D4AFB" w:rsidP="000D4AFB">
      <w:pPr>
        <w:rPr>
          <w:color w:val="2E74B5" w:themeColor="accent5" w:themeShade="BF"/>
        </w:rPr>
      </w:pPr>
      <w:r w:rsidRPr="00091847">
        <w:rPr>
          <w:color w:val="2E74B5" w:themeColor="accent5" w:themeShade="BF"/>
        </w:rPr>
        <w:t>On average,</w:t>
      </w:r>
      <w:r w:rsidR="00760A5A">
        <w:rPr>
          <w:color w:val="2E74B5" w:themeColor="accent5" w:themeShade="BF"/>
        </w:rPr>
        <w:t xml:space="preserve"> students whose teachers attended one more course session scored 0.479 points higher on the PPVT-3</w:t>
      </w:r>
      <w:r w:rsidR="009E7574">
        <w:rPr>
          <w:color w:val="2E74B5" w:themeColor="accent5" w:themeShade="BF"/>
        </w:rPr>
        <w:t xml:space="preserve"> (see Table 2)</w:t>
      </w:r>
      <w:r w:rsidR="00760A5A">
        <w:rPr>
          <w:color w:val="2E74B5" w:themeColor="accent5" w:themeShade="BF"/>
        </w:rPr>
        <w:t xml:space="preserve">. However, I pre-established an alpha-threshold of 0.05, and the </w:t>
      </w:r>
      <w:r w:rsidR="00760A5A" w:rsidRPr="00760A5A">
        <w:rPr>
          <w:i/>
          <w:color w:val="2E74B5" w:themeColor="accent5" w:themeShade="BF"/>
        </w:rPr>
        <w:t>p</w:t>
      </w:r>
      <w:r w:rsidR="00760A5A">
        <w:rPr>
          <w:color w:val="2E74B5" w:themeColor="accent5" w:themeShade="BF"/>
        </w:rPr>
        <w:t>-value on my estimate for coursework attendance exceeds this threshold. Thus,</w:t>
      </w:r>
      <w:r w:rsidRPr="00091847">
        <w:rPr>
          <w:color w:val="2E74B5" w:themeColor="accent5" w:themeShade="BF"/>
        </w:rPr>
        <w:t xml:space="preserve"> I </w:t>
      </w:r>
      <w:r w:rsid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fail </w:t>
      </w:r>
      <w:r w:rsidRP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to reject the null hypothesis</w:t>
      </w:r>
      <w:r w:rsidR="00760A5A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that there is no relationship between coursework and vocabulary scores, on average in the population</w:t>
      </w:r>
      <w:r w:rsidRPr="00091847"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.</w:t>
      </w:r>
    </w:p>
    <w:p w14:paraId="124D7E39" w14:textId="77777777" w:rsidR="000D4AFB" w:rsidRDefault="000D4AFB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734F6DF" w14:textId="632DCF0D" w:rsidR="00091847" w:rsidRDefault="00091847" w:rsidP="0009184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2.4. What statistical assumption(s) have you made in modeling the relationship between </w:t>
      </w:r>
      <w:r w:rsidRPr="00091847">
        <w:rPr>
          <w:rStyle w:val="mi"/>
          <w:rFonts w:ascii="MathJax_Math-italic" w:hAnsi="MathJax_Math-italic" w:cs="Helvetica"/>
          <w:i/>
          <w:color w:val="333333"/>
          <w:sz w:val="25"/>
          <w:szCs w:val="25"/>
          <w:bdr w:val="none" w:sz="0" w:space="0" w:color="auto" w:frame="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 w:rsidRPr="00091847">
        <w:rPr>
          <w:rStyle w:val="mi"/>
          <w:rFonts w:ascii="MathJax_Math-italic" w:hAnsi="MathJax_Math-italic" w:cs="Helvetica"/>
          <w:i/>
          <w:color w:val="333333"/>
          <w:sz w:val="25"/>
          <w:szCs w:val="25"/>
          <w:bdr w:val="none" w:sz="0" w:space="0" w:color="auto" w:frame="1"/>
        </w:rPr>
        <w:t>COURSEWORK</w:t>
      </w:r>
      <w:r>
        <w:rPr>
          <w:rFonts w:ascii="Helvetica" w:hAnsi="Helvetica" w:cs="Helvetica"/>
          <w:color w:val="333333"/>
          <w:sz w:val="21"/>
          <w:szCs w:val="21"/>
        </w:rPr>
        <w:t> in this way? Test whether your estimates satisfy these assumptions. </w:t>
      </w:r>
      <w:r>
        <w:rPr>
          <w:rStyle w:val="Strong"/>
          <w:rFonts w:ascii="Helvetica" w:eastAsiaTheme="majorEastAsia" w:hAnsi="Helvetica" w:cs="Helvetica"/>
          <w:color w:val="333333"/>
          <w:sz w:val="21"/>
          <w:szCs w:val="21"/>
        </w:rPr>
        <w:t>(2 points)</w:t>
      </w:r>
    </w:p>
    <w:p w14:paraId="417F523B" w14:textId="77777777" w:rsidR="00091847" w:rsidRDefault="00091847" w:rsidP="0009184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527D4892" w14:textId="2D6A4646" w:rsidR="00C719C6" w:rsidRPr="00697DC9" w:rsidRDefault="00760A5A" w:rsidP="00C719C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E74B5" w:themeColor="accent5" w:themeShade="BF"/>
          <w:sz w:val="21"/>
          <w:szCs w:val="21"/>
        </w:rPr>
      </w:pP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 xml:space="preserve">In modeling the relationship between vocabulary and coursework, I have assumed that the residuals generated from my ordinary-least-squares regression fit are normally distributed. To test this assumption, I </w:t>
      </w:r>
      <w:r w:rsidR="00697DC9">
        <w:rPr>
          <w:rFonts w:ascii="Helvetica" w:hAnsi="Helvetica" w:cs="Helvetica"/>
          <w:color w:val="2E74B5" w:themeColor="accent5" w:themeShade="BF"/>
          <w:sz w:val="21"/>
          <w:szCs w:val="21"/>
        </w:rPr>
        <w:t>plot the density of these residuals in Panel A of Figure 2 and find that that their distribution is approximately normal (mound shaped and roughly symmetrical, with no long tails). To further test this, in Panel B, I plot the residuals against their fitted (predicted) values. I observe that the residuals are symmetrically distributed around the line of best fit at all predicted values. Thus, I conclude that the assumptions I have made hold in this context.</w:t>
      </w:r>
    </w:p>
    <w:p w14:paraId="2FAF5BE3" w14:textId="77777777" w:rsidR="00697DC9" w:rsidRDefault="00697DC9" w:rsidP="00C719C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338B35D" w14:textId="7D87ED00" w:rsidR="000D4AFB" w:rsidRDefault="00697DC9" w:rsidP="000D4AF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  <w:lang w:eastAsia="en-US"/>
        </w:rPr>
        <w:drawing>
          <wp:inline distT="0" distB="0" distL="0" distR="0" wp14:anchorId="462CB209" wp14:editId="6C2C1B77">
            <wp:extent cx="2926080" cy="208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d_dist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AFB">
        <w:rPr>
          <w:rFonts w:ascii="Helvetica" w:hAnsi="Helvetica" w:cs="Helvetica"/>
          <w:noProof/>
          <w:color w:val="333333"/>
          <w:sz w:val="21"/>
          <w:szCs w:val="21"/>
          <w:lang w:eastAsia="en-US"/>
        </w:rPr>
        <w:drawing>
          <wp:inline distT="0" distB="0" distL="0" distR="0" wp14:anchorId="31C38603" wp14:editId="4822E3BF">
            <wp:extent cx="2926080" cy="20808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d_f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08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84D" w14:textId="3E03FA6E" w:rsidR="00697DC9" w:rsidRPr="00697DC9" w:rsidRDefault="00697DC9" w:rsidP="00697DC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E74B5" w:themeColor="accent5" w:themeShade="BF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ab/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>(a) Density plot of residuals</w:t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ab/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ab/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ab/>
        <w:t>(b) Residuals vs. fitted plot</w:t>
      </w:r>
    </w:p>
    <w:p w14:paraId="7334440D" w14:textId="267E8348" w:rsidR="00697DC9" w:rsidRPr="00697DC9" w:rsidRDefault="00697DC9" w:rsidP="00697DC9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 w:cs="Helvetica"/>
          <w:color w:val="2E74B5" w:themeColor="accent5" w:themeShade="BF"/>
          <w:sz w:val="21"/>
          <w:szCs w:val="21"/>
        </w:rPr>
      </w:pPr>
      <w:r w:rsidRPr="00697DC9">
        <w:rPr>
          <w:rFonts w:ascii="Helvetica" w:hAnsi="Helvetica" w:cs="Helvetica"/>
          <w:b/>
          <w:i/>
          <w:color w:val="2E74B5" w:themeColor="accent5" w:themeShade="BF"/>
          <w:sz w:val="21"/>
          <w:szCs w:val="21"/>
        </w:rPr>
        <w:t>Figure 2</w:t>
      </w:r>
      <w:r w:rsidRPr="00697DC9">
        <w:rPr>
          <w:rFonts w:ascii="Helvetica" w:hAnsi="Helvetica" w:cs="Helvetica"/>
          <w:color w:val="2E74B5" w:themeColor="accent5" w:themeShade="BF"/>
          <w:sz w:val="21"/>
          <w:szCs w:val="21"/>
        </w:rPr>
        <w:t>. Tests of regression assumptions</w:t>
      </w:r>
    </w:p>
    <w:p w14:paraId="7B2AEFDB" w14:textId="3CFD22C1" w:rsidR="000D72BA" w:rsidRDefault="000D72BA" w:rsidP="000D72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</w:t>
      </w:r>
      <w:r w:rsidR="00091847"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. What is your answer to this research question?</w:t>
      </w:r>
    </w:p>
    <w:p w14:paraId="0CF101E5" w14:textId="7460EFAE" w:rsidR="00E80D01" w:rsidRPr="00091847" w:rsidRDefault="00697DC9" w:rsidP="00091847">
      <w:pPr>
        <w:rPr>
          <w:color w:val="2E74B5" w:themeColor="accent5" w:themeShade="BF"/>
        </w:rPr>
      </w:pP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>The number of professional development course sessions that teachers attended is, on average, unrelated to their students’ average scores on a test of vocabulary knowledge. While it is true that in my sample there is a slight positive relationship between coursework and vocabulary scores, I cannot rule out that this relationship is due to idiosyncrasies of sampling (</w:t>
      </w:r>
      <w:r w:rsidRPr="00697DC9">
        <w:rPr>
          <w:rFonts w:ascii="Helvetica" w:eastAsia="Times New Roman" w:hAnsi="Helvetica" w:cs="Helvetica"/>
          <w:i/>
          <w:color w:val="2E74B5" w:themeColor="accent5" w:themeShade="BF"/>
          <w:sz w:val="21"/>
          <w:szCs w:val="21"/>
          <w:lang w:eastAsia="zh-CN"/>
        </w:rPr>
        <w:t>p</w:t>
      </w:r>
      <w:r>
        <w:rPr>
          <w:rFonts w:ascii="Helvetica" w:eastAsia="Times New Roman" w:hAnsi="Helvetica" w:cs="Helvetica"/>
          <w:color w:val="2E74B5" w:themeColor="accent5" w:themeShade="BF"/>
          <w:sz w:val="21"/>
          <w:szCs w:val="21"/>
          <w:lang w:eastAsia="zh-CN"/>
        </w:rPr>
        <w:t xml:space="preserve"> = 0.053) and that no relationship exists in the population.</w:t>
      </w:r>
    </w:p>
    <w:p w14:paraId="143D40F0" w14:textId="77777777" w:rsidR="00E80D01" w:rsidRDefault="00E80D01" w:rsidP="000D72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2D84B962" w14:textId="77777777" w:rsidR="006822D7" w:rsidRPr="007B193A" w:rsidRDefault="006822D7" w:rsidP="007B193A"/>
    <w:sectPr w:rsidR="006822D7" w:rsidRPr="007B193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710D2" w14:textId="77777777" w:rsidR="002C68F8" w:rsidRDefault="002C68F8" w:rsidP="00697DC9">
      <w:r>
        <w:separator/>
      </w:r>
    </w:p>
  </w:endnote>
  <w:endnote w:type="continuationSeparator" w:id="0">
    <w:p w14:paraId="37F31DA9" w14:textId="77777777" w:rsidR="002C68F8" w:rsidRDefault="002C68F8" w:rsidP="0069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DA9C5" w14:textId="77777777" w:rsidR="002C68F8" w:rsidRDefault="002C68F8" w:rsidP="00697DC9">
      <w:r>
        <w:separator/>
      </w:r>
    </w:p>
  </w:footnote>
  <w:footnote w:type="continuationSeparator" w:id="0">
    <w:p w14:paraId="059E1BF9" w14:textId="77777777" w:rsidR="002C68F8" w:rsidRDefault="002C68F8" w:rsidP="00697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031656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4720B7" w14:textId="5D21A457" w:rsidR="00697DC9" w:rsidRDefault="00697D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31C812" w14:textId="77777777" w:rsidR="00697DC9" w:rsidRDefault="00697D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60A33"/>
    <w:multiLevelType w:val="multilevel"/>
    <w:tmpl w:val="0234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974E6"/>
    <w:multiLevelType w:val="hybridMultilevel"/>
    <w:tmpl w:val="706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C681E"/>
    <w:multiLevelType w:val="multilevel"/>
    <w:tmpl w:val="4A0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C7B06"/>
    <w:multiLevelType w:val="hybridMultilevel"/>
    <w:tmpl w:val="D1DC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C68CC"/>
    <w:multiLevelType w:val="hybridMultilevel"/>
    <w:tmpl w:val="691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8613D8"/>
    <w:multiLevelType w:val="multilevel"/>
    <w:tmpl w:val="DD22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34DF1"/>
    <w:multiLevelType w:val="hybridMultilevel"/>
    <w:tmpl w:val="A54E3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245A40"/>
    <w:multiLevelType w:val="multilevel"/>
    <w:tmpl w:val="1C3A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429631">
    <w:abstractNumId w:val="3"/>
  </w:num>
  <w:num w:numId="2" w16cid:durableId="466513240">
    <w:abstractNumId w:val="6"/>
  </w:num>
  <w:num w:numId="3" w16cid:durableId="915629286">
    <w:abstractNumId w:val="8"/>
  </w:num>
  <w:num w:numId="4" w16cid:durableId="1846019269">
    <w:abstractNumId w:val="5"/>
  </w:num>
  <w:num w:numId="5" w16cid:durableId="1054886751">
    <w:abstractNumId w:val="1"/>
  </w:num>
  <w:num w:numId="6" w16cid:durableId="1815945035">
    <w:abstractNumId w:val="9"/>
  </w:num>
  <w:num w:numId="7" w16cid:durableId="925000954">
    <w:abstractNumId w:val="0"/>
  </w:num>
  <w:num w:numId="8" w16cid:durableId="2124029532">
    <w:abstractNumId w:val="4"/>
  </w:num>
  <w:num w:numId="9" w16cid:durableId="1906450492">
    <w:abstractNumId w:val="7"/>
  </w:num>
  <w:num w:numId="10" w16cid:durableId="1701737149">
    <w:abstractNumId w:val="2"/>
  </w:num>
  <w:num w:numId="11" w16cid:durableId="3488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52"/>
    <w:rsid w:val="000631EB"/>
    <w:rsid w:val="00091847"/>
    <w:rsid w:val="000A1220"/>
    <w:rsid w:val="000D4AFB"/>
    <w:rsid w:val="000D72BA"/>
    <w:rsid w:val="001235AC"/>
    <w:rsid w:val="00143679"/>
    <w:rsid w:val="00173E92"/>
    <w:rsid w:val="00181B15"/>
    <w:rsid w:val="001F65A7"/>
    <w:rsid w:val="00200803"/>
    <w:rsid w:val="00273BA3"/>
    <w:rsid w:val="002B4600"/>
    <w:rsid w:val="002C68F8"/>
    <w:rsid w:val="002D7DC5"/>
    <w:rsid w:val="002F7403"/>
    <w:rsid w:val="00333AC1"/>
    <w:rsid w:val="00356108"/>
    <w:rsid w:val="00357060"/>
    <w:rsid w:val="00375689"/>
    <w:rsid w:val="003C774E"/>
    <w:rsid w:val="003E334F"/>
    <w:rsid w:val="00437423"/>
    <w:rsid w:val="00443E97"/>
    <w:rsid w:val="004B3F97"/>
    <w:rsid w:val="004C60E1"/>
    <w:rsid w:val="004C7BA4"/>
    <w:rsid w:val="00523110"/>
    <w:rsid w:val="005429D4"/>
    <w:rsid w:val="005762E9"/>
    <w:rsid w:val="00582329"/>
    <w:rsid w:val="005A6572"/>
    <w:rsid w:val="005F1D57"/>
    <w:rsid w:val="00646DCB"/>
    <w:rsid w:val="0064733F"/>
    <w:rsid w:val="006474F4"/>
    <w:rsid w:val="006822D7"/>
    <w:rsid w:val="00697DC9"/>
    <w:rsid w:val="006D1F3F"/>
    <w:rsid w:val="006D6B09"/>
    <w:rsid w:val="006E65F5"/>
    <w:rsid w:val="00760A5A"/>
    <w:rsid w:val="00782F43"/>
    <w:rsid w:val="007B193A"/>
    <w:rsid w:val="007B460C"/>
    <w:rsid w:val="007E3490"/>
    <w:rsid w:val="007E59D8"/>
    <w:rsid w:val="007F058B"/>
    <w:rsid w:val="00853867"/>
    <w:rsid w:val="00860E9B"/>
    <w:rsid w:val="008A45B4"/>
    <w:rsid w:val="00936FA6"/>
    <w:rsid w:val="009933F5"/>
    <w:rsid w:val="009E7574"/>
    <w:rsid w:val="009F75D9"/>
    <w:rsid w:val="00A25F71"/>
    <w:rsid w:val="00A860BF"/>
    <w:rsid w:val="00B65A41"/>
    <w:rsid w:val="00B7094C"/>
    <w:rsid w:val="00BC21FC"/>
    <w:rsid w:val="00C5098A"/>
    <w:rsid w:val="00C719C6"/>
    <w:rsid w:val="00CA7FDB"/>
    <w:rsid w:val="00D14DD6"/>
    <w:rsid w:val="00D35352"/>
    <w:rsid w:val="00DC6026"/>
    <w:rsid w:val="00E2208B"/>
    <w:rsid w:val="00E52357"/>
    <w:rsid w:val="00E80D01"/>
    <w:rsid w:val="00ED6C66"/>
    <w:rsid w:val="00F03C5A"/>
    <w:rsid w:val="00FA1BE4"/>
    <w:rsid w:val="00FB270F"/>
    <w:rsid w:val="00FC7BE8"/>
    <w:rsid w:val="00FD20BD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091847"/>
  </w:style>
  <w:style w:type="character" w:customStyle="1" w:styleId="mjxassistivemathml">
    <w:name w:val="mjx_assistive_mathml"/>
    <w:basedOn w:val="DefaultParagraphFont"/>
    <w:rsid w:val="00091847"/>
  </w:style>
  <w:style w:type="paragraph" w:styleId="Header">
    <w:name w:val="header"/>
    <w:basedOn w:val="Normal"/>
    <w:link w:val="HeaderChar"/>
    <w:uiPriority w:val="99"/>
    <w:unhideWhenUsed/>
    <w:rsid w:val="00697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DC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97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DC9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David Liebowitz</cp:lastModifiedBy>
  <cp:revision>14</cp:revision>
  <dcterms:created xsi:type="dcterms:W3CDTF">2021-09-14T04:40:00Z</dcterms:created>
  <dcterms:modified xsi:type="dcterms:W3CDTF">2024-12-03T22:17:00Z</dcterms:modified>
</cp:coreProperties>
</file>