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591A9" w14:textId="639C3B6E"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bookmarkStart w:id="0" w:name="_GoBack"/>
      <w:bookmarkEnd w:id="0"/>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B87A19">
        <w:rPr>
          <w:rFonts w:ascii="Helvetica" w:eastAsia="Times New Roman" w:hAnsi="Helvetica" w:cs="Helvetica"/>
          <w:color w:val="333333"/>
          <w:sz w:val="36"/>
          <w:szCs w:val="36"/>
          <w:lang w:eastAsia="zh-CN"/>
        </w:rPr>
        <w:t>1</w:t>
      </w:r>
      <w:r>
        <w:rPr>
          <w:rFonts w:ascii="Helvetica" w:eastAsia="Times New Roman" w:hAnsi="Helvetica" w:cs="Helvetica"/>
          <w:color w:val="333333"/>
          <w:sz w:val="36"/>
          <w:szCs w:val="36"/>
          <w:lang w:eastAsia="zh-CN"/>
        </w:rPr>
        <w:t xml:space="preserve"> Key</w:t>
      </w:r>
    </w:p>
    <w:p w14:paraId="64D1D270" w14:textId="562B1B02"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ED6C66">
        <w:rPr>
          <w:rFonts w:ascii="inherit" w:eastAsia="Times New Roman" w:hAnsi="inherit" w:cs="Helvetica"/>
          <w:color w:val="333333"/>
          <w:sz w:val="27"/>
          <w:szCs w:val="27"/>
          <w:lang w:eastAsia="zh-CN"/>
        </w:rPr>
        <w:t>D</w:t>
      </w:r>
      <w:r w:rsidR="00357060">
        <w:rPr>
          <w:rFonts w:ascii="inherit" w:eastAsia="Times New Roman" w:hAnsi="inherit" w:cs="Helvetica"/>
          <w:color w:val="333333"/>
          <w:sz w:val="27"/>
          <w:szCs w:val="27"/>
          <w:lang w:eastAsia="zh-CN"/>
        </w:rPr>
        <w:t>escriptive statistics</w:t>
      </w:r>
    </w:p>
    <w:p w14:paraId="7E565F2A" w14:textId="179F8555" w:rsidR="000F72A4" w:rsidRDefault="00091847" w:rsidP="00143679">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1.1. </w:t>
      </w:r>
      <w:r w:rsidR="000F72A4" w:rsidRPr="000F72A4">
        <w:rPr>
          <w:rFonts w:ascii="Helvetica" w:eastAsia="Times New Roman" w:hAnsi="Helvetica" w:cs="Helvetica"/>
          <w:color w:val="333333"/>
          <w:sz w:val="21"/>
          <w:szCs w:val="21"/>
          <w:lang w:eastAsia="zh-CN"/>
        </w:rPr>
        <w:t xml:space="preserve">Summarize the dataset. Specifically, create a table to show the means and standard deviations of the continuous variables (i.e., exclude the geographical identifiers and the </w:t>
      </w:r>
      <w:r w:rsidR="000F72A4" w:rsidRPr="00DA393F">
        <w:rPr>
          <w:rFonts w:ascii="Helvetica" w:eastAsia="Times New Roman" w:hAnsi="Helvetica" w:cs="Helvetica"/>
          <w:i/>
          <w:color w:val="333333"/>
          <w:sz w:val="21"/>
          <w:szCs w:val="21"/>
          <w:lang w:eastAsia="zh-CN"/>
        </w:rPr>
        <w:t>level</w:t>
      </w:r>
      <w:r w:rsidR="000F72A4" w:rsidRPr="000F72A4">
        <w:rPr>
          <w:rFonts w:ascii="Helvetica" w:eastAsia="Times New Roman" w:hAnsi="Helvetica" w:cs="Helvetica"/>
          <w:color w:val="333333"/>
          <w:sz w:val="21"/>
          <w:szCs w:val="21"/>
          <w:lang w:eastAsia="zh-CN"/>
        </w:rPr>
        <w:t xml:space="preserve"> and </w:t>
      </w:r>
      <w:r w:rsidR="000F72A4" w:rsidRPr="00DA393F">
        <w:rPr>
          <w:rFonts w:ascii="Helvetica" w:eastAsia="Times New Roman" w:hAnsi="Helvetica" w:cs="Helvetica"/>
          <w:i/>
          <w:color w:val="333333"/>
          <w:sz w:val="21"/>
          <w:szCs w:val="21"/>
          <w:lang w:eastAsia="zh-CN"/>
        </w:rPr>
        <w:t>locale</w:t>
      </w:r>
      <w:r w:rsidR="000F72A4" w:rsidRPr="000F72A4">
        <w:rPr>
          <w:rFonts w:ascii="Helvetica" w:eastAsia="Times New Roman" w:hAnsi="Helvetica" w:cs="Helvetica"/>
          <w:color w:val="333333"/>
          <w:sz w:val="21"/>
          <w:szCs w:val="21"/>
          <w:lang w:eastAsia="zh-CN"/>
        </w:rPr>
        <w:t xml:space="preserve"> categorical variables). Write 2-3 sentences to report and interpret these statistics. (1 point)</w:t>
      </w:r>
    </w:p>
    <w:p w14:paraId="5DCAC94C" w14:textId="3F189A01" w:rsidR="00DA393F" w:rsidRPr="00561120" w:rsidRDefault="00DA393F" w:rsidP="00143679">
      <w:pPr>
        <w:shd w:val="clear" w:color="auto" w:fill="FFFFFF"/>
        <w:spacing w:after="150"/>
        <w:rPr>
          <w:rFonts w:ascii="Helvetica" w:eastAsia="Times New Roman" w:hAnsi="Helvetica" w:cs="Helvetica"/>
          <w:b/>
          <w:color w:val="2E74B5" w:themeColor="accent5" w:themeShade="BF"/>
          <w:sz w:val="21"/>
          <w:szCs w:val="21"/>
          <w:lang w:eastAsia="zh-CN"/>
        </w:rPr>
      </w:pPr>
      <w:r w:rsidRPr="00561120">
        <w:rPr>
          <w:rFonts w:ascii="Helvetica" w:eastAsia="Times New Roman" w:hAnsi="Helvetica" w:cs="Helvetica"/>
          <w:b/>
          <w:color w:val="2E74B5" w:themeColor="accent5" w:themeShade="BF"/>
          <w:sz w:val="21"/>
          <w:szCs w:val="21"/>
          <w:lang w:eastAsia="zh-CN"/>
        </w:rPr>
        <w:t>Table 1</w:t>
      </w:r>
    </w:p>
    <w:p w14:paraId="2DD8F7F9" w14:textId="516646C3" w:rsidR="00DA393F" w:rsidRPr="00561120" w:rsidRDefault="00DA393F" w:rsidP="00143679">
      <w:pPr>
        <w:shd w:val="clear" w:color="auto" w:fill="FFFFFF"/>
        <w:spacing w:after="150"/>
        <w:rPr>
          <w:rFonts w:ascii="Helvetica" w:eastAsia="Times New Roman" w:hAnsi="Helvetica" w:cs="Helvetica"/>
          <w:b/>
          <w:i/>
          <w:color w:val="2E74B5" w:themeColor="accent5" w:themeShade="BF"/>
          <w:sz w:val="21"/>
          <w:szCs w:val="21"/>
          <w:lang w:eastAsia="zh-CN"/>
        </w:rPr>
      </w:pPr>
      <w:r w:rsidRPr="00561120">
        <w:rPr>
          <w:rFonts w:ascii="Helvetica" w:eastAsia="Times New Roman" w:hAnsi="Helvetica" w:cs="Helvetica"/>
          <w:b/>
          <w:i/>
          <w:color w:val="2E74B5" w:themeColor="accent5" w:themeShade="BF"/>
          <w:sz w:val="21"/>
          <w:szCs w:val="21"/>
          <w:lang w:eastAsia="zh-CN"/>
        </w:rPr>
        <w:t>Summary statistics for per-pupil expenditures and school and community characteristics</w:t>
      </w:r>
      <w:r w:rsidR="00980F9C">
        <w:rPr>
          <w:rFonts w:ascii="Helvetica" w:eastAsia="Times New Roman" w:hAnsi="Helvetica" w:cs="Helvetica"/>
          <w:b/>
          <w:i/>
          <w:color w:val="2E74B5" w:themeColor="accent5" w:themeShade="BF"/>
          <w:sz w:val="21"/>
          <w:szCs w:val="21"/>
          <w:lang w:eastAsia="zh-CN"/>
        </w:rPr>
        <w:t xml:space="preserve"> for Oregon public schools, 2018-19</w:t>
      </w:r>
      <w:r w:rsidRPr="00561120">
        <w:rPr>
          <w:rFonts w:ascii="Helvetica" w:eastAsia="Times New Roman" w:hAnsi="Helvetica" w:cs="Helvetica"/>
          <w:b/>
          <w:i/>
          <w:color w:val="2E74B5" w:themeColor="accent5" w:themeShade="BF"/>
          <w:sz w:val="21"/>
          <w:szCs w:val="21"/>
          <w:lang w:eastAsia="zh-CN"/>
        </w:rPr>
        <w:t xml:space="preserve">. </w:t>
      </w:r>
    </w:p>
    <w:tbl>
      <w:tblPr>
        <w:tblW w:w="0" w:type="auto"/>
        <w:jc w:val="center"/>
        <w:tblLayout w:type="fixed"/>
        <w:tblLook w:val="0420" w:firstRow="1" w:lastRow="0" w:firstColumn="0" w:lastColumn="0" w:noHBand="0" w:noVBand="1"/>
      </w:tblPr>
      <w:tblGrid>
        <w:gridCol w:w="2916"/>
        <w:gridCol w:w="1080"/>
        <w:gridCol w:w="1080"/>
        <w:gridCol w:w="1080"/>
        <w:gridCol w:w="1080"/>
        <w:gridCol w:w="1080"/>
      </w:tblGrid>
      <w:tr w:rsidR="00561120" w:rsidRPr="00561120" w14:paraId="06A8EF0F" w14:textId="77777777" w:rsidTr="00DA1373">
        <w:trPr>
          <w:tblHeader/>
          <w:jc w:val="center"/>
        </w:trPr>
        <w:tc>
          <w:tcPr>
            <w:tcW w:w="2916" w:type="dxa"/>
            <w:tcBorders>
              <w:top w:val="double" w:sz="4" w:space="0" w:color="auto"/>
            </w:tcBorders>
            <w:shd w:val="clear" w:color="auto" w:fill="FFFFFF"/>
            <w:tcMar>
              <w:top w:w="0" w:type="dxa"/>
              <w:left w:w="0" w:type="dxa"/>
              <w:bottom w:w="0" w:type="dxa"/>
              <w:right w:w="0" w:type="dxa"/>
            </w:tcMar>
            <w:vAlign w:val="center"/>
          </w:tcPr>
          <w:p w14:paraId="55F1E30F" w14:textId="77777777" w:rsidR="00177363" w:rsidRPr="00561120" w:rsidRDefault="00177363"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p>
        </w:tc>
        <w:tc>
          <w:tcPr>
            <w:tcW w:w="1080" w:type="dxa"/>
            <w:tcBorders>
              <w:top w:val="double" w:sz="4" w:space="0" w:color="auto"/>
            </w:tcBorders>
            <w:shd w:val="clear" w:color="auto" w:fill="FFFFFF"/>
            <w:tcMar>
              <w:top w:w="0" w:type="dxa"/>
              <w:left w:w="0" w:type="dxa"/>
              <w:bottom w:w="0" w:type="dxa"/>
              <w:right w:w="0" w:type="dxa"/>
            </w:tcMar>
            <w:vAlign w:val="center"/>
          </w:tcPr>
          <w:p w14:paraId="3BA0ACB0"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Mean</w:t>
            </w:r>
          </w:p>
        </w:tc>
        <w:tc>
          <w:tcPr>
            <w:tcW w:w="1080" w:type="dxa"/>
            <w:tcBorders>
              <w:top w:val="double" w:sz="4" w:space="0" w:color="auto"/>
            </w:tcBorders>
            <w:shd w:val="clear" w:color="auto" w:fill="FFFFFF"/>
            <w:tcMar>
              <w:top w:w="0" w:type="dxa"/>
              <w:left w:w="0" w:type="dxa"/>
              <w:bottom w:w="0" w:type="dxa"/>
              <w:right w:w="0" w:type="dxa"/>
            </w:tcMar>
            <w:vAlign w:val="center"/>
          </w:tcPr>
          <w:p w14:paraId="1E0DA78B"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SD</w:t>
            </w:r>
          </w:p>
        </w:tc>
        <w:tc>
          <w:tcPr>
            <w:tcW w:w="1080" w:type="dxa"/>
            <w:tcBorders>
              <w:top w:val="double" w:sz="4" w:space="0" w:color="auto"/>
            </w:tcBorders>
            <w:shd w:val="clear" w:color="auto" w:fill="FFFFFF"/>
            <w:tcMar>
              <w:top w:w="0" w:type="dxa"/>
              <w:left w:w="0" w:type="dxa"/>
              <w:bottom w:w="0" w:type="dxa"/>
              <w:right w:w="0" w:type="dxa"/>
            </w:tcMar>
            <w:vAlign w:val="center"/>
          </w:tcPr>
          <w:p w14:paraId="0CE13D8A"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Min</w:t>
            </w:r>
          </w:p>
        </w:tc>
        <w:tc>
          <w:tcPr>
            <w:tcW w:w="1080" w:type="dxa"/>
            <w:tcBorders>
              <w:top w:val="double" w:sz="4" w:space="0" w:color="auto"/>
            </w:tcBorders>
            <w:shd w:val="clear" w:color="auto" w:fill="FFFFFF"/>
            <w:tcMar>
              <w:top w:w="0" w:type="dxa"/>
              <w:left w:w="0" w:type="dxa"/>
              <w:bottom w:w="0" w:type="dxa"/>
              <w:right w:w="0" w:type="dxa"/>
            </w:tcMar>
            <w:vAlign w:val="center"/>
          </w:tcPr>
          <w:p w14:paraId="380299E5"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Median</w:t>
            </w:r>
          </w:p>
        </w:tc>
        <w:tc>
          <w:tcPr>
            <w:tcW w:w="1080" w:type="dxa"/>
            <w:tcBorders>
              <w:top w:val="double" w:sz="4" w:space="0" w:color="auto"/>
            </w:tcBorders>
            <w:shd w:val="clear" w:color="auto" w:fill="FFFFFF"/>
            <w:tcMar>
              <w:top w:w="0" w:type="dxa"/>
              <w:left w:w="0" w:type="dxa"/>
              <w:bottom w:w="0" w:type="dxa"/>
              <w:right w:w="0" w:type="dxa"/>
            </w:tcMar>
            <w:vAlign w:val="center"/>
          </w:tcPr>
          <w:p w14:paraId="56D6B9F6"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Max</w:t>
            </w:r>
          </w:p>
        </w:tc>
      </w:tr>
      <w:tr w:rsidR="00561120" w:rsidRPr="00561120" w14:paraId="428393D5" w14:textId="77777777" w:rsidTr="00DA1373">
        <w:trPr>
          <w:jc w:val="center"/>
        </w:trPr>
        <w:tc>
          <w:tcPr>
            <w:tcW w:w="2916" w:type="dxa"/>
            <w:shd w:val="clear" w:color="auto" w:fill="FFFFFF"/>
            <w:tcMar>
              <w:top w:w="0" w:type="dxa"/>
              <w:left w:w="0" w:type="dxa"/>
              <w:bottom w:w="0" w:type="dxa"/>
              <w:right w:w="0" w:type="dxa"/>
            </w:tcMar>
            <w:vAlign w:val="center"/>
          </w:tcPr>
          <w:p w14:paraId="19E7BA04"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Per-pupil expenditure ($)</w:t>
            </w:r>
          </w:p>
        </w:tc>
        <w:tc>
          <w:tcPr>
            <w:tcW w:w="1080" w:type="dxa"/>
            <w:shd w:val="clear" w:color="auto" w:fill="FFFFFF"/>
            <w:tcMar>
              <w:top w:w="0" w:type="dxa"/>
              <w:left w:w="0" w:type="dxa"/>
              <w:bottom w:w="0" w:type="dxa"/>
              <w:right w:w="0" w:type="dxa"/>
            </w:tcMar>
            <w:vAlign w:val="center"/>
          </w:tcPr>
          <w:p w14:paraId="69D7DB55" w14:textId="40455D6C"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13701.44</w:t>
            </w:r>
          </w:p>
        </w:tc>
        <w:tc>
          <w:tcPr>
            <w:tcW w:w="1080" w:type="dxa"/>
            <w:shd w:val="clear" w:color="auto" w:fill="FFFFFF"/>
            <w:tcMar>
              <w:top w:w="0" w:type="dxa"/>
              <w:left w:w="0" w:type="dxa"/>
              <w:bottom w:w="0" w:type="dxa"/>
              <w:right w:w="0" w:type="dxa"/>
            </w:tcMar>
            <w:vAlign w:val="center"/>
          </w:tcPr>
          <w:p w14:paraId="19062858" w14:textId="556F794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4273.52</w:t>
            </w:r>
          </w:p>
        </w:tc>
        <w:tc>
          <w:tcPr>
            <w:tcW w:w="1080" w:type="dxa"/>
            <w:shd w:val="clear" w:color="auto" w:fill="FFFFFF"/>
            <w:tcMar>
              <w:top w:w="0" w:type="dxa"/>
              <w:left w:w="0" w:type="dxa"/>
              <w:bottom w:w="0" w:type="dxa"/>
              <w:right w:w="0" w:type="dxa"/>
            </w:tcMar>
            <w:vAlign w:val="center"/>
          </w:tcPr>
          <w:p w14:paraId="1C4670FE" w14:textId="247048C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2011.41</w:t>
            </w:r>
          </w:p>
        </w:tc>
        <w:tc>
          <w:tcPr>
            <w:tcW w:w="1080" w:type="dxa"/>
            <w:shd w:val="clear" w:color="auto" w:fill="FFFFFF"/>
            <w:tcMar>
              <w:top w:w="0" w:type="dxa"/>
              <w:left w:w="0" w:type="dxa"/>
              <w:bottom w:w="0" w:type="dxa"/>
              <w:right w:w="0" w:type="dxa"/>
            </w:tcMar>
            <w:vAlign w:val="center"/>
          </w:tcPr>
          <w:p w14:paraId="55697C84" w14:textId="677089D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13586.98</w:t>
            </w:r>
          </w:p>
        </w:tc>
        <w:tc>
          <w:tcPr>
            <w:tcW w:w="1080" w:type="dxa"/>
            <w:shd w:val="clear" w:color="auto" w:fill="FFFFFF"/>
            <w:tcMar>
              <w:top w:w="0" w:type="dxa"/>
              <w:left w:w="0" w:type="dxa"/>
              <w:bottom w:w="0" w:type="dxa"/>
              <w:right w:w="0" w:type="dxa"/>
            </w:tcMar>
            <w:vAlign w:val="center"/>
          </w:tcPr>
          <w:p w14:paraId="4ADAAF4A" w14:textId="42A1E3B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40734.41</w:t>
            </w:r>
          </w:p>
        </w:tc>
      </w:tr>
      <w:tr w:rsidR="00561120" w:rsidRPr="00561120" w14:paraId="6C0A4D0C" w14:textId="77777777" w:rsidTr="00DA1373">
        <w:trPr>
          <w:jc w:val="center"/>
        </w:trPr>
        <w:tc>
          <w:tcPr>
            <w:tcW w:w="2916" w:type="dxa"/>
            <w:tcBorders>
              <w:bottom w:val="none" w:sz="0" w:space="0" w:color="000000"/>
            </w:tcBorders>
            <w:shd w:val="clear" w:color="auto" w:fill="FFFFFF"/>
            <w:tcMar>
              <w:top w:w="0" w:type="dxa"/>
              <w:left w:w="0" w:type="dxa"/>
              <w:bottom w:w="0" w:type="dxa"/>
              <w:right w:w="0" w:type="dxa"/>
            </w:tcMar>
            <w:vAlign w:val="center"/>
          </w:tcPr>
          <w:p w14:paraId="4CCB2613"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Enrollment</w:t>
            </w:r>
          </w:p>
        </w:tc>
        <w:tc>
          <w:tcPr>
            <w:tcW w:w="1080" w:type="dxa"/>
            <w:tcBorders>
              <w:bottom w:val="none" w:sz="0" w:space="0" w:color="000000"/>
            </w:tcBorders>
            <w:shd w:val="clear" w:color="auto" w:fill="FFFFFF"/>
            <w:tcMar>
              <w:top w:w="0" w:type="dxa"/>
              <w:left w:w="0" w:type="dxa"/>
              <w:bottom w:w="0" w:type="dxa"/>
              <w:right w:w="0" w:type="dxa"/>
            </w:tcMar>
            <w:vAlign w:val="center"/>
          </w:tcPr>
          <w:p w14:paraId="28807C9F" w14:textId="4E14B4B3"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467.28</w:t>
            </w:r>
          </w:p>
        </w:tc>
        <w:tc>
          <w:tcPr>
            <w:tcW w:w="1080" w:type="dxa"/>
            <w:tcBorders>
              <w:bottom w:val="none" w:sz="0" w:space="0" w:color="000000"/>
            </w:tcBorders>
            <w:shd w:val="clear" w:color="auto" w:fill="FFFFFF"/>
            <w:tcMar>
              <w:top w:w="0" w:type="dxa"/>
              <w:left w:w="0" w:type="dxa"/>
              <w:bottom w:w="0" w:type="dxa"/>
              <w:right w:w="0" w:type="dxa"/>
            </w:tcMar>
            <w:vAlign w:val="center"/>
          </w:tcPr>
          <w:p w14:paraId="6439B1CE" w14:textId="3DF77553"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355.60</w:t>
            </w:r>
          </w:p>
        </w:tc>
        <w:tc>
          <w:tcPr>
            <w:tcW w:w="1080" w:type="dxa"/>
            <w:tcBorders>
              <w:bottom w:val="none" w:sz="0" w:space="0" w:color="000000"/>
            </w:tcBorders>
            <w:shd w:val="clear" w:color="auto" w:fill="FFFFFF"/>
            <w:tcMar>
              <w:top w:w="0" w:type="dxa"/>
              <w:left w:w="0" w:type="dxa"/>
              <w:bottom w:w="0" w:type="dxa"/>
              <w:right w:w="0" w:type="dxa"/>
            </w:tcMar>
            <w:vAlign w:val="center"/>
          </w:tcPr>
          <w:p w14:paraId="14672812" w14:textId="54B9A86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20.70</w:t>
            </w:r>
          </w:p>
        </w:tc>
        <w:tc>
          <w:tcPr>
            <w:tcW w:w="1080" w:type="dxa"/>
            <w:tcBorders>
              <w:bottom w:val="none" w:sz="0" w:space="0" w:color="000000"/>
            </w:tcBorders>
            <w:shd w:val="clear" w:color="auto" w:fill="FFFFFF"/>
            <w:tcMar>
              <w:top w:w="0" w:type="dxa"/>
              <w:left w:w="0" w:type="dxa"/>
              <w:bottom w:w="0" w:type="dxa"/>
              <w:right w:w="0" w:type="dxa"/>
            </w:tcMar>
            <w:vAlign w:val="center"/>
          </w:tcPr>
          <w:p w14:paraId="5478F428" w14:textId="28DD496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405.30</w:t>
            </w:r>
          </w:p>
        </w:tc>
        <w:tc>
          <w:tcPr>
            <w:tcW w:w="1080" w:type="dxa"/>
            <w:tcBorders>
              <w:bottom w:val="none" w:sz="0" w:space="0" w:color="000000"/>
            </w:tcBorders>
            <w:shd w:val="clear" w:color="auto" w:fill="FFFFFF"/>
            <w:tcMar>
              <w:top w:w="0" w:type="dxa"/>
              <w:left w:w="0" w:type="dxa"/>
              <w:bottom w:w="0" w:type="dxa"/>
              <w:right w:w="0" w:type="dxa"/>
            </w:tcMar>
            <w:vAlign w:val="center"/>
          </w:tcPr>
          <w:p w14:paraId="3F3B9685" w14:textId="735A764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2866.09</w:t>
            </w:r>
          </w:p>
        </w:tc>
      </w:tr>
      <w:tr w:rsidR="00561120" w:rsidRPr="00561120" w14:paraId="50F23AB2"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23AB24E"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SES index for all families</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0D73860" w14:textId="55855A68"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B9A6CC7" w14:textId="6D54D435"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E4BE715" w14:textId="2CDB921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-1.29</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0ECFF4C" w14:textId="151702C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F0AEB50" w14:textId="7E65053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1.83</w:t>
            </w:r>
          </w:p>
        </w:tc>
      </w:tr>
      <w:tr w:rsidR="00561120" w:rsidRPr="00561120" w14:paraId="37EDF150"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7C2A84F"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Median family income (log $)</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1BFE340" w14:textId="364F140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10.87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97DCE2A" w14:textId="03828FD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A5AF8C7" w14:textId="6C34DB0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10.26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F06BAC3" w14:textId="6E1C79E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10.83</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037CE31" w14:textId="557222A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11.65</w:t>
            </w:r>
          </w:p>
        </w:tc>
      </w:tr>
      <w:tr w:rsidR="00561120" w:rsidRPr="00561120" w14:paraId="1A931EC7"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E4F56CA"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BA+ rate</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4C15D3A" w14:textId="4B6CA658"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9222562" w14:textId="1866624C"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0.13</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E00D3A0" w14:textId="6697E0E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0.08</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0C395B8" w14:textId="451E128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0.24</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53593B" w14:textId="3F3A590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0.67</w:t>
            </w:r>
          </w:p>
        </w:tc>
      </w:tr>
      <w:tr w:rsidR="00561120" w:rsidRPr="00561120" w14:paraId="305C04A3"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9107E47"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Unemployment rate</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8C9364C" w14:textId="1830FC9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A34C68B" w14:textId="52C61CE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0.01</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5B1A087" w14:textId="0D5AB3EF"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0.02</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6859AB" w14:textId="30D5C1D1"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044F446" w14:textId="2B4602C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0.11</w:t>
            </w:r>
          </w:p>
        </w:tc>
      </w:tr>
      <w:tr w:rsidR="00561120" w:rsidRPr="00561120" w14:paraId="0A2D8475" w14:textId="77777777" w:rsidTr="00DA1373">
        <w:trPr>
          <w:jc w:val="center"/>
        </w:trPr>
        <w:tc>
          <w:tcPr>
            <w:tcW w:w="2916" w:type="dxa"/>
            <w:tcBorders>
              <w:top w:val="none" w:sz="0" w:space="0" w:color="000000"/>
            </w:tcBorders>
            <w:shd w:val="clear" w:color="auto" w:fill="FFFFFF"/>
            <w:tcMar>
              <w:top w:w="0" w:type="dxa"/>
              <w:left w:w="0" w:type="dxa"/>
              <w:bottom w:w="0" w:type="dxa"/>
              <w:right w:w="0" w:type="dxa"/>
            </w:tcMar>
            <w:vAlign w:val="center"/>
          </w:tcPr>
          <w:p w14:paraId="552AA792"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SNAP receipt rate</w:t>
            </w:r>
          </w:p>
        </w:tc>
        <w:tc>
          <w:tcPr>
            <w:tcW w:w="1080" w:type="dxa"/>
            <w:tcBorders>
              <w:top w:val="none" w:sz="0" w:space="0" w:color="000000"/>
            </w:tcBorders>
            <w:shd w:val="clear" w:color="auto" w:fill="FFFFFF"/>
            <w:tcMar>
              <w:top w:w="0" w:type="dxa"/>
              <w:left w:w="0" w:type="dxa"/>
              <w:bottom w:w="0" w:type="dxa"/>
              <w:right w:w="0" w:type="dxa"/>
            </w:tcMar>
            <w:vAlign w:val="center"/>
          </w:tcPr>
          <w:p w14:paraId="606B7B61" w14:textId="755B45BB"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0.14</w:t>
            </w:r>
          </w:p>
        </w:tc>
        <w:tc>
          <w:tcPr>
            <w:tcW w:w="1080" w:type="dxa"/>
            <w:tcBorders>
              <w:top w:val="none" w:sz="0" w:space="0" w:color="000000"/>
            </w:tcBorders>
            <w:shd w:val="clear" w:color="auto" w:fill="FFFFFF"/>
            <w:tcMar>
              <w:top w:w="0" w:type="dxa"/>
              <w:left w:w="0" w:type="dxa"/>
              <w:bottom w:w="0" w:type="dxa"/>
              <w:right w:w="0" w:type="dxa"/>
            </w:tcMar>
            <w:vAlign w:val="center"/>
          </w:tcPr>
          <w:p w14:paraId="1669354C" w14:textId="0DDF94D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0.05</w:t>
            </w:r>
          </w:p>
        </w:tc>
        <w:tc>
          <w:tcPr>
            <w:tcW w:w="1080" w:type="dxa"/>
            <w:tcBorders>
              <w:top w:val="none" w:sz="0" w:space="0" w:color="000000"/>
            </w:tcBorders>
            <w:shd w:val="clear" w:color="auto" w:fill="FFFFFF"/>
            <w:tcMar>
              <w:top w:w="0" w:type="dxa"/>
              <w:left w:w="0" w:type="dxa"/>
              <w:bottom w:w="0" w:type="dxa"/>
              <w:right w:w="0" w:type="dxa"/>
            </w:tcMar>
            <w:vAlign w:val="center"/>
          </w:tcPr>
          <w:p w14:paraId="5D2E5E27" w14:textId="14C7304B"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0.02</w:t>
            </w:r>
          </w:p>
        </w:tc>
        <w:tc>
          <w:tcPr>
            <w:tcW w:w="1080" w:type="dxa"/>
            <w:tcBorders>
              <w:top w:val="none" w:sz="0" w:space="0" w:color="000000"/>
            </w:tcBorders>
            <w:shd w:val="clear" w:color="auto" w:fill="FFFFFF"/>
            <w:tcMar>
              <w:top w:w="0" w:type="dxa"/>
              <w:left w:w="0" w:type="dxa"/>
              <w:bottom w:w="0" w:type="dxa"/>
              <w:right w:w="0" w:type="dxa"/>
            </w:tcMar>
            <w:vAlign w:val="center"/>
          </w:tcPr>
          <w:p w14:paraId="56DEEB30" w14:textId="2F6949B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0.14</w:t>
            </w:r>
          </w:p>
        </w:tc>
        <w:tc>
          <w:tcPr>
            <w:tcW w:w="1080" w:type="dxa"/>
            <w:tcBorders>
              <w:top w:val="none" w:sz="0" w:space="0" w:color="000000"/>
            </w:tcBorders>
            <w:shd w:val="clear" w:color="auto" w:fill="FFFFFF"/>
            <w:tcMar>
              <w:top w:w="0" w:type="dxa"/>
              <w:left w:w="0" w:type="dxa"/>
              <w:bottom w:w="0" w:type="dxa"/>
              <w:right w:w="0" w:type="dxa"/>
            </w:tcMar>
            <w:vAlign w:val="center"/>
          </w:tcPr>
          <w:p w14:paraId="40F1754B" w14:textId="5ECD790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0.28</w:t>
            </w:r>
          </w:p>
        </w:tc>
      </w:tr>
      <w:tr w:rsidR="00561120" w:rsidRPr="00561120" w14:paraId="0091775D" w14:textId="77777777" w:rsidTr="00DA1373">
        <w:trPr>
          <w:jc w:val="center"/>
        </w:trPr>
        <w:tc>
          <w:tcPr>
            <w:tcW w:w="2916" w:type="dxa"/>
            <w:tcBorders>
              <w:bottom w:val="double" w:sz="4" w:space="0" w:color="auto"/>
            </w:tcBorders>
            <w:shd w:val="clear" w:color="auto" w:fill="FFFFFF"/>
            <w:tcMar>
              <w:top w:w="0" w:type="dxa"/>
              <w:left w:w="0" w:type="dxa"/>
              <w:bottom w:w="0" w:type="dxa"/>
              <w:right w:w="0" w:type="dxa"/>
            </w:tcMar>
            <w:vAlign w:val="center"/>
          </w:tcPr>
          <w:p w14:paraId="0F3F378D" w14:textId="1C59203F" w:rsidR="00DA393F" w:rsidRPr="00561120" w:rsidRDefault="00DA393F" w:rsidP="00DA1373">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 xml:space="preserve">Free- </w:t>
            </w:r>
            <w:r w:rsidR="00DA664B">
              <w:rPr>
                <w:rFonts w:ascii="Helvetica" w:eastAsia="Arial" w:hAnsi="Helvetica" w:cs="Helvetica"/>
                <w:color w:val="2E74B5" w:themeColor="accent5" w:themeShade="BF"/>
                <w:sz w:val="18"/>
                <w:szCs w:val="18"/>
              </w:rPr>
              <w:t>or</w:t>
            </w:r>
            <w:r w:rsidRPr="00561120">
              <w:rPr>
                <w:rFonts w:ascii="Helvetica" w:eastAsia="Arial" w:hAnsi="Helvetica" w:cs="Helvetica"/>
                <w:color w:val="2E74B5" w:themeColor="accent5" w:themeShade="BF"/>
                <w:sz w:val="18"/>
                <w:szCs w:val="18"/>
              </w:rPr>
              <w:t xml:space="preserve"> reduced-price lunch </w:t>
            </w:r>
            <w:r w:rsidR="00DA1373">
              <w:rPr>
                <w:rFonts w:ascii="Helvetica" w:eastAsia="Arial" w:hAnsi="Helvetica" w:cs="Helvetica"/>
                <w:color w:val="2E74B5" w:themeColor="accent5" w:themeShade="BF"/>
                <w:sz w:val="18"/>
                <w:szCs w:val="18"/>
              </w:rPr>
              <w:t>rate</w:t>
            </w:r>
          </w:p>
        </w:tc>
        <w:tc>
          <w:tcPr>
            <w:tcW w:w="1080" w:type="dxa"/>
            <w:tcBorders>
              <w:bottom w:val="double" w:sz="4" w:space="0" w:color="auto"/>
            </w:tcBorders>
            <w:shd w:val="clear" w:color="auto" w:fill="FFFFFF"/>
            <w:tcMar>
              <w:top w:w="0" w:type="dxa"/>
              <w:left w:w="0" w:type="dxa"/>
              <w:bottom w:w="0" w:type="dxa"/>
              <w:right w:w="0" w:type="dxa"/>
            </w:tcMar>
            <w:vAlign w:val="center"/>
          </w:tcPr>
          <w:p w14:paraId="0742D4CC" w14:textId="781A964D"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0.56</w:t>
            </w:r>
          </w:p>
        </w:tc>
        <w:tc>
          <w:tcPr>
            <w:tcW w:w="1080" w:type="dxa"/>
            <w:tcBorders>
              <w:bottom w:val="double" w:sz="4" w:space="0" w:color="auto"/>
            </w:tcBorders>
            <w:shd w:val="clear" w:color="auto" w:fill="FFFFFF"/>
            <w:tcMar>
              <w:top w:w="0" w:type="dxa"/>
              <w:left w:w="0" w:type="dxa"/>
              <w:bottom w:w="0" w:type="dxa"/>
              <w:right w:w="0" w:type="dxa"/>
            </w:tcMar>
            <w:vAlign w:val="center"/>
          </w:tcPr>
          <w:p w14:paraId="29EA4EE8" w14:textId="6C4E982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0.30</w:t>
            </w:r>
          </w:p>
        </w:tc>
        <w:tc>
          <w:tcPr>
            <w:tcW w:w="1080" w:type="dxa"/>
            <w:tcBorders>
              <w:bottom w:val="double" w:sz="4" w:space="0" w:color="auto"/>
            </w:tcBorders>
            <w:shd w:val="clear" w:color="auto" w:fill="FFFFFF"/>
            <w:tcMar>
              <w:top w:w="0" w:type="dxa"/>
              <w:left w:w="0" w:type="dxa"/>
              <w:bottom w:w="0" w:type="dxa"/>
              <w:right w:w="0" w:type="dxa"/>
            </w:tcMar>
            <w:vAlign w:val="center"/>
          </w:tcPr>
          <w:p w14:paraId="1CE1E7FC" w14:textId="24660BF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0.00</w:t>
            </w:r>
          </w:p>
        </w:tc>
        <w:tc>
          <w:tcPr>
            <w:tcW w:w="1080" w:type="dxa"/>
            <w:tcBorders>
              <w:bottom w:val="double" w:sz="4" w:space="0" w:color="auto"/>
            </w:tcBorders>
            <w:shd w:val="clear" w:color="auto" w:fill="FFFFFF"/>
            <w:tcMar>
              <w:top w:w="0" w:type="dxa"/>
              <w:left w:w="0" w:type="dxa"/>
              <w:bottom w:w="0" w:type="dxa"/>
              <w:right w:w="0" w:type="dxa"/>
            </w:tcMar>
            <w:vAlign w:val="center"/>
          </w:tcPr>
          <w:p w14:paraId="218D6FE3" w14:textId="52B86D0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0.51</w:t>
            </w:r>
          </w:p>
        </w:tc>
        <w:tc>
          <w:tcPr>
            <w:tcW w:w="1080" w:type="dxa"/>
            <w:tcBorders>
              <w:bottom w:val="double" w:sz="4" w:space="0" w:color="auto"/>
            </w:tcBorders>
            <w:shd w:val="clear" w:color="auto" w:fill="FFFFFF"/>
            <w:tcMar>
              <w:top w:w="0" w:type="dxa"/>
              <w:left w:w="0" w:type="dxa"/>
              <w:bottom w:w="0" w:type="dxa"/>
              <w:right w:w="0" w:type="dxa"/>
            </w:tcMar>
            <w:vAlign w:val="center"/>
          </w:tcPr>
          <w:p w14:paraId="4A0A19ED" w14:textId="5F8985E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1.00</w:t>
            </w:r>
          </w:p>
        </w:tc>
      </w:tr>
      <w:tr w:rsidR="00561120" w:rsidRPr="00561120" w14:paraId="7BB78ECB" w14:textId="77777777" w:rsidTr="00DA1373">
        <w:trPr>
          <w:jc w:val="center"/>
        </w:trPr>
        <w:tc>
          <w:tcPr>
            <w:tcW w:w="8316" w:type="dxa"/>
            <w:gridSpan w:val="6"/>
            <w:tcBorders>
              <w:top w:val="double" w:sz="4" w:space="0" w:color="auto"/>
            </w:tcBorders>
            <w:shd w:val="clear" w:color="auto" w:fill="FFFFFF"/>
            <w:tcMar>
              <w:top w:w="0" w:type="dxa"/>
              <w:left w:w="0" w:type="dxa"/>
              <w:bottom w:w="0" w:type="dxa"/>
              <w:right w:w="0" w:type="dxa"/>
            </w:tcMar>
            <w:vAlign w:val="center"/>
          </w:tcPr>
          <w:p w14:paraId="5087904C" w14:textId="4C6D984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Source: National Education Resource Database on Schools (NERD$)</w:t>
            </w:r>
          </w:p>
        </w:tc>
      </w:tr>
    </w:tbl>
    <w:p w14:paraId="0524B540" w14:textId="77777777" w:rsidR="002774CF" w:rsidRDefault="002774CF" w:rsidP="00143679">
      <w:pPr>
        <w:shd w:val="clear" w:color="auto" w:fill="FFFFFF"/>
        <w:spacing w:after="150"/>
        <w:rPr>
          <w:rFonts w:ascii="Helvetica" w:eastAsia="Times New Roman" w:hAnsi="Helvetica" w:cs="Helvetica"/>
          <w:color w:val="2E74B5" w:themeColor="accent5" w:themeShade="BF"/>
          <w:sz w:val="21"/>
          <w:szCs w:val="21"/>
          <w:lang w:eastAsia="zh-CN"/>
        </w:rPr>
      </w:pPr>
    </w:p>
    <w:p w14:paraId="4332E12C" w14:textId="56E0B24A" w:rsidR="00091847" w:rsidRPr="00143679" w:rsidRDefault="00143679" w:rsidP="00143679">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There are 1</w:t>
      </w:r>
      <w:r w:rsidR="00DA393F">
        <w:rPr>
          <w:rFonts w:ascii="Helvetica" w:eastAsia="Times New Roman" w:hAnsi="Helvetica" w:cs="Helvetica"/>
          <w:color w:val="2E74B5" w:themeColor="accent5" w:themeShade="BF"/>
          <w:sz w:val="21"/>
          <w:szCs w:val="21"/>
          <w:lang w:eastAsia="zh-CN"/>
        </w:rPr>
        <w:t>,193</w:t>
      </w:r>
      <w:r w:rsidR="005A6572" w:rsidRPr="00143679">
        <w:rPr>
          <w:rFonts w:ascii="Helvetica" w:eastAsia="Times New Roman" w:hAnsi="Helvetica" w:cs="Helvetica"/>
          <w:color w:val="2E74B5" w:themeColor="accent5" w:themeShade="BF"/>
          <w:sz w:val="21"/>
          <w:szCs w:val="21"/>
          <w:lang w:eastAsia="zh-CN"/>
        </w:rPr>
        <w:t xml:space="preserve"> </w:t>
      </w:r>
      <w:r w:rsidR="00DA393F">
        <w:rPr>
          <w:rFonts w:ascii="Helvetica" w:eastAsia="Times New Roman" w:hAnsi="Helvetica" w:cs="Helvetica"/>
          <w:color w:val="2E74B5" w:themeColor="accent5" w:themeShade="BF"/>
          <w:sz w:val="21"/>
          <w:szCs w:val="21"/>
          <w:lang w:eastAsia="zh-CN"/>
        </w:rPr>
        <w:t>school-</w:t>
      </w:r>
      <w:r w:rsidR="005A6572" w:rsidRPr="00143679">
        <w:rPr>
          <w:rFonts w:ascii="Helvetica" w:eastAsia="Times New Roman" w:hAnsi="Helvetica" w:cs="Helvetica"/>
          <w:color w:val="2E74B5" w:themeColor="accent5" w:themeShade="BF"/>
          <w:sz w:val="21"/>
          <w:szCs w:val="21"/>
          <w:lang w:eastAsia="zh-CN"/>
        </w:rPr>
        <w:t xml:space="preserve">level observations in the </w:t>
      </w:r>
      <w:r>
        <w:rPr>
          <w:rFonts w:ascii="Helvetica" w:eastAsia="Times New Roman" w:hAnsi="Helvetica" w:cs="Helvetica"/>
          <w:color w:val="2E74B5" w:themeColor="accent5" w:themeShade="BF"/>
          <w:sz w:val="21"/>
          <w:szCs w:val="21"/>
          <w:lang w:eastAsia="zh-CN"/>
        </w:rPr>
        <w:t xml:space="preserve">data; none of the variables </w:t>
      </w:r>
      <w:proofErr w:type="gramStart"/>
      <w:r>
        <w:rPr>
          <w:rFonts w:ascii="Helvetica" w:eastAsia="Times New Roman" w:hAnsi="Helvetica" w:cs="Helvetica"/>
          <w:color w:val="2E74B5" w:themeColor="accent5" w:themeShade="BF"/>
          <w:sz w:val="21"/>
          <w:szCs w:val="21"/>
          <w:lang w:eastAsia="zh-CN"/>
        </w:rPr>
        <w:t>have</w:t>
      </w:r>
      <w:proofErr w:type="gramEnd"/>
      <w:r>
        <w:rPr>
          <w:rFonts w:ascii="Helvetica" w:eastAsia="Times New Roman" w:hAnsi="Helvetica" w:cs="Helvetica"/>
          <w:color w:val="2E74B5" w:themeColor="accent5" w:themeShade="BF"/>
          <w:sz w:val="21"/>
          <w:szCs w:val="21"/>
          <w:lang w:eastAsia="zh-CN"/>
        </w:rPr>
        <w:t xml:space="preserve"> any missing </w:t>
      </w:r>
      <w:r w:rsidR="005A6572" w:rsidRPr="00143679">
        <w:rPr>
          <w:rFonts w:ascii="Helvetica" w:eastAsia="Times New Roman" w:hAnsi="Helvetica" w:cs="Helvetica"/>
          <w:color w:val="2E74B5" w:themeColor="accent5" w:themeShade="BF"/>
          <w:sz w:val="21"/>
          <w:szCs w:val="21"/>
          <w:lang w:eastAsia="zh-CN"/>
        </w:rPr>
        <w:t>value</w:t>
      </w:r>
      <w:r>
        <w:rPr>
          <w:rFonts w:ascii="Helvetica" w:eastAsia="Times New Roman" w:hAnsi="Helvetica" w:cs="Helvetica"/>
          <w:color w:val="2E74B5" w:themeColor="accent5" w:themeShade="BF"/>
          <w:sz w:val="21"/>
          <w:szCs w:val="21"/>
          <w:lang w:eastAsia="zh-CN"/>
        </w:rPr>
        <w:t>s.</w:t>
      </w:r>
      <w:r>
        <w:rPr>
          <w:rFonts w:ascii="Helvetica" w:eastAsia="Times New Roman" w:hAnsi="Helvetica" w:cs="Helvetica"/>
          <w:color w:val="333333"/>
          <w:sz w:val="21"/>
          <w:szCs w:val="21"/>
          <w:lang w:eastAsia="zh-CN"/>
        </w:rPr>
        <w:t xml:space="preserve"> </w:t>
      </w:r>
      <w:r w:rsidR="00DA393F">
        <w:rPr>
          <w:rFonts w:ascii="Helvetica" w:eastAsia="Times New Roman" w:hAnsi="Helvetica" w:cs="Helvetica"/>
          <w:color w:val="2E74B5" w:themeColor="accent5" w:themeShade="BF"/>
          <w:sz w:val="21"/>
          <w:szCs w:val="21"/>
          <w:lang w:eastAsia="zh-CN"/>
        </w:rPr>
        <w:t>As we document in Table 1, with respect to our variables of interest, the mean per-pupil expenditure was $13,701, with a standard deviation of $4,274, suggesting substantial variability in expenditures. The school-level mean of the proportion of students receiving free- or reduced-price lunch (FRPL) was 0.56, with a standard deviation of 0.30, again suggesting a high degree of variability around the mean FRPL rate.</w:t>
      </w:r>
    </w:p>
    <w:p w14:paraId="6D090112" w14:textId="77777777" w:rsidR="00561120" w:rsidRDefault="00561120">
      <w:pPr>
        <w:spacing w:after="160" w:line="259" w:lineRule="auto"/>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br w:type="page"/>
      </w:r>
    </w:p>
    <w:p w14:paraId="75A27014" w14:textId="52A0FB9A" w:rsidR="00091847" w:rsidRDefault="00091847" w:rsidP="000F72A4">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lastRenderedPageBreak/>
        <w:t xml:space="preserve">1.2 </w:t>
      </w:r>
      <w:r w:rsidR="000F72A4" w:rsidRPr="000F72A4">
        <w:rPr>
          <w:rFonts w:ascii="Helvetica" w:eastAsia="Times New Roman" w:hAnsi="Helvetica" w:cs="Helvetica"/>
          <w:color w:val="333333"/>
          <w:sz w:val="21"/>
          <w:szCs w:val="21"/>
          <w:lang w:eastAsia="zh-CN"/>
        </w:rPr>
        <w:t xml:space="preserve">Create a plot (make sure to label the x and </w:t>
      </w:r>
      <w:proofErr w:type="gramStart"/>
      <w:r w:rsidR="000F72A4" w:rsidRPr="000F72A4">
        <w:rPr>
          <w:rFonts w:ascii="Helvetica" w:eastAsia="Times New Roman" w:hAnsi="Helvetica" w:cs="Helvetica"/>
          <w:color w:val="333333"/>
          <w:sz w:val="21"/>
          <w:szCs w:val="21"/>
          <w:lang w:eastAsia="zh-CN"/>
        </w:rPr>
        <w:t>y axis</w:t>
      </w:r>
      <w:proofErr w:type="gramEnd"/>
      <w:r w:rsidR="000F72A4" w:rsidRPr="000F72A4">
        <w:rPr>
          <w:rFonts w:ascii="Helvetica" w:eastAsia="Times New Roman" w:hAnsi="Helvetica" w:cs="Helvetica"/>
          <w:color w:val="333333"/>
          <w:sz w:val="21"/>
          <w:szCs w:val="21"/>
          <w:lang w:eastAsia="zh-CN"/>
        </w:rPr>
        <w:t xml:space="preserve">) to visualize the relationship between the variables </w:t>
      </w:r>
      <w:proofErr w:type="spellStart"/>
      <w:r w:rsidR="000F72A4" w:rsidRPr="000F72A4">
        <w:rPr>
          <w:rFonts w:ascii="Helvetica" w:eastAsia="Times New Roman" w:hAnsi="Helvetica" w:cs="Helvetica"/>
          <w:i/>
          <w:color w:val="333333"/>
          <w:sz w:val="21"/>
          <w:szCs w:val="21"/>
          <w:lang w:eastAsia="zh-CN"/>
        </w:rPr>
        <w:t>ppe</w:t>
      </w:r>
      <w:proofErr w:type="spellEnd"/>
      <w:r w:rsidR="000F72A4" w:rsidRPr="000F72A4">
        <w:rPr>
          <w:rFonts w:ascii="Helvetica" w:eastAsia="Times New Roman" w:hAnsi="Helvetica" w:cs="Helvetica"/>
          <w:color w:val="333333"/>
          <w:sz w:val="21"/>
          <w:szCs w:val="21"/>
          <w:lang w:eastAsia="zh-CN"/>
        </w:rPr>
        <w:t xml:space="preserve"> and </w:t>
      </w:r>
      <w:proofErr w:type="spellStart"/>
      <w:r w:rsidR="000F72A4" w:rsidRPr="000F72A4">
        <w:rPr>
          <w:rFonts w:ascii="Helvetica" w:eastAsia="Times New Roman" w:hAnsi="Helvetica" w:cs="Helvetica"/>
          <w:i/>
          <w:color w:val="333333"/>
          <w:sz w:val="21"/>
          <w:szCs w:val="21"/>
          <w:lang w:eastAsia="zh-CN"/>
        </w:rPr>
        <w:t>frpl</w:t>
      </w:r>
      <w:proofErr w:type="spellEnd"/>
      <w:r w:rsidR="000F72A4" w:rsidRPr="000F72A4">
        <w:rPr>
          <w:rFonts w:ascii="Helvetica" w:eastAsia="Times New Roman" w:hAnsi="Helvetica" w:cs="Helvetica"/>
          <w:color w:val="333333"/>
          <w:sz w:val="21"/>
          <w:szCs w:val="21"/>
          <w:lang w:eastAsia="zh-CN"/>
        </w:rPr>
        <w:t>. Include a line of best fit on this display. (</w:t>
      </w:r>
      <w:proofErr w:type="gramStart"/>
      <w:r w:rsidR="000F72A4" w:rsidRPr="000F72A4">
        <w:rPr>
          <w:rFonts w:ascii="Helvetica" w:eastAsia="Times New Roman" w:hAnsi="Helvetica" w:cs="Helvetica"/>
          <w:color w:val="333333"/>
          <w:sz w:val="21"/>
          <w:szCs w:val="21"/>
          <w:lang w:eastAsia="zh-CN"/>
        </w:rPr>
        <w:t>1</w:t>
      </w:r>
      <w:proofErr w:type="gramEnd"/>
      <w:r w:rsidR="000F72A4" w:rsidRPr="000F72A4">
        <w:rPr>
          <w:rFonts w:ascii="Helvetica" w:eastAsia="Times New Roman" w:hAnsi="Helvetica" w:cs="Helvetica"/>
          <w:color w:val="333333"/>
          <w:sz w:val="21"/>
          <w:szCs w:val="21"/>
          <w:lang w:eastAsia="zh-CN"/>
        </w:rPr>
        <w:t xml:space="preserve"> points)</w:t>
      </w:r>
    </w:p>
    <w:p w14:paraId="6F138F35" w14:textId="2A7EC3BF"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799BD645" w:rsidR="00561120" w:rsidRPr="00561120" w:rsidRDefault="00561120" w:rsidP="000F72A4">
      <w:pPr>
        <w:shd w:val="clear" w:color="auto" w:fill="FFFFFF"/>
        <w:spacing w:after="150"/>
        <w:rPr>
          <w:rFonts w:ascii="Helvetica" w:eastAsia="Times New Roman" w:hAnsi="Helvetica" w:cs="Helvetica"/>
          <w:i/>
          <w:color w:val="2E74B5" w:themeColor="accent5" w:themeShade="BF"/>
          <w:sz w:val="21"/>
          <w:szCs w:val="21"/>
          <w:lang w:eastAsia="zh-CN"/>
        </w:rPr>
      </w:pPr>
      <w:r w:rsidRPr="00561120">
        <w:rPr>
          <w:rFonts w:ascii="Helvetica" w:eastAsia="Times New Roman" w:hAnsi="Helvetica" w:cs="Helvetica"/>
          <w:i/>
          <w:color w:val="2E74B5" w:themeColor="accent5" w:themeShade="BF"/>
          <w:sz w:val="21"/>
          <w:szCs w:val="21"/>
          <w:lang w:eastAsia="zh-CN"/>
        </w:rPr>
        <w:t>Relationship between school-level per-pupil expenditure in U.S. dollars and the proportion of students receiving free- or reduced-price lunch</w:t>
      </w:r>
      <w:r w:rsidR="00980F9C">
        <w:rPr>
          <w:rFonts w:ascii="Helvetica" w:eastAsia="Times New Roman" w:hAnsi="Helvetica" w:cs="Helvetica"/>
          <w:i/>
          <w:color w:val="2E74B5" w:themeColor="accent5" w:themeShade="BF"/>
          <w:sz w:val="21"/>
          <w:szCs w:val="21"/>
          <w:lang w:eastAsia="zh-CN"/>
        </w:rPr>
        <w:t xml:space="preserve"> for Oregon public schools 2018-19</w:t>
      </w:r>
      <w:r w:rsidRPr="00561120">
        <w:rPr>
          <w:rFonts w:ascii="Helvetica" w:eastAsia="Times New Roman" w:hAnsi="Helvetica" w:cs="Helvetica"/>
          <w:i/>
          <w:color w:val="2E74B5" w:themeColor="accent5" w:themeShade="BF"/>
          <w:sz w:val="21"/>
          <w:szCs w:val="21"/>
          <w:lang w:eastAsia="zh-CN"/>
        </w:rPr>
        <w:t>.</w:t>
      </w:r>
    </w:p>
    <w:p w14:paraId="724D0D29" w14:textId="2D2B5A32" w:rsidR="000F72A4" w:rsidRDefault="000F72A4" w:rsidP="000F72A4">
      <w:pPr>
        <w:shd w:val="clear" w:color="auto" w:fill="FFFFFF"/>
        <w:spacing w:after="150"/>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732FED9A" wp14:editId="4EA316F7">
            <wp:extent cx="3670097" cy="3657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vari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0097" cy="3657599"/>
                    </a:xfrm>
                    <a:prstGeom prst="rect">
                      <a:avLst/>
                    </a:prstGeom>
                  </pic:spPr>
                </pic:pic>
              </a:graphicData>
            </a:graphic>
          </wp:inline>
        </w:drawing>
      </w:r>
    </w:p>
    <w:p w14:paraId="73B2B60F" w14:textId="4D27BBA5" w:rsidR="00091847" w:rsidRPr="00091847" w:rsidRDefault="00091847" w:rsidP="00091847">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1.3 </w:t>
      </w:r>
      <w:r w:rsidR="000F72A4" w:rsidRPr="000F72A4">
        <w:rPr>
          <w:rFonts w:ascii="Helvetica" w:eastAsia="Times New Roman" w:hAnsi="Helvetica" w:cs="Helvetica"/>
          <w:color w:val="333333"/>
          <w:sz w:val="21"/>
          <w:szCs w:val="21"/>
          <w:lang w:eastAsia="zh-CN"/>
        </w:rPr>
        <w:t>Write 1-2 sentences to interpret this visualized relationship, relying on the five features of bivariate relationships we introduced in class. (1 point)</w:t>
      </w:r>
    </w:p>
    <w:p w14:paraId="509C1005" w14:textId="76D6507A" w:rsidR="000D72BA" w:rsidRDefault="00760A5A" w:rsidP="008A45B4">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Figure 1, on average, it appears that </w:t>
      </w:r>
      <w:r w:rsidR="00561120">
        <w:rPr>
          <w:rFonts w:ascii="Helvetica" w:eastAsia="Times New Roman" w:hAnsi="Helvetica" w:cs="Helvetica"/>
          <w:color w:val="2E74B5" w:themeColor="accent5" w:themeShade="BF"/>
          <w:sz w:val="21"/>
          <w:szCs w:val="21"/>
          <w:lang w:eastAsia="zh-CN"/>
        </w:rPr>
        <w:t xml:space="preserve">there is a positive relationship between the proportion of a school’s student body who receive free- or reduced-price lunch, and the school’s per-pupil expenditures. This relationship is roughly linear and </w:t>
      </w:r>
      <w:proofErr w:type="gramStart"/>
      <w:r w:rsidR="00561120">
        <w:rPr>
          <w:rFonts w:ascii="Helvetica" w:eastAsia="Times New Roman" w:hAnsi="Helvetica" w:cs="Helvetica"/>
          <w:color w:val="2E74B5" w:themeColor="accent5" w:themeShade="BF"/>
          <w:sz w:val="21"/>
          <w:szCs w:val="21"/>
          <w:lang w:eastAsia="zh-CN"/>
        </w:rPr>
        <w:t>fairly weak</w:t>
      </w:r>
      <w:proofErr w:type="gramEnd"/>
      <w:r w:rsidR="00561120">
        <w:rPr>
          <w:rFonts w:ascii="Helvetica" w:eastAsia="Times New Roman" w:hAnsi="Helvetica" w:cs="Helvetica"/>
          <w:color w:val="2E74B5" w:themeColor="accent5" w:themeShade="BF"/>
          <w:sz w:val="21"/>
          <w:szCs w:val="21"/>
          <w:lang w:eastAsia="zh-CN"/>
        </w:rPr>
        <w:t xml:space="preserve"> in both magnitude and strength with seemingly substantial variation away from the line of best fit throughout the distribution. There are a few potentially outlying values of schools that spend considerably more per-student than </w:t>
      </w:r>
      <w:proofErr w:type="gramStart"/>
      <w:r w:rsidR="00561120">
        <w:rPr>
          <w:rFonts w:ascii="Helvetica" w:eastAsia="Times New Roman" w:hAnsi="Helvetica" w:cs="Helvetica"/>
          <w:color w:val="2E74B5" w:themeColor="accent5" w:themeShade="BF"/>
          <w:sz w:val="21"/>
          <w:szCs w:val="21"/>
          <w:lang w:eastAsia="zh-CN"/>
        </w:rPr>
        <w:t>others</w:t>
      </w:r>
      <w:proofErr w:type="gramEnd"/>
      <w:r w:rsidR="00561120">
        <w:rPr>
          <w:rFonts w:ascii="Helvetica" w:eastAsia="Times New Roman" w:hAnsi="Helvetica" w:cs="Helvetica"/>
          <w:color w:val="2E74B5" w:themeColor="accent5" w:themeShade="BF"/>
          <w:sz w:val="21"/>
          <w:szCs w:val="21"/>
          <w:lang w:eastAsia="zh-CN"/>
        </w:rPr>
        <w:t>.</w:t>
      </w:r>
    </w:p>
    <w:p w14:paraId="16DA469E" w14:textId="77777777" w:rsidR="00561120" w:rsidRPr="008A45B4" w:rsidRDefault="00561120" w:rsidP="008A45B4">
      <w:pPr>
        <w:shd w:val="clear" w:color="auto" w:fill="FFFFFF"/>
        <w:spacing w:after="150"/>
        <w:rPr>
          <w:rFonts w:ascii="Helvetica" w:eastAsia="Times New Roman" w:hAnsi="Helvetica" w:cs="Helvetica"/>
          <w:color w:val="333333"/>
          <w:sz w:val="21"/>
          <w:szCs w:val="21"/>
          <w:lang w:eastAsia="zh-CN"/>
        </w:rPr>
      </w:pPr>
    </w:p>
    <w:p w14:paraId="7BC5BFBA" w14:textId="62B4C69C"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2. </w:t>
      </w:r>
      <w:r w:rsidR="00091847">
        <w:rPr>
          <w:rFonts w:ascii="inherit" w:hAnsi="inherit" w:cs="Helvetica"/>
          <w:b w:val="0"/>
          <w:bCs w:val="0"/>
          <w:color w:val="333333"/>
          <w:sz w:val="27"/>
          <w:szCs w:val="27"/>
        </w:rPr>
        <w:t xml:space="preserve">Research question </w:t>
      </w:r>
    </w:p>
    <w:p w14:paraId="4F4CC29A" w14:textId="4EE08486" w:rsidR="000F72A4" w:rsidRDefault="00091847" w:rsidP="00091847">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2.1. </w:t>
      </w:r>
      <w:r w:rsidR="000F72A4" w:rsidRPr="000F72A4">
        <w:rPr>
          <w:rFonts w:ascii="Helvetica" w:eastAsia="Times New Roman" w:hAnsi="Helvetica" w:cs="Helvetica"/>
          <w:color w:val="333333"/>
          <w:sz w:val="21"/>
          <w:szCs w:val="21"/>
          <w:lang w:eastAsia="zh-CN"/>
        </w:rPr>
        <w:t>Write a formal linear model that describes the simple, bivariate relationship between school-level per-pupil expenditure and the school-level average receipt of free- or reduced-price lunch and interpret each of the terms in this model. (1 point)</w:t>
      </w:r>
    </w:p>
    <w:p w14:paraId="1648EBE3" w14:textId="5E3CF8D1"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980F9C">
        <w:rPr>
          <w:rFonts w:ascii="Helvetica" w:eastAsia="Times New Roman" w:hAnsi="Helvetica" w:cs="Helvetica"/>
          <w:color w:val="2E74B5" w:themeColor="accent5" w:themeShade="BF"/>
          <w:sz w:val="21"/>
          <w:szCs w:val="21"/>
          <w:lang w:eastAsia="zh-CN"/>
        </w:rPr>
        <w:t>We postulate the following linear model to characterize the relationship between school-level per pupil expenditure (</w:t>
      </w:r>
      <w:r w:rsidRPr="00980F9C">
        <w:rPr>
          <w:rFonts w:ascii="Helvetica" w:eastAsia="Times New Roman" w:hAnsi="Helvetica" w:cs="Helvetica"/>
          <w:i/>
          <w:color w:val="2E74B5" w:themeColor="accent5" w:themeShade="BF"/>
          <w:sz w:val="21"/>
          <w:szCs w:val="21"/>
          <w:lang w:eastAsia="zh-CN"/>
        </w:rPr>
        <w:t>PPE</w:t>
      </w:r>
      <w:r w:rsidRPr="00980F9C">
        <w:rPr>
          <w:rFonts w:ascii="Helvetica" w:eastAsia="Times New Roman" w:hAnsi="Helvetica" w:cs="Helvetica"/>
          <w:color w:val="2E74B5" w:themeColor="accent5" w:themeShade="BF"/>
          <w:sz w:val="21"/>
          <w:szCs w:val="21"/>
          <w:lang w:eastAsia="zh-CN"/>
        </w:rPr>
        <w:t>) as a function of the average receipt of free- or reduced-price lunch (</w:t>
      </w:r>
      <w:r w:rsidRPr="00980F9C">
        <w:rPr>
          <w:rFonts w:ascii="Helvetica" w:eastAsia="Times New Roman" w:hAnsi="Helvetica" w:cs="Helvetica"/>
          <w:i/>
          <w:color w:val="2E74B5" w:themeColor="accent5" w:themeShade="BF"/>
          <w:sz w:val="21"/>
          <w:szCs w:val="21"/>
          <w:lang w:eastAsia="zh-CN"/>
        </w:rPr>
        <w:t>FRPL</w:t>
      </w:r>
      <w:r w:rsidRPr="00980F9C">
        <w:rPr>
          <w:rFonts w:ascii="Helvetica" w:eastAsia="Times New Roman" w:hAnsi="Helvetica" w:cs="Helvetica"/>
          <w:color w:val="2E74B5" w:themeColor="accent5" w:themeShade="BF"/>
          <w:sz w:val="21"/>
          <w:szCs w:val="21"/>
          <w:lang w:eastAsia="zh-CN"/>
        </w:rPr>
        <w:t>) at the school:</w:t>
      </w:r>
    </w:p>
    <w:p w14:paraId="2C5E3579" w14:textId="3C85FD7E"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m:oMathPara>
        <m:oMath>
          <m:r>
            <w:rPr>
              <w:rFonts w:ascii="Cambria Math" w:eastAsia="Times New Roman" w:hAnsi="Cambria Math" w:cs="Helvetica"/>
              <w:color w:val="2E74B5" w:themeColor="accent5" w:themeShade="BF"/>
              <w:sz w:val="21"/>
              <w:szCs w:val="21"/>
              <w:lang w:eastAsia="zh-CN"/>
            </w:rPr>
            <m:t>PP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E</m:t>
              </m:r>
            </m:e>
            <m:sub>
              <m:r>
                <w:rPr>
                  <w:rFonts w:ascii="Cambria Math" w:eastAsia="Times New Roman" w:hAnsi="Cambria Math" w:cs="Helvetica"/>
                  <w:color w:val="2E74B5" w:themeColor="accent5" w:themeShade="BF"/>
                  <w:sz w:val="21"/>
                  <w:szCs w:val="21"/>
                  <w:lang w:eastAsia="zh-CN"/>
                </w:rPr>
                <m:t>i</m:t>
              </m:r>
            </m:sub>
          </m:sSub>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0</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1</m:t>
              </m:r>
            </m:sub>
          </m:sSub>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FRP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i</m:t>
                  </m:r>
                </m:sub>
              </m:sSub>
            </m:e>
          </m:d>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ε</m:t>
              </m:r>
            </m:e>
            <m:sub>
              <m:r>
                <w:rPr>
                  <w:rFonts w:ascii="Cambria Math" w:eastAsia="Times New Roman" w:hAnsi="Cambria Math" w:cs="Helvetica"/>
                  <w:color w:val="2E74B5" w:themeColor="accent5" w:themeShade="BF"/>
                  <w:sz w:val="21"/>
                  <w:szCs w:val="21"/>
                  <w:lang w:eastAsia="zh-CN"/>
                </w:rPr>
                <m:t>i</m:t>
              </m:r>
            </m:sub>
          </m:sSub>
        </m:oMath>
      </m:oMathPara>
    </w:p>
    <w:p w14:paraId="7B5AB1CC" w14:textId="22475250"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proofErr w:type="gramStart"/>
      <w:r w:rsidRPr="00980F9C">
        <w:rPr>
          <w:rFonts w:ascii="Helvetica" w:eastAsia="Times New Roman" w:hAnsi="Helvetica" w:cs="Helvetica"/>
          <w:color w:val="2E74B5" w:themeColor="accent5" w:themeShade="BF"/>
          <w:sz w:val="21"/>
          <w:szCs w:val="21"/>
          <w:lang w:eastAsia="zh-CN"/>
        </w:rPr>
        <w:lastRenderedPageBreak/>
        <w:t>where</w:t>
      </w:r>
      <w:proofErr w:type="gramEnd"/>
      <w:r w:rsidRPr="00980F9C">
        <w:rPr>
          <w:rFonts w:ascii="Helvetica" w:eastAsia="Times New Roman" w:hAnsi="Helvetica" w:cs="Helvetica"/>
          <w:color w:val="2E74B5" w:themeColor="accent5" w:themeShade="BF"/>
          <w:sz w:val="21"/>
          <w:szCs w:val="21"/>
          <w:lang w:eastAsia="zh-CN"/>
        </w:rPr>
        <w:t xml:space="preserve"> </w:t>
      </w:r>
      <w:r w:rsidR="00980F9C" w:rsidRPr="00980F9C">
        <w:rPr>
          <w:rFonts w:ascii="Helvetica" w:eastAsia="Times New Roman" w:hAnsi="Helvetica" w:cs="Helvetica"/>
          <w:i/>
          <w:color w:val="2E74B5" w:themeColor="accent5" w:themeShade="BF"/>
          <w:sz w:val="21"/>
          <w:szCs w:val="21"/>
          <w:lang w:eastAsia="zh-CN"/>
        </w:rPr>
        <w:t xml:space="preserve">PPE </w:t>
      </w:r>
      <w:r w:rsidR="00980F9C" w:rsidRPr="00980F9C">
        <w:rPr>
          <w:rFonts w:ascii="Helvetica" w:eastAsia="Times New Roman" w:hAnsi="Helvetica" w:cs="Helvetica"/>
          <w:color w:val="2E74B5" w:themeColor="accent5" w:themeShade="BF"/>
          <w:sz w:val="21"/>
          <w:szCs w:val="21"/>
          <w:lang w:eastAsia="zh-CN"/>
        </w:rPr>
        <w:t xml:space="preserve">for the </w:t>
      </w:r>
      <w:proofErr w:type="spellStart"/>
      <w:r w:rsidR="00980F9C" w:rsidRPr="00980F9C">
        <w:rPr>
          <w:rFonts w:ascii="Helvetica" w:eastAsia="Times New Roman" w:hAnsi="Helvetica" w:cs="Helvetica"/>
          <w:i/>
          <w:color w:val="2E74B5" w:themeColor="accent5" w:themeShade="BF"/>
          <w:sz w:val="21"/>
          <w:szCs w:val="21"/>
          <w:lang w:eastAsia="zh-CN"/>
        </w:rPr>
        <w:t>i</w:t>
      </w:r>
      <w:r w:rsidR="00980F9C" w:rsidRPr="00980F9C">
        <w:rPr>
          <w:rFonts w:ascii="Helvetica" w:eastAsia="Times New Roman" w:hAnsi="Helvetica" w:cs="Helvetica"/>
          <w:color w:val="2E74B5" w:themeColor="accent5" w:themeShade="BF"/>
          <w:sz w:val="21"/>
          <w:szCs w:val="21"/>
          <w:vertAlign w:val="superscript"/>
          <w:lang w:eastAsia="zh-CN"/>
        </w:rPr>
        <w:t>th</w:t>
      </w:r>
      <w:proofErr w:type="spellEnd"/>
      <w:r w:rsidR="00980F9C" w:rsidRPr="00980F9C">
        <w:rPr>
          <w:rFonts w:ascii="Helvetica" w:eastAsia="Times New Roman" w:hAnsi="Helvetica" w:cs="Helvetica"/>
          <w:color w:val="2E74B5" w:themeColor="accent5" w:themeShade="BF"/>
          <w:sz w:val="21"/>
          <w:szCs w:val="21"/>
          <w:lang w:eastAsia="zh-CN"/>
        </w:rPr>
        <w:t xml:space="preserve"> school is a function of an intercept (</w:t>
      </w:r>
      <w:r w:rsidR="00980F9C" w:rsidRPr="00980F9C">
        <w:rPr>
          <w:rFonts w:ascii="Times New Roman" w:eastAsia="Times New Roman" w:hAnsi="Times New Roman" w:cs="Times New Roman"/>
          <w:i/>
          <w:color w:val="2E74B5" w:themeColor="accent5" w:themeShade="BF"/>
          <w:sz w:val="21"/>
          <w:szCs w:val="21"/>
          <w:lang w:eastAsia="zh-CN"/>
        </w:rPr>
        <w:t>β</w:t>
      </w:r>
      <w:r w:rsidR="00980F9C" w:rsidRPr="00980F9C">
        <w:rPr>
          <w:rFonts w:ascii="Helvetica" w:eastAsia="Times New Roman" w:hAnsi="Helvetica" w:cs="Helvetica"/>
          <w:i/>
          <w:color w:val="2E74B5" w:themeColor="accent5" w:themeShade="BF"/>
          <w:sz w:val="21"/>
          <w:szCs w:val="21"/>
          <w:vertAlign w:val="subscript"/>
          <w:lang w:eastAsia="zh-CN"/>
        </w:rPr>
        <w:t>0</w:t>
      </w:r>
      <w:r w:rsidR="00980F9C" w:rsidRPr="00980F9C">
        <w:rPr>
          <w:rFonts w:ascii="Helvetica" w:eastAsia="Times New Roman" w:hAnsi="Helvetica" w:cs="Helvetica"/>
          <w:color w:val="2E74B5" w:themeColor="accent5" w:themeShade="BF"/>
          <w:sz w:val="21"/>
          <w:szCs w:val="21"/>
          <w:lang w:eastAsia="zh-CN"/>
        </w:rPr>
        <w:t xml:space="preserve">), which will represent the value of </w:t>
      </w:r>
      <w:r w:rsidR="00980F9C" w:rsidRPr="00980F9C">
        <w:rPr>
          <w:rFonts w:ascii="Helvetica" w:eastAsia="Times New Roman" w:hAnsi="Helvetica" w:cs="Helvetica"/>
          <w:i/>
          <w:color w:val="2E74B5" w:themeColor="accent5" w:themeShade="BF"/>
          <w:sz w:val="21"/>
          <w:szCs w:val="21"/>
          <w:lang w:eastAsia="zh-CN"/>
        </w:rPr>
        <w:t>PPE</w:t>
      </w:r>
      <w:r w:rsidR="00980F9C" w:rsidRPr="00980F9C">
        <w:rPr>
          <w:rFonts w:ascii="Helvetica" w:eastAsia="Times New Roman" w:hAnsi="Helvetica" w:cs="Helvetica"/>
          <w:color w:val="2E74B5" w:themeColor="accent5" w:themeShade="BF"/>
          <w:sz w:val="21"/>
          <w:szCs w:val="21"/>
          <w:lang w:eastAsia="zh-CN"/>
        </w:rPr>
        <w:t xml:space="preserve"> when </w:t>
      </w:r>
      <w:r w:rsidR="00980F9C" w:rsidRPr="00980F9C">
        <w:rPr>
          <w:rFonts w:ascii="Helvetica" w:eastAsia="Times New Roman" w:hAnsi="Helvetica" w:cs="Helvetica"/>
          <w:i/>
          <w:color w:val="2E74B5" w:themeColor="accent5" w:themeShade="BF"/>
          <w:sz w:val="21"/>
          <w:szCs w:val="21"/>
          <w:lang w:eastAsia="zh-CN"/>
        </w:rPr>
        <w:t>FRPL</w:t>
      </w:r>
      <w:r w:rsidR="00980F9C" w:rsidRPr="00980F9C">
        <w:rPr>
          <w:rFonts w:ascii="Helvetica" w:eastAsia="Times New Roman" w:hAnsi="Helvetica" w:cs="Helvetica"/>
          <w:color w:val="2E74B5" w:themeColor="accent5" w:themeShade="BF"/>
          <w:sz w:val="21"/>
          <w:szCs w:val="21"/>
          <w:lang w:eastAsia="zh-CN"/>
        </w:rPr>
        <w:t xml:space="preserve"> is equal to 0. Our parameter of interest is </w:t>
      </w:r>
      <w:r w:rsidR="00980F9C" w:rsidRPr="00980F9C">
        <w:rPr>
          <w:rFonts w:ascii="Times New Roman" w:eastAsia="Times New Roman" w:hAnsi="Times New Roman" w:cs="Times New Roman"/>
          <w:i/>
          <w:color w:val="2E74B5" w:themeColor="accent5" w:themeShade="BF"/>
          <w:sz w:val="21"/>
          <w:szCs w:val="21"/>
          <w:lang w:eastAsia="zh-CN"/>
        </w:rPr>
        <w:t>β</w:t>
      </w:r>
      <w:r w:rsidR="00980F9C" w:rsidRPr="00980F9C">
        <w:rPr>
          <w:rFonts w:ascii="Helvetica" w:eastAsia="Times New Roman" w:hAnsi="Helvetica" w:cs="Helvetica"/>
          <w:i/>
          <w:color w:val="2E74B5" w:themeColor="accent5" w:themeShade="BF"/>
          <w:sz w:val="21"/>
          <w:szCs w:val="21"/>
          <w:vertAlign w:val="subscript"/>
          <w:lang w:eastAsia="zh-CN"/>
        </w:rPr>
        <w:t>1</w:t>
      </w:r>
      <w:r w:rsidR="00980F9C" w:rsidRPr="00980F9C">
        <w:rPr>
          <w:rFonts w:ascii="Helvetica" w:eastAsia="Times New Roman" w:hAnsi="Helvetica" w:cs="Helvetica"/>
          <w:color w:val="2E74B5" w:themeColor="accent5" w:themeShade="BF"/>
          <w:sz w:val="21"/>
          <w:szCs w:val="21"/>
          <w:lang w:eastAsia="zh-CN"/>
        </w:rPr>
        <w:t xml:space="preserve">, which represents the slope of the relationship between </w:t>
      </w:r>
      <w:r w:rsidR="00980F9C" w:rsidRPr="00980F9C">
        <w:rPr>
          <w:rFonts w:ascii="Helvetica" w:eastAsia="Times New Roman" w:hAnsi="Helvetica" w:cs="Helvetica"/>
          <w:i/>
          <w:color w:val="2E74B5" w:themeColor="accent5" w:themeShade="BF"/>
          <w:sz w:val="21"/>
          <w:szCs w:val="21"/>
          <w:lang w:eastAsia="zh-CN"/>
        </w:rPr>
        <w:t>FRPL</w:t>
      </w:r>
      <w:r w:rsidR="00980F9C" w:rsidRPr="00980F9C">
        <w:rPr>
          <w:rFonts w:ascii="Helvetica" w:eastAsia="Times New Roman" w:hAnsi="Helvetica" w:cs="Helvetica"/>
          <w:color w:val="2E74B5" w:themeColor="accent5" w:themeShade="BF"/>
          <w:sz w:val="21"/>
          <w:szCs w:val="21"/>
          <w:lang w:eastAsia="zh-CN"/>
        </w:rPr>
        <w:t xml:space="preserve"> and </w:t>
      </w:r>
      <w:r w:rsidR="00980F9C" w:rsidRPr="00980F9C">
        <w:rPr>
          <w:rFonts w:ascii="Helvetica" w:eastAsia="Times New Roman" w:hAnsi="Helvetica" w:cs="Helvetica"/>
          <w:i/>
          <w:color w:val="2E74B5" w:themeColor="accent5" w:themeShade="BF"/>
          <w:sz w:val="21"/>
          <w:szCs w:val="21"/>
          <w:lang w:eastAsia="zh-CN"/>
        </w:rPr>
        <w:t>PPE</w:t>
      </w:r>
      <w:r w:rsidR="00980F9C" w:rsidRPr="00980F9C">
        <w:rPr>
          <w:rFonts w:ascii="Helvetica" w:eastAsia="Times New Roman" w:hAnsi="Helvetica" w:cs="Helvetica"/>
          <w:color w:val="2E74B5" w:themeColor="accent5" w:themeShade="BF"/>
          <w:sz w:val="21"/>
          <w:szCs w:val="21"/>
          <w:lang w:eastAsia="zh-CN"/>
        </w:rPr>
        <w:t xml:space="preserve">.  Finally, </w:t>
      </w:r>
      <w:proofErr w:type="spellStart"/>
      <w:r w:rsidR="00980F9C" w:rsidRPr="00980F9C">
        <w:rPr>
          <w:rFonts w:ascii="Times New Roman" w:eastAsia="Times New Roman" w:hAnsi="Times New Roman" w:cs="Times New Roman"/>
          <w:i/>
          <w:color w:val="2E74B5" w:themeColor="accent5" w:themeShade="BF"/>
          <w:sz w:val="21"/>
          <w:szCs w:val="21"/>
          <w:lang w:eastAsia="zh-CN"/>
        </w:rPr>
        <w:t>ε</w:t>
      </w:r>
      <w:r w:rsidR="00980F9C" w:rsidRPr="00980F9C">
        <w:rPr>
          <w:rFonts w:ascii="Helvetica" w:eastAsia="Times New Roman" w:hAnsi="Helvetica" w:cs="Helvetica"/>
          <w:i/>
          <w:color w:val="2E74B5" w:themeColor="accent5" w:themeShade="BF"/>
          <w:sz w:val="21"/>
          <w:szCs w:val="21"/>
          <w:vertAlign w:val="subscript"/>
          <w:lang w:eastAsia="zh-CN"/>
        </w:rPr>
        <w:t>i</w:t>
      </w:r>
      <w:proofErr w:type="spellEnd"/>
      <w:r w:rsidR="00980F9C" w:rsidRPr="00980F9C">
        <w:rPr>
          <w:rFonts w:ascii="Helvetica" w:eastAsia="Times New Roman" w:hAnsi="Helvetica" w:cs="Helvetica"/>
          <w:color w:val="2E74B5" w:themeColor="accent5" w:themeShade="BF"/>
          <w:sz w:val="21"/>
          <w:szCs w:val="21"/>
          <w:lang w:eastAsia="zh-CN"/>
        </w:rPr>
        <w:t xml:space="preserve"> is an idiosyncratic school-level error term, which represents the variance in PPE unexplained by our model.</w:t>
      </w:r>
    </w:p>
    <w:p w14:paraId="0182ACA5" w14:textId="38A851FD" w:rsidR="00091847" w:rsidRPr="00091847" w:rsidRDefault="000F72A4"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333333"/>
          <w:sz w:val="21"/>
          <w:szCs w:val="21"/>
          <w:lang w:eastAsia="zh-CN"/>
        </w:rPr>
        <w:t xml:space="preserve">2.2. </w:t>
      </w:r>
      <w:r w:rsidRPr="000F72A4">
        <w:rPr>
          <w:rFonts w:ascii="Helvetica" w:eastAsia="Times New Roman" w:hAnsi="Helvetica" w:cs="Helvetica"/>
          <w:color w:val="333333"/>
          <w:sz w:val="21"/>
          <w:szCs w:val="21"/>
          <w:lang w:eastAsia="zh-CN"/>
        </w:rPr>
        <w:t>State your null hypothesis about the relationship between per-pupil expenditure and the proportion of students receiving free- or reduced-price lunch. (1 point)</w:t>
      </w:r>
    </w:p>
    <w:p w14:paraId="23B2B175" w14:textId="1D401FF3" w:rsidR="00091847" w:rsidRDefault="00760A5A"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Th</w:t>
      </w:r>
      <w:r w:rsidR="00980F9C">
        <w:rPr>
          <w:rFonts w:ascii="Helvetica" w:eastAsia="Times New Roman" w:hAnsi="Helvetica" w:cs="Helvetica"/>
          <w:color w:val="2E74B5" w:themeColor="accent5" w:themeShade="BF"/>
          <w:sz w:val="21"/>
          <w:szCs w:val="21"/>
          <w:lang w:eastAsia="zh-CN"/>
        </w:rPr>
        <w:t>ere is no relationship between per-pupil expenditure</w:t>
      </w:r>
      <w:r>
        <w:rPr>
          <w:rFonts w:ascii="Helvetica" w:eastAsia="Times New Roman" w:hAnsi="Helvetica" w:cs="Helvetica"/>
          <w:color w:val="2E74B5" w:themeColor="accent5" w:themeShade="BF"/>
          <w:sz w:val="21"/>
          <w:szCs w:val="21"/>
          <w:lang w:eastAsia="zh-CN"/>
        </w:rPr>
        <w:t xml:space="preserve"> and t</w:t>
      </w:r>
      <w:r w:rsidR="00980F9C">
        <w:rPr>
          <w:rFonts w:ascii="Helvetica" w:eastAsia="Times New Roman" w:hAnsi="Helvetica" w:cs="Helvetica"/>
          <w:color w:val="2E74B5" w:themeColor="accent5" w:themeShade="BF"/>
          <w:sz w:val="21"/>
          <w:szCs w:val="21"/>
          <w:lang w:eastAsia="zh-CN"/>
        </w:rPr>
        <w:t>he proportion of students receiving free- or reduced-price lunch in school</w:t>
      </w:r>
      <w:r>
        <w:rPr>
          <w:rFonts w:ascii="Helvetica" w:eastAsia="Times New Roman" w:hAnsi="Helvetica" w:cs="Helvetica"/>
          <w:color w:val="2E74B5" w:themeColor="accent5" w:themeShade="BF"/>
          <w:sz w:val="21"/>
          <w:szCs w:val="21"/>
          <w:lang w:eastAsia="zh-CN"/>
        </w:rPr>
        <w:t>, on average in the population</w:t>
      </w:r>
      <w:r w:rsidR="00980F9C">
        <w:rPr>
          <w:rFonts w:ascii="Helvetica" w:eastAsia="Times New Roman" w:hAnsi="Helvetica" w:cs="Helvetica"/>
          <w:color w:val="2E74B5" w:themeColor="accent5" w:themeShade="BF"/>
          <w:sz w:val="21"/>
          <w:szCs w:val="21"/>
          <w:lang w:eastAsia="zh-CN"/>
        </w:rPr>
        <w:t xml:space="preserve"> of Oregon public schools</w:t>
      </w:r>
      <w:r>
        <w:rPr>
          <w:rFonts w:ascii="Helvetica" w:eastAsia="Times New Roman" w:hAnsi="Helvetica" w:cs="Helvetica"/>
          <w:color w:val="2E74B5" w:themeColor="accent5" w:themeShade="BF"/>
          <w:sz w:val="21"/>
          <w:szCs w:val="21"/>
          <w:lang w:eastAsia="zh-CN"/>
        </w:rPr>
        <w:t>.</w:t>
      </w:r>
    </w:p>
    <w:p w14:paraId="6A43324C" w14:textId="39E5DC5E" w:rsidR="00091847" w:rsidRDefault="00091847" w:rsidP="00091847">
      <w:pPr>
        <w:shd w:val="clear" w:color="auto" w:fill="FFFFFF"/>
        <w:spacing w:before="100" w:beforeAutospacing="1" w:after="100" w:afterAutospacing="1"/>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w:t>
      </w:r>
      <w:r w:rsidR="000F72A4">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 xml:space="preserve"> </w:t>
      </w:r>
      <w:r w:rsidR="000F72A4" w:rsidRPr="000F72A4">
        <w:rPr>
          <w:rFonts w:ascii="Helvetica" w:hAnsi="Helvetica" w:cs="Helvetica"/>
          <w:color w:val="333333"/>
          <w:sz w:val="21"/>
          <w:szCs w:val="21"/>
          <w:shd w:val="clear" w:color="auto" w:fill="FFFFFF"/>
        </w:rPr>
        <w:t>Formally test your hypothesis using an Ordinary Least Squares estimation strategy. Report your results in a formatted table. (2 points)</w:t>
      </w:r>
    </w:p>
    <w:p w14:paraId="4243C31D" w14:textId="2803E8B3" w:rsidR="00980F9C" w:rsidRPr="00980F9C" w:rsidRDefault="00980F9C" w:rsidP="00091847">
      <w:pPr>
        <w:shd w:val="clear" w:color="auto" w:fill="FFFFFF"/>
        <w:spacing w:before="100" w:beforeAutospacing="1" w:after="100" w:afterAutospacing="1"/>
        <w:rPr>
          <w:rFonts w:ascii="Helvetica" w:hAnsi="Helvetica" w:cs="Helvetica"/>
          <w:b/>
          <w:color w:val="2E74B5" w:themeColor="accent5" w:themeShade="BF"/>
          <w:sz w:val="21"/>
          <w:szCs w:val="21"/>
          <w:shd w:val="clear" w:color="auto" w:fill="FFFFFF"/>
        </w:rPr>
      </w:pPr>
      <w:r w:rsidRPr="00980F9C">
        <w:rPr>
          <w:rFonts w:ascii="Helvetica" w:hAnsi="Helvetica" w:cs="Helvetica"/>
          <w:b/>
          <w:color w:val="2E74B5" w:themeColor="accent5" w:themeShade="BF"/>
          <w:sz w:val="21"/>
          <w:szCs w:val="21"/>
          <w:shd w:val="clear" w:color="auto" w:fill="FFFFFF"/>
        </w:rPr>
        <w:t>Table 2</w:t>
      </w:r>
    </w:p>
    <w:p w14:paraId="3902E2BC" w14:textId="2940A3E6" w:rsidR="00980F9C" w:rsidRPr="00980F9C" w:rsidRDefault="00980F9C" w:rsidP="00091847">
      <w:pPr>
        <w:shd w:val="clear" w:color="auto" w:fill="FFFFFF"/>
        <w:spacing w:before="100" w:beforeAutospacing="1" w:after="100" w:afterAutospacing="1"/>
        <w:rPr>
          <w:rStyle w:val="Strong"/>
          <w:rFonts w:ascii="Helvetica" w:hAnsi="Helvetica" w:cs="Helvetica"/>
          <w:b w:val="0"/>
          <w:i/>
          <w:color w:val="2E74B5" w:themeColor="accent5" w:themeShade="BF"/>
          <w:sz w:val="21"/>
          <w:szCs w:val="21"/>
          <w:shd w:val="clear" w:color="auto" w:fill="FFFFFF"/>
        </w:rPr>
      </w:pPr>
      <w:r w:rsidRPr="00980F9C">
        <w:rPr>
          <w:rFonts w:ascii="Helvetica" w:hAnsi="Helvetica" w:cs="Helvetica"/>
          <w:b/>
          <w:i/>
          <w:color w:val="2E74B5" w:themeColor="accent5" w:themeShade="BF"/>
          <w:sz w:val="21"/>
          <w:szCs w:val="21"/>
          <w:shd w:val="clear" w:color="auto" w:fill="FFFFFF"/>
        </w:rPr>
        <w:t xml:space="preserve">Ordinary Least Squares estimates of the relationship between school-level per-pupil expenditures and free- and reduced price lunch rates </w:t>
      </w:r>
      <w:r>
        <w:rPr>
          <w:rFonts w:ascii="Helvetica" w:hAnsi="Helvetica" w:cs="Helvetica"/>
          <w:b/>
          <w:i/>
          <w:color w:val="2E74B5" w:themeColor="accent5" w:themeShade="BF"/>
          <w:sz w:val="21"/>
          <w:szCs w:val="21"/>
          <w:shd w:val="clear" w:color="auto" w:fill="FFFFFF"/>
        </w:rPr>
        <w:t>for</w:t>
      </w:r>
      <w:r w:rsidRPr="00980F9C">
        <w:rPr>
          <w:rFonts w:ascii="Helvetica" w:hAnsi="Helvetica" w:cs="Helvetica"/>
          <w:b/>
          <w:i/>
          <w:color w:val="2E74B5" w:themeColor="accent5" w:themeShade="BF"/>
          <w:sz w:val="21"/>
          <w:szCs w:val="21"/>
          <w:shd w:val="clear" w:color="auto" w:fill="FFFFFF"/>
        </w:rPr>
        <w:t xml:space="preserve"> Oregon</w:t>
      </w:r>
      <w:r>
        <w:rPr>
          <w:rFonts w:ascii="Helvetica" w:hAnsi="Helvetica" w:cs="Helvetica"/>
          <w:b/>
          <w:i/>
          <w:color w:val="2E74B5" w:themeColor="accent5" w:themeShade="BF"/>
          <w:sz w:val="21"/>
          <w:szCs w:val="21"/>
          <w:shd w:val="clear" w:color="auto" w:fill="FFFFFF"/>
        </w:rPr>
        <w:t xml:space="preserve"> public schools</w:t>
      </w:r>
      <w:r w:rsidRPr="00980F9C">
        <w:rPr>
          <w:rFonts w:ascii="Helvetica" w:hAnsi="Helvetica" w:cs="Helvetica"/>
          <w:b/>
          <w:i/>
          <w:color w:val="2E74B5" w:themeColor="accent5" w:themeShade="BF"/>
          <w:sz w:val="21"/>
          <w:szCs w:val="21"/>
          <w:shd w:val="clear" w:color="auto" w:fill="FFFFFF"/>
        </w:rPr>
        <w:t>, 2018-19</w:t>
      </w:r>
    </w:p>
    <w:tbl>
      <w:tblPr>
        <w:tblW w:w="0" w:type="auto"/>
        <w:jc w:val="center"/>
        <w:tblLayout w:type="fixed"/>
        <w:tblLook w:val="0420" w:firstRow="1" w:lastRow="0" w:firstColumn="0" w:lastColumn="0" w:noHBand="0" w:noVBand="1"/>
      </w:tblPr>
      <w:tblGrid>
        <w:gridCol w:w="3906"/>
        <w:gridCol w:w="1791"/>
      </w:tblGrid>
      <w:tr w:rsidR="00C34A1D" w:rsidRPr="00C34A1D" w14:paraId="1377F20C" w14:textId="77777777" w:rsidTr="00C34A1D">
        <w:trPr>
          <w:tblHeader/>
          <w:jc w:val="center"/>
        </w:trPr>
        <w:tc>
          <w:tcPr>
            <w:tcW w:w="3906" w:type="dxa"/>
            <w:tcBorders>
              <w:top w:val="doub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6CCD4CA"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tcBorders>
              <w:top w:val="doub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B0BEC5F"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Model 1</w:t>
            </w:r>
          </w:p>
        </w:tc>
      </w:tr>
      <w:tr w:rsidR="00C34A1D" w:rsidRPr="00C34A1D" w14:paraId="3BAE010F" w14:textId="77777777" w:rsidTr="00C34A1D">
        <w:trPr>
          <w:jc w:val="center"/>
        </w:trPr>
        <w:tc>
          <w:tcPr>
            <w:tcW w:w="3906" w:type="dxa"/>
            <w:tcBorders>
              <w:top w:val="single" w:sz="4" w:space="0" w:color="auto"/>
            </w:tcBorders>
            <w:shd w:val="clear" w:color="auto" w:fill="FFFFFF"/>
            <w:tcMar>
              <w:top w:w="0" w:type="dxa"/>
              <w:left w:w="0" w:type="dxa"/>
              <w:bottom w:w="0" w:type="dxa"/>
              <w:right w:w="0" w:type="dxa"/>
            </w:tcMar>
            <w:vAlign w:val="center"/>
          </w:tcPr>
          <w:p w14:paraId="7B8D81CF"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(Intercept)</w:t>
            </w:r>
          </w:p>
        </w:tc>
        <w:tc>
          <w:tcPr>
            <w:tcW w:w="1791" w:type="dxa"/>
            <w:tcBorders>
              <w:top w:val="single" w:sz="4" w:space="0" w:color="auto"/>
            </w:tcBorders>
            <w:shd w:val="clear" w:color="auto" w:fill="FFFFFF"/>
            <w:tcMar>
              <w:top w:w="0" w:type="dxa"/>
              <w:left w:w="0" w:type="dxa"/>
              <w:bottom w:w="0" w:type="dxa"/>
              <w:right w:w="0" w:type="dxa"/>
            </w:tcMar>
            <w:vAlign w:val="center"/>
          </w:tcPr>
          <w:p w14:paraId="7EB9DF07" w14:textId="7B8649D8"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12226.90***</w:t>
            </w:r>
          </w:p>
        </w:tc>
      </w:tr>
      <w:tr w:rsidR="00C34A1D" w:rsidRPr="00C34A1D" w14:paraId="5326C47A" w14:textId="77777777" w:rsidTr="00C34A1D">
        <w:trPr>
          <w:jc w:val="center"/>
        </w:trPr>
        <w:tc>
          <w:tcPr>
            <w:tcW w:w="3906" w:type="dxa"/>
            <w:shd w:val="clear" w:color="auto" w:fill="FFFFFF"/>
            <w:tcMar>
              <w:top w:w="0" w:type="dxa"/>
              <w:left w:w="0" w:type="dxa"/>
              <w:bottom w:w="0" w:type="dxa"/>
              <w:right w:w="0" w:type="dxa"/>
            </w:tcMar>
            <w:vAlign w:val="center"/>
          </w:tcPr>
          <w:p w14:paraId="1D6B7D7C"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shd w:val="clear" w:color="auto" w:fill="FFFFFF"/>
            <w:tcMar>
              <w:top w:w="0" w:type="dxa"/>
              <w:left w:w="0" w:type="dxa"/>
              <w:bottom w:w="0" w:type="dxa"/>
              <w:right w:w="0" w:type="dxa"/>
            </w:tcMar>
            <w:vAlign w:val="center"/>
          </w:tcPr>
          <w:p w14:paraId="3FB9BA24" w14:textId="70445CAA"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(258.38)</w:t>
            </w:r>
          </w:p>
        </w:tc>
      </w:tr>
      <w:tr w:rsidR="00C34A1D" w:rsidRPr="00C34A1D" w14:paraId="5B5BE688" w14:textId="77777777" w:rsidTr="00C34A1D">
        <w:trPr>
          <w:jc w:val="center"/>
        </w:trPr>
        <w:tc>
          <w:tcPr>
            <w:tcW w:w="3906" w:type="dxa"/>
            <w:shd w:val="clear" w:color="auto" w:fill="FFFFFF"/>
            <w:tcMar>
              <w:top w:w="0" w:type="dxa"/>
              <w:left w:w="0" w:type="dxa"/>
              <w:bottom w:w="0" w:type="dxa"/>
              <w:right w:w="0" w:type="dxa"/>
            </w:tcMar>
            <w:vAlign w:val="center"/>
          </w:tcPr>
          <w:p w14:paraId="114C6E84" w14:textId="6DA9E0EE" w:rsidR="00C34A1D" w:rsidRPr="00980F9C" w:rsidRDefault="00C34A1D" w:rsidP="00DA664B">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 xml:space="preserve">Free- </w:t>
            </w:r>
            <w:r w:rsidR="00DA664B">
              <w:rPr>
                <w:rFonts w:ascii="Helvetica" w:eastAsia="Arial" w:hAnsi="Helvetica" w:cs="Helvetica"/>
                <w:color w:val="2E74B5" w:themeColor="accent5" w:themeShade="BF"/>
                <w:sz w:val="20"/>
                <w:szCs w:val="20"/>
              </w:rPr>
              <w:t>or</w:t>
            </w:r>
            <w:r w:rsidRPr="00980F9C">
              <w:rPr>
                <w:rFonts w:ascii="Helvetica" w:eastAsia="Arial" w:hAnsi="Helvetica" w:cs="Helvetica"/>
                <w:color w:val="2E74B5" w:themeColor="accent5" w:themeShade="BF"/>
                <w:sz w:val="20"/>
                <w:szCs w:val="20"/>
              </w:rPr>
              <w:t xml:space="preserve"> reduced-price lunch (0-1)</w:t>
            </w:r>
          </w:p>
        </w:tc>
        <w:tc>
          <w:tcPr>
            <w:tcW w:w="1791" w:type="dxa"/>
            <w:shd w:val="clear" w:color="auto" w:fill="FFFFFF"/>
            <w:tcMar>
              <w:top w:w="0" w:type="dxa"/>
              <w:left w:w="0" w:type="dxa"/>
              <w:bottom w:w="0" w:type="dxa"/>
              <w:right w:w="0" w:type="dxa"/>
            </w:tcMar>
            <w:vAlign w:val="center"/>
          </w:tcPr>
          <w:p w14:paraId="3C386A89" w14:textId="00C9035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2634.33***</w:t>
            </w:r>
          </w:p>
        </w:tc>
      </w:tr>
      <w:tr w:rsidR="00C34A1D" w:rsidRPr="00C34A1D" w14:paraId="52FEC58E" w14:textId="77777777" w:rsidTr="00C34A1D">
        <w:trPr>
          <w:jc w:val="center"/>
        </w:trPr>
        <w:tc>
          <w:tcPr>
            <w:tcW w:w="3906" w:type="dxa"/>
            <w:tcBorders>
              <w:bottom w:val="single" w:sz="4" w:space="0" w:color="auto"/>
            </w:tcBorders>
            <w:shd w:val="clear" w:color="auto" w:fill="FFFFFF"/>
            <w:tcMar>
              <w:top w:w="0" w:type="dxa"/>
              <w:left w:w="0" w:type="dxa"/>
              <w:bottom w:w="0" w:type="dxa"/>
              <w:right w:w="0" w:type="dxa"/>
            </w:tcMar>
            <w:vAlign w:val="center"/>
          </w:tcPr>
          <w:p w14:paraId="6FA7C44C"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tcBorders>
              <w:bottom w:val="single" w:sz="4" w:space="0" w:color="auto"/>
            </w:tcBorders>
            <w:shd w:val="clear" w:color="auto" w:fill="FFFFFF"/>
            <w:tcMar>
              <w:top w:w="0" w:type="dxa"/>
              <w:left w:w="0" w:type="dxa"/>
              <w:bottom w:w="0" w:type="dxa"/>
              <w:right w:w="0" w:type="dxa"/>
            </w:tcMar>
            <w:vAlign w:val="center"/>
          </w:tcPr>
          <w:p w14:paraId="12229019" w14:textId="5668EACC"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(407.23)</w:t>
            </w:r>
          </w:p>
        </w:tc>
      </w:tr>
      <w:tr w:rsidR="00C34A1D" w:rsidRPr="00C34A1D" w14:paraId="10F04882" w14:textId="77777777" w:rsidTr="00C34A1D">
        <w:trPr>
          <w:jc w:val="center"/>
        </w:trPr>
        <w:tc>
          <w:tcPr>
            <w:tcW w:w="3906" w:type="dxa"/>
            <w:tcBorders>
              <w:top w:val="single" w:sz="4" w:space="0" w:color="auto"/>
            </w:tcBorders>
            <w:shd w:val="clear" w:color="auto" w:fill="FFFFFF"/>
            <w:tcMar>
              <w:top w:w="0" w:type="dxa"/>
              <w:left w:w="0" w:type="dxa"/>
              <w:bottom w:w="0" w:type="dxa"/>
              <w:right w:w="0" w:type="dxa"/>
            </w:tcMar>
            <w:vAlign w:val="center"/>
          </w:tcPr>
          <w:p w14:paraId="12EDB473"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980F9C">
              <w:rPr>
                <w:rFonts w:ascii="Helvetica" w:eastAsia="Arial" w:hAnsi="Helvetica" w:cs="Helvetica"/>
                <w:color w:val="2E74B5" w:themeColor="accent5" w:themeShade="BF"/>
                <w:sz w:val="20"/>
                <w:szCs w:val="20"/>
              </w:rPr>
              <w:t>Num.Obs</w:t>
            </w:r>
            <w:proofErr w:type="spellEnd"/>
            <w:r w:rsidRPr="00980F9C">
              <w:rPr>
                <w:rFonts w:ascii="Helvetica" w:eastAsia="Arial" w:hAnsi="Helvetica" w:cs="Helvetica"/>
                <w:color w:val="2E74B5" w:themeColor="accent5" w:themeShade="BF"/>
                <w:sz w:val="20"/>
                <w:szCs w:val="20"/>
              </w:rPr>
              <w:t>.</w:t>
            </w:r>
          </w:p>
        </w:tc>
        <w:tc>
          <w:tcPr>
            <w:tcW w:w="1791" w:type="dxa"/>
            <w:tcBorders>
              <w:top w:val="single" w:sz="4" w:space="0" w:color="auto"/>
            </w:tcBorders>
            <w:shd w:val="clear" w:color="auto" w:fill="FFFFFF"/>
            <w:tcMar>
              <w:top w:w="0" w:type="dxa"/>
              <w:left w:w="0" w:type="dxa"/>
              <w:bottom w:w="0" w:type="dxa"/>
              <w:right w:w="0" w:type="dxa"/>
            </w:tcMar>
            <w:vAlign w:val="center"/>
          </w:tcPr>
          <w:p w14:paraId="44306DC7"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1193</w:t>
            </w:r>
          </w:p>
        </w:tc>
      </w:tr>
      <w:tr w:rsidR="00C34A1D" w:rsidRPr="00C34A1D" w14:paraId="08513E8B" w14:textId="77777777" w:rsidTr="00C34A1D">
        <w:trPr>
          <w:jc w:val="center"/>
        </w:trPr>
        <w:tc>
          <w:tcPr>
            <w:tcW w:w="3906"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A5534"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R2</w:t>
            </w:r>
          </w:p>
        </w:tc>
        <w:tc>
          <w:tcPr>
            <w:tcW w:w="179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38BA7" w14:textId="44F9D335" w:rsidR="00C34A1D" w:rsidRPr="00980F9C" w:rsidRDefault="00C34A1D" w:rsidP="00980F9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0.03</w:t>
            </w:r>
          </w:p>
        </w:tc>
      </w:tr>
      <w:tr w:rsidR="00C34A1D" w:rsidRPr="00C34A1D" w14:paraId="375DCFEC" w14:textId="77777777" w:rsidTr="00C34A1D">
        <w:trPr>
          <w:jc w:val="center"/>
        </w:trPr>
        <w:tc>
          <w:tcPr>
            <w:tcW w:w="3906" w:type="dxa"/>
            <w:tcBorders>
              <w:top w:val="none" w:sz="0" w:space="0" w:color="000000"/>
              <w:left w:val="none" w:sz="0" w:space="0" w:color="000000"/>
              <w:bottom w:val="double" w:sz="4" w:space="0" w:color="auto"/>
              <w:right w:val="none" w:sz="0" w:space="0" w:color="000000"/>
            </w:tcBorders>
            <w:shd w:val="clear" w:color="auto" w:fill="FFFFFF"/>
            <w:tcMar>
              <w:top w:w="0" w:type="dxa"/>
              <w:left w:w="0" w:type="dxa"/>
              <w:bottom w:w="0" w:type="dxa"/>
              <w:right w:w="0" w:type="dxa"/>
            </w:tcMar>
            <w:vAlign w:val="center"/>
          </w:tcPr>
          <w:p w14:paraId="2FD908CE"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RMSE</w:t>
            </w:r>
          </w:p>
        </w:tc>
        <w:tc>
          <w:tcPr>
            <w:tcW w:w="1791" w:type="dxa"/>
            <w:tcBorders>
              <w:top w:val="none" w:sz="0" w:space="0" w:color="000000"/>
              <w:left w:val="none" w:sz="0" w:space="0" w:color="000000"/>
              <w:bottom w:val="double" w:sz="4" w:space="0" w:color="auto"/>
              <w:right w:val="none" w:sz="0" w:space="0" w:color="000000"/>
            </w:tcBorders>
            <w:shd w:val="clear" w:color="auto" w:fill="FFFFFF"/>
            <w:tcMar>
              <w:top w:w="0" w:type="dxa"/>
              <w:left w:w="0" w:type="dxa"/>
              <w:bottom w:w="0" w:type="dxa"/>
              <w:right w:w="0" w:type="dxa"/>
            </w:tcMar>
            <w:vAlign w:val="center"/>
          </w:tcPr>
          <w:p w14:paraId="3433840E"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4198.60</w:t>
            </w:r>
          </w:p>
        </w:tc>
      </w:tr>
      <w:tr w:rsidR="00C34A1D" w:rsidRPr="00C34A1D" w14:paraId="4F6DD986" w14:textId="77777777" w:rsidTr="00C34A1D">
        <w:trPr>
          <w:jc w:val="center"/>
        </w:trPr>
        <w:tc>
          <w:tcPr>
            <w:tcW w:w="5697" w:type="dxa"/>
            <w:gridSpan w:val="2"/>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4FE6B79" w14:textId="2AB65A14" w:rsidR="00C34A1D" w:rsidRPr="00980F9C" w:rsidRDefault="00C34A1D" w:rsidP="00980F9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i/>
                <w:color w:val="2E74B5" w:themeColor="accent5" w:themeShade="BF"/>
                <w:sz w:val="20"/>
                <w:szCs w:val="20"/>
              </w:rPr>
              <w:t>Notes</w:t>
            </w:r>
            <w:r w:rsidRPr="00980F9C">
              <w:rPr>
                <w:rFonts w:ascii="Helvetica" w:eastAsia="Arial" w:hAnsi="Helvetica" w:cs="Helvetica"/>
                <w:color w:val="2E74B5" w:themeColor="accent5" w:themeShade="BF"/>
                <w:sz w:val="20"/>
                <w:szCs w:val="20"/>
              </w:rPr>
              <w:t xml:space="preserve">: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0.1,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0.05,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0.01,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0.001. Cells rep</w:t>
            </w:r>
            <w:r w:rsidR="00980F9C">
              <w:rPr>
                <w:rFonts w:ascii="Helvetica" w:eastAsia="Arial" w:hAnsi="Helvetica" w:cs="Helvetica"/>
                <w:color w:val="2E74B5" w:themeColor="accent5" w:themeShade="BF"/>
                <w:sz w:val="20"/>
                <w:szCs w:val="20"/>
              </w:rPr>
              <w:t>or</w:t>
            </w:r>
            <w:r w:rsidRPr="00980F9C">
              <w:rPr>
                <w:rFonts w:ascii="Helvetica" w:eastAsia="Arial" w:hAnsi="Helvetica" w:cs="Helvetica"/>
                <w:color w:val="2E74B5" w:themeColor="accent5" w:themeShade="BF"/>
                <w:sz w:val="20"/>
                <w:szCs w:val="20"/>
              </w:rPr>
              <w:t>t coefficients and standard errors in parentheses.</w:t>
            </w:r>
          </w:p>
        </w:tc>
      </w:tr>
    </w:tbl>
    <w:p w14:paraId="6D7E9112" w14:textId="77777777" w:rsidR="00697DC9" w:rsidRDefault="00697DC9" w:rsidP="00091847">
      <w:pPr>
        <w:pStyle w:val="NormalWeb"/>
        <w:shd w:val="clear" w:color="auto" w:fill="FFFFFF"/>
        <w:spacing w:before="0" w:beforeAutospacing="0" w:after="150" w:afterAutospacing="0"/>
        <w:rPr>
          <w:rFonts w:ascii="Helvetica" w:hAnsi="Helvetica" w:cs="Helvetica"/>
          <w:color w:val="333333"/>
          <w:sz w:val="21"/>
          <w:szCs w:val="21"/>
        </w:rPr>
      </w:pPr>
    </w:p>
    <w:p w14:paraId="48B447D8" w14:textId="373176F7" w:rsidR="00091847" w:rsidRDefault="00091847" w:rsidP="00091847">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rPr>
      </w:pPr>
      <w:r>
        <w:rPr>
          <w:rFonts w:ascii="Helvetica" w:hAnsi="Helvetica" w:cs="Helvetica"/>
          <w:color w:val="333333"/>
          <w:sz w:val="21"/>
          <w:szCs w:val="21"/>
        </w:rPr>
        <w:t>2.</w:t>
      </w:r>
      <w:r w:rsidR="000F72A4">
        <w:rPr>
          <w:rFonts w:ascii="Helvetica" w:hAnsi="Helvetica" w:cs="Helvetica"/>
          <w:color w:val="333333"/>
          <w:sz w:val="21"/>
          <w:szCs w:val="21"/>
        </w:rPr>
        <w:t>4.</w:t>
      </w:r>
      <w:r w:rsidR="000F72A4" w:rsidRPr="000F72A4">
        <w:t xml:space="preserve"> </w:t>
      </w:r>
      <w:r w:rsidR="000F72A4" w:rsidRPr="000F72A4">
        <w:rPr>
          <w:rFonts w:ascii="Helvetica" w:hAnsi="Helvetica" w:cs="Helvetica"/>
          <w:color w:val="333333"/>
          <w:sz w:val="21"/>
          <w:szCs w:val="21"/>
        </w:rPr>
        <w:t>Interpret the results of your test in 1-2 sentences. (2 points)</w:t>
      </w:r>
      <w:r w:rsidR="000F72A4">
        <w:rPr>
          <w:rFonts w:ascii="Helvetica" w:hAnsi="Helvetica" w:cs="Helvetica"/>
          <w:color w:val="333333"/>
          <w:sz w:val="21"/>
          <w:szCs w:val="21"/>
        </w:rPr>
        <w:t xml:space="preserve"> </w:t>
      </w:r>
    </w:p>
    <w:p w14:paraId="124D7E39" w14:textId="782BBFA5" w:rsidR="000D4AFB" w:rsidRDefault="00980F9C" w:rsidP="0044342C">
      <w:pPr>
        <w:rPr>
          <w:rFonts w:ascii="Helvetica" w:hAnsi="Helvetica" w:cs="Helvetica"/>
          <w:color w:val="333333"/>
          <w:sz w:val="21"/>
          <w:szCs w:val="21"/>
        </w:rPr>
      </w:pPr>
      <w:r>
        <w:rPr>
          <w:color w:val="2E74B5" w:themeColor="accent5" w:themeShade="BF"/>
        </w:rPr>
        <w:t xml:space="preserve">We estimate that an Oregon school in which all students (100 percent) receive free- or reduced-price would spend, on average, $2,634.33 more per-student than a school in which no students (0 percent) receive free- or reduced-price lunch. At an alpha-threshold of 0.05, we </w:t>
      </w:r>
      <w:r w:rsidR="0044342C">
        <w:rPr>
          <w:color w:val="2E74B5" w:themeColor="accent5" w:themeShade="BF"/>
        </w:rPr>
        <w:t>reject the null and conclude that, on average in the population of Oregon public schools, there is a relationship between FRPL rates and per-pupil expenditures.</w:t>
      </w:r>
    </w:p>
    <w:p w14:paraId="4734F6DF" w14:textId="1EBE6094" w:rsidR="00091847" w:rsidRDefault="00091847" w:rsidP="000F72A4">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2.</w:t>
      </w:r>
      <w:r w:rsidR="000F72A4">
        <w:rPr>
          <w:rFonts w:ascii="Helvetica" w:hAnsi="Helvetica" w:cs="Helvetica"/>
          <w:color w:val="333333"/>
          <w:sz w:val="21"/>
          <w:szCs w:val="21"/>
        </w:rPr>
        <w:t>5</w:t>
      </w:r>
      <w:r>
        <w:rPr>
          <w:rFonts w:ascii="Helvetica" w:hAnsi="Helvetica" w:cs="Helvetica"/>
          <w:color w:val="333333"/>
          <w:sz w:val="21"/>
          <w:szCs w:val="21"/>
        </w:rPr>
        <w:t xml:space="preserve">. </w:t>
      </w:r>
      <w:r w:rsidR="000F72A4" w:rsidRPr="000F72A4">
        <w:rPr>
          <w:rFonts w:ascii="Helvetica" w:hAnsi="Helvetica" w:cs="Helvetica"/>
          <w:color w:val="333333"/>
          <w:sz w:val="21"/>
          <w:szCs w:val="21"/>
        </w:rPr>
        <w:t>Assess the quality</w:t>
      </w:r>
      <w:r w:rsidR="000F72A4">
        <w:rPr>
          <w:rFonts w:ascii="Helvetica" w:hAnsi="Helvetica" w:cs="Helvetica"/>
          <w:color w:val="333333"/>
          <w:sz w:val="21"/>
          <w:szCs w:val="21"/>
        </w:rPr>
        <w:t xml:space="preserve"> of your model fit using the </w:t>
      </w:r>
      <w:r w:rsidR="000F72A4" w:rsidRPr="000F72A4">
        <w:rPr>
          <w:rFonts w:ascii="Helvetica" w:hAnsi="Helvetica" w:cs="Helvetica"/>
          <w:i/>
          <w:color w:val="333333"/>
          <w:sz w:val="21"/>
          <w:szCs w:val="21"/>
        </w:rPr>
        <w:t>R</w:t>
      </w:r>
      <w:r w:rsidR="000F72A4" w:rsidRPr="000F72A4">
        <w:rPr>
          <w:rFonts w:ascii="Helvetica" w:hAnsi="Helvetica" w:cs="Helvetica"/>
          <w:i/>
          <w:color w:val="333333"/>
          <w:sz w:val="21"/>
          <w:szCs w:val="21"/>
          <w:vertAlign w:val="superscript"/>
        </w:rPr>
        <w:t>2</w:t>
      </w:r>
      <w:r w:rsidR="000F72A4" w:rsidRPr="000F72A4">
        <w:rPr>
          <w:rFonts w:ascii="Helvetica" w:hAnsi="Helvetica" w:cs="Helvetica"/>
          <w:color w:val="333333"/>
          <w:sz w:val="21"/>
          <w:szCs w:val="21"/>
        </w:rPr>
        <w:t xml:space="preserve"> statistic. (1 point)</w:t>
      </w:r>
    </w:p>
    <w:p w14:paraId="0209AAE7" w14:textId="27B8A33F" w:rsidR="000F72A4" w:rsidRPr="0044342C" w:rsidRDefault="0044342C" w:rsidP="000D72BA">
      <w:pPr>
        <w:pStyle w:val="NormalWeb"/>
        <w:shd w:val="clear" w:color="auto" w:fill="FFFFFF"/>
        <w:spacing w:before="0" w:beforeAutospacing="0" w:after="150" w:afterAutospacing="0"/>
        <w:rPr>
          <w:rFonts w:ascii="Helvetica" w:hAnsi="Helvetica" w:cs="Helvetica"/>
          <w:color w:val="2E74B5" w:themeColor="accent5" w:themeShade="BF"/>
          <w:sz w:val="21"/>
          <w:szCs w:val="21"/>
        </w:rPr>
      </w:pPr>
      <w:r w:rsidRPr="0044342C">
        <w:rPr>
          <w:rFonts w:ascii="Helvetica" w:hAnsi="Helvetica" w:cs="Helvetica"/>
          <w:color w:val="2E74B5" w:themeColor="accent5" w:themeShade="BF"/>
          <w:sz w:val="21"/>
          <w:szCs w:val="21"/>
        </w:rPr>
        <w:t xml:space="preserve">The </w:t>
      </w:r>
      <w:r w:rsidRPr="0044342C">
        <w:rPr>
          <w:rFonts w:ascii="Helvetica" w:hAnsi="Helvetica" w:cs="Helvetica"/>
          <w:i/>
          <w:color w:val="2E74B5" w:themeColor="accent5" w:themeShade="BF"/>
          <w:sz w:val="21"/>
          <w:szCs w:val="21"/>
        </w:rPr>
        <w:t>R</w:t>
      </w:r>
      <w:r w:rsidRPr="0044342C">
        <w:rPr>
          <w:rFonts w:ascii="Helvetica" w:hAnsi="Helvetica" w:cs="Helvetica"/>
          <w:i/>
          <w:color w:val="2E74B5" w:themeColor="accent5" w:themeShade="BF"/>
          <w:sz w:val="21"/>
          <w:szCs w:val="21"/>
          <w:vertAlign w:val="superscript"/>
        </w:rPr>
        <w:t>2</w:t>
      </w:r>
      <w:r w:rsidRPr="0044342C">
        <w:rPr>
          <w:rFonts w:ascii="Helvetica" w:hAnsi="Helvetica" w:cs="Helvetica"/>
          <w:color w:val="2E74B5" w:themeColor="accent5" w:themeShade="BF"/>
          <w:sz w:val="21"/>
          <w:szCs w:val="21"/>
        </w:rPr>
        <w:t xml:space="preserve"> for our model is 0.03, which means that our model explains 3 percent of the overall variation in per-pupil expenditure. This seems like a relatively small proportion of the overall variance and suggests that many other factors contribute to variation in </w:t>
      </w:r>
      <w:r w:rsidRPr="0044342C">
        <w:rPr>
          <w:rFonts w:ascii="Helvetica" w:hAnsi="Helvetica" w:cs="Helvetica"/>
          <w:i/>
          <w:color w:val="2E74B5" w:themeColor="accent5" w:themeShade="BF"/>
          <w:sz w:val="21"/>
          <w:szCs w:val="21"/>
        </w:rPr>
        <w:t>PPE</w:t>
      </w:r>
      <w:r w:rsidRPr="0044342C">
        <w:rPr>
          <w:rFonts w:ascii="Helvetica" w:hAnsi="Helvetica" w:cs="Helvetica"/>
          <w:color w:val="2E74B5" w:themeColor="accent5" w:themeShade="BF"/>
          <w:sz w:val="21"/>
          <w:szCs w:val="21"/>
        </w:rPr>
        <w:t>.</w:t>
      </w:r>
    </w:p>
    <w:p w14:paraId="7B2AEFDB" w14:textId="062475B2" w:rsidR="000D72BA" w:rsidRDefault="000D72BA" w:rsidP="000F72A4">
      <w:pPr>
        <w:pStyle w:val="NormalWeb"/>
        <w:shd w:val="clear" w:color="auto" w:fill="FFFFFF"/>
        <w:spacing w:after="150"/>
        <w:rPr>
          <w:rFonts w:ascii="Helvetica" w:hAnsi="Helvetica" w:cs="Helvetica"/>
          <w:color w:val="333333"/>
          <w:sz w:val="21"/>
          <w:szCs w:val="21"/>
        </w:rPr>
      </w:pPr>
      <w:r>
        <w:rPr>
          <w:rFonts w:ascii="Helvetica" w:hAnsi="Helvetica" w:cs="Helvetica"/>
          <w:color w:val="333333"/>
          <w:sz w:val="21"/>
          <w:szCs w:val="21"/>
        </w:rPr>
        <w:lastRenderedPageBreak/>
        <w:t>2.</w:t>
      </w:r>
      <w:r w:rsidR="000F72A4">
        <w:rPr>
          <w:rFonts w:ascii="Helvetica" w:hAnsi="Helvetica" w:cs="Helvetica"/>
          <w:color w:val="333333"/>
          <w:sz w:val="21"/>
          <w:szCs w:val="21"/>
        </w:rPr>
        <w:t>6.</w:t>
      </w:r>
      <w:r w:rsidR="000F72A4" w:rsidRPr="000F72A4">
        <w:rPr>
          <w:rFonts w:ascii="Helvetica" w:hAnsi="Helvetica" w:cs="Helvetica"/>
          <w:color w:val="333333"/>
          <w:sz w:val="21"/>
          <w:szCs w:val="21"/>
        </w:rPr>
        <w:t xml:space="preserve"> Select an alpha-threshold and describe the corresponding confidence interval for your estimates of the relationship between </w:t>
      </w:r>
      <w:proofErr w:type="spellStart"/>
      <w:r w:rsidR="000F72A4" w:rsidRPr="000F72A4">
        <w:rPr>
          <w:rFonts w:ascii="Helvetica" w:hAnsi="Helvetica" w:cs="Helvetica"/>
          <w:i/>
          <w:color w:val="333333"/>
          <w:sz w:val="21"/>
          <w:szCs w:val="21"/>
        </w:rPr>
        <w:t>frpl</w:t>
      </w:r>
      <w:proofErr w:type="spellEnd"/>
      <w:r w:rsidR="000F72A4" w:rsidRPr="000F72A4">
        <w:rPr>
          <w:rFonts w:ascii="Helvetica" w:hAnsi="Helvetica" w:cs="Helvetica"/>
          <w:color w:val="333333"/>
          <w:sz w:val="21"/>
          <w:szCs w:val="21"/>
        </w:rPr>
        <w:t xml:space="preserve"> and </w:t>
      </w:r>
      <w:proofErr w:type="spellStart"/>
      <w:r w:rsidR="000F72A4" w:rsidRPr="000F72A4">
        <w:rPr>
          <w:rFonts w:ascii="Helvetica" w:hAnsi="Helvetica" w:cs="Helvetica"/>
          <w:i/>
          <w:color w:val="333333"/>
          <w:sz w:val="21"/>
          <w:szCs w:val="21"/>
        </w:rPr>
        <w:t>ppe</w:t>
      </w:r>
      <w:proofErr w:type="spellEnd"/>
      <w:r w:rsidR="000F72A4" w:rsidRPr="000F72A4">
        <w:rPr>
          <w:rFonts w:ascii="Helvetica" w:hAnsi="Helvetica" w:cs="Helvetica"/>
          <w:color w:val="333333"/>
          <w:sz w:val="21"/>
          <w:szCs w:val="21"/>
        </w:rPr>
        <w:t>. (1 point)</w:t>
      </w:r>
    </w:p>
    <w:p w14:paraId="0CF101E5" w14:textId="06CB52B5" w:rsidR="00E80D01" w:rsidRPr="00091847" w:rsidRDefault="0044342C" w:rsidP="00091847">
      <w:pPr>
        <w:rPr>
          <w:color w:val="2E74B5" w:themeColor="accent5" w:themeShade="BF"/>
        </w:rPr>
      </w:pPr>
      <w:r>
        <w:rPr>
          <w:rFonts w:ascii="Helvetica" w:eastAsia="Times New Roman" w:hAnsi="Helvetica" w:cs="Helvetica"/>
          <w:color w:val="2E74B5" w:themeColor="accent5" w:themeShade="BF"/>
          <w:sz w:val="21"/>
          <w:szCs w:val="21"/>
          <w:lang w:eastAsia="zh-CN"/>
        </w:rPr>
        <w:t xml:space="preserve">With an alpha-threshold of 0.05, our corresponding 95 percent confidence interval for the relationship between </w:t>
      </w:r>
      <w:proofErr w:type="spellStart"/>
      <w:r w:rsidRPr="0044342C">
        <w:rPr>
          <w:rFonts w:ascii="Helvetica" w:eastAsia="Times New Roman" w:hAnsi="Helvetica" w:cs="Helvetica"/>
          <w:i/>
          <w:color w:val="2E74B5" w:themeColor="accent5" w:themeShade="BF"/>
          <w:sz w:val="21"/>
          <w:szCs w:val="21"/>
          <w:lang w:eastAsia="zh-CN"/>
        </w:rPr>
        <w:t>frpl</w:t>
      </w:r>
      <w:proofErr w:type="spellEnd"/>
      <w:r>
        <w:rPr>
          <w:rFonts w:ascii="Helvetica" w:eastAsia="Times New Roman" w:hAnsi="Helvetica" w:cs="Helvetica"/>
          <w:color w:val="2E74B5" w:themeColor="accent5" w:themeShade="BF"/>
          <w:sz w:val="21"/>
          <w:szCs w:val="21"/>
          <w:lang w:eastAsia="zh-CN"/>
        </w:rPr>
        <w:t xml:space="preserve"> and </w:t>
      </w:r>
      <w:proofErr w:type="spellStart"/>
      <w:r w:rsidRPr="0044342C">
        <w:rPr>
          <w:rFonts w:ascii="Helvetica" w:eastAsia="Times New Roman" w:hAnsi="Helvetica" w:cs="Helvetica"/>
          <w:i/>
          <w:color w:val="2E74B5" w:themeColor="accent5" w:themeShade="BF"/>
          <w:sz w:val="21"/>
          <w:szCs w:val="21"/>
          <w:lang w:eastAsia="zh-CN"/>
        </w:rPr>
        <w:t>ppe</w:t>
      </w:r>
      <w:proofErr w:type="spellEnd"/>
      <w:r>
        <w:rPr>
          <w:rFonts w:ascii="Helvetica" w:eastAsia="Times New Roman" w:hAnsi="Helvetica" w:cs="Helvetica"/>
          <w:color w:val="2E74B5" w:themeColor="accent5" w:themeShade="BF"/>
          <w:sz w:val="21"/>
          <w:szCs w:val="21"/>
          <w:lang w:eastAsia="zh-CN"/>
        </w:rPr>
        <w:t xml:space="preserve"> is $1,835.36 - $3,433.30. This implies that were we to repeat the exercise of measuring the proportion of students receiving FRPL and school PPE—as well as the relationship between the two—for the population of Oregon schools 100 times, that in 95 cases we would expect our estimate of this relationship to fall between $1,835 and 3,433.</w:t>
      </w:r>
    </w:p>
    <w:p w14:paraId="143D40F0" w14:textId="262ECB33" w:rsidR="00E80D01" w:rsidRDefault="00E80D01" w:rsidP="000D72BA">
      <w:pPr>
        <w:pStyle w:val="NormalWeb"/>
        <w:shd w:val="clear" w:color="auto" w:fill="FFFFFF"/>
        <w:spacing w:before="0" w:beforeAutospacing="0" w:after="150" w:afterAutospacing="0"/>
        <w:rPr>
          <w:rFonts w:ascii="Helvetica" w:hAnsi="Helvetica" w:cs="Helvetica"/>
          <w:color w:val="333333"/>
          <w:sz w:val="21"/>
          <w:szCs w:val="21"/>
        </w:rPr>
      </w:pPr>
    </w:p>
    <w:p w14:paraId="6C363A4B" w14:textId="3DB5F20B" w:rsidR="000F72A4" w:rsidRDefault="000F72A4" w:rsidP="000D72BA">
      <w:pPr>
        <w:pStyle w:val="NormalWeb"/>
        <w:shd w:val="clear" w:color="auto" w:fill="FFFFFF"/>
        <w:spacing w:before="0" w:beforeAutospacing="0" w:after="150" w:afterAutospacing="0"/>
        <w:rPr>
          <w:rFonts w:ascii="Helvetica" w:hAnsi="Helvetica" w:cs="Helvetica"/>
          <w:color w:val="333333"/>
          <w:sz w:val="21"/>
          <w:szCs w:val="21"/>
        </w:rPr>
      </w:pPr>
      <w:r w:rsidRPr="000F72A4">
        <w:rPr>
          <w:rFonts w:ascii="Helvetica" w:hAnsi="Helvetica" w:cs="Helvetica"/>
          <w:color w:val="333333"/>
          <w:sz w:val="21"/>
          <w:szCs w:val="21"/>
        </w:rPr>
        <w:t xml:space="preserve">2.7. Imagine you are an analyst working for Colt Gill, Director of the Oregon Department of Education. You </w:t>
      </w:r>
      <w:proofErr w:type="gramStart"/>
      <w:r w:rsidRPr="000F72A4">
        <w:rPr>
          <w:rFonts w:ascii="Helvetica" w:hAnsi="Helvetica" w:cs="Helvetica"/>
          <w:color w:val="333333"/>
          <w:sz w:val="21"/>
          <w:szCs w:val="21"/>
        </w:rPr>
        <w:t>have been tasked</w:t>
      </w:r>
      <w:proofErr w:type="gramEnd"/>
      <w:r w:rsidRPr="000F72A4">
        <w:rPr>
          <w:rFonts w:ascii="Helvetica" w:hAnsi="Helvetica" w:cs="Helvetica"/>
          <w:color w:val="333333"/>
          <w:sz w:val="21"/>
          <w:szCs w:val="21"/>
        </w:rPr>
        <w:t xml:space="preserve"> with describing to him whether schools with greater levels of student financial need receive more money. Write a short paragraph reporting the results of your analysis, while introducing appropriate caveats and nuances as needed. In particular, you should think about how you want to introduce the ideas of relationship magnitude, model fit, omitted variables, and correlation for a lay audience. (1 point)</w:t>
      </w:r>
    </w:p>
    <w:p w14:paraId="08135FF3" w14:textId="1CB4C9AA" w:rsidR="0044342C" w:rsidRPr="0044342C" w:rsidRDefault="0044342C" w:rsidP="000D72BA">
      <w:pPr>
        <w:pStyle w:val="NormalWeb"/>
        <w:shd w:val="clear" w:color="auto" w:fill="FFFFFF"/>
        <w:spacing w:before="0" w:beforeAutospacing="0" w:after="150" w:afterAutospacing="0"/>
        <w:rPr>
          <w:rFonts w:ascii="Helvetica" w:hAnsi="Helvetica" w:cs="Helvetica"/>
          <w:color w:val="2E74B5" w:themeColor="accent5" w:themeShade="BF"/>
          <w:sz w:val="21"/>
          <w:szCs w:val="21"/>
        </w:rPr>
      </w:pPr>
      <w:r>
        <w:rPr>
          <w:rFonts w:ascii="Helvetica" w:hAnsi="Helvetica" w:cs="Helvetica"/>
          <w:color w:val="2E74B5" w:themeColor="accent5" w:themeShade="BF"/>
          <w:sz w:val="21"/>
          <w:szCs w:val="21"/>
        </w:rPr>
        <w:t xml:space="preserve">Using publicly available data from the National Education Resource Database on Schools, we found that public schools in Oregon who educate more children from low-income families spend </w:t>
      </w:r>
      <w:r>
        <w:rPr>
          <w:rFonts w:ascii="Helvetica" w:hAnsi="Helvetica" w:cs="Helvetica"/>
          <w:i/>
          <w:color w:val="2E74B5" w:themeColor="accent5" w:themeShade="BF"/>
          <w:sz w:val="21"/>
          <w:szCs w:val="21"/>
        </w:rPr>
        <w:t>more</w:t>
      </w:r>
      <w:r>
        <w:rPr>
          <w:rFonts w:ascii="Helvetica" w:hAnsi="Helvetica" w:cs="Helvetica"/>
          <w:color w:val="2E74B5" w:themeColor="accent5" w:themeShade="BF"/>
          <w:sz w:val="21"/>
          <w:szCs w:val="21"/>
        </w:rPr>
        <w:t xml:space="preserve"> per-child than schools educating fewer children from low-income families. In particular, we estimate that schools have 10 percentage points more free- and reduced-price lunch recipients spend, on average, $263 more per child per year. Given that the median school in Oregon enrolls around 405 students, this represents an annual budgetary difference of more than $106,700 for school educating 10 percentage points </w:t>
      </w:r>
      <w:r w:rsidR="00C80051">
        <w:rPr>
          <w:rFonts w:ascii="Helvetica" w:hAnsi="Helvetica" w:cs="Helvetica"/>
          <w:color w:val="2E74B5" w:themeColor="accent5" w:themeShade="BF"/>
          <w:sz w:val="21"/>
          <w:szCs w:val="21"/>
        </w:rPr>
        <w:t xml:space="preserve">more FRPL-receiving students. While this seems like a meaningful difference, there is little concrete evidence suggesting just how much </w:t>
      </w:r>
      <w:proofErr w:type="gramStart"/>
      <w:r w:rsidR="00C80051">
        <w:rPr>
          <w:rFonts w:ascii="Helvetica" w:hAnsi="Helvetica" w:cs="Helvetica"/>
          <w:color w:val="2E74B5" w:themeColor="accent5" w:themeShade="BF"/>
          <w:sz w:val="21"/>
          <w:szCs w:val="21"/>
        </w:rPr>
        <w:t>more compensatory funds</w:t>
      </w:r>
      <w:proofErr w:type="gramEnd"/>
      <w:r w:rsidR="00C80051">
        <w:rPr>
          <w:rFonts w:ascii="Helvetica" w:hAnsi="Helvetica" w:cs="Helvetica"/>
          <w:color w:val="2E74B5" w:themeColor="accent5" w:themeShade="BF"/>
          <w:sz w:val="21"/>
          <w:szCs w:val="21"/>
        </w:rPr>
        <w:t xml:space="preserve"> would be required to promote a more equitable schooling system for students living in poverty. Further, there is substantial variation in per-pupil expenditure that is not explained by our model—some schools with very few low family-income students spend close to $25,000 per-student, per-year while some schools that educate nearly exclusively low family-income students spend less than $5,000 per-student, per-year. It may be valuable to investigate further the role that school size, school location, school grade-level, community resources, and local governance play in determining school funding. While there is some evidence of socio-economic-based equity funding in our analysis, if the goal of the Oregon Department of Education is to systematically provide more resources to schools that educate more students living in poverty, our analysis also shows that there is substantial scope to strengthen and increase the magnitude of this relationship.</w:t>
      </w:r>
    </w:p>
    <w:p w14:paraId="2D84B962" w14:textId="77777777" w:rsidR="006822D7" w:rsidRPr="007B193A" w:rsidRDefault="006822D7" w:rsidP="007B193A"/>
    <w:sectPr w:rsidR="006822D7" w:rsidRPr="007B19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743DD" w14:textId="77777777" w:rsidR="00F919BD" w:rsidRDefault="00F919BD" w:rsidP="00697DC9">
      <w:r>
        <w:separator/>
      </w:r>
    </w:p>
  </w:endnote>
  <w:endnote w:type="continuationSeparator" w:id="0">
    <w:p w14:paraId="399BF5F3" w14:textId="77777777" w:rsidR="00F919BD" w:rsidRDefault="00F919BD"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05094" w14:textId="77777777" w:rsidR="00F919BD" w:rsidRDefault="00F919BD" w:rsidP="00697DC9">
      <w:r>
        <w:separator/>
      </w:r>
    </w:p>
  </w:footnote>
  <w:footnote w:type="continuationSeparator" w:id="0">
    <w:p w14:paraId="14467DB0" w14:textId="77777777" w:rsidR="00F919BD" w:rsidRDefault="00F919BD"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165607"/>
      <w:docPartObj>
        <w:docPartGallery w:val="Page Numbers (Top of Page)"/>
        <w:docPartUnique/>
      </w:docPartObj>
    </w:sdtPr>
    <w:sdtEndPr>
      <w:rPr>
        <w:noProof/>
      </w:rPr>
    </w:sdtEndPr>
    <w:sdtContent>
      <w:p w14:paraId="254720B7" w14:textId="1AA190D5" w:rsidR="00697DC9" w:rsidRDefault="00697DC9">
        <w:pPr>
          <w:pStyle w:val="Header"/>
          <w:jc w:val="right"/>
        </w:pPr>
        <w:r>
          <w:fldChar w:fldCharType="begin"/>
        </w:r>
        <w:r>
          <w:instrText xml:space="preserve"> PAGE   \* MERGEFORMAT </w:instrText>
        </w:r>
        <w:r>
          <w:fldChar w:fldCharType="separate"/>
        </w:r>
        <w:r w:rsidR="00B87A19">
          <w:rPr>
            <w:noProof/>
          </w:rPr>
          <w:t>1</w:t>
        </w:r>
        <w:r>
          <w:rPr>
            <w:noProof/>
          </w:rPr>
          <w:fldChar w:fldCharType="end"/>
        </w:r>
      </w:p>
    </w:sdtContent>
  </w:sdt>
  <w:p w14:paraId="4131C812" w14:textId="77777777" w:rsidR="00697DC9" w:rsidRDefault="00697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52"/>
    <w:rsid w:val="000631EB"/>
    <w:rsid w:val="00091847"/>
    <w:rsid w:val="000A1220"/>
    <w:rsid w:val="000D4AFB"/>
    <w:rsid w:val="000D72BA"/>
    <w:rsid w:val="000F72A4"/>
    <w:rsid w:val="001235AC"/>
    <w:rsid w:val="00143679"/>
    <w:rsid w:val="00173E92"/>
    <w:rsid w:val="00177363"/>
    <w:rsid w:val="00181B15"/>
    <w:rsid w:val="00200803"/>
    <w:rsid w:val="00273BA3"/>
    <w:rsid w:val="002774CF"/>
    <w:rsid w:val="002B4600"/>
    <w:rsid w:val="002D7DC5"/>
    <w:rsid w:val="002F7403"/>
    <w:rsid w:val="00333AC1"/>
    <w:rsid w:val="00356108"/>
    <w:rsid w:val="00357060"/>
    <w:rsid w:val="00375689"/>
    <w:rsid w:val="003C774E"/>
    <w:rsid w:val="003E334F"/>
    <w:rsid w:val="00437423"/>
    <w:rsid w:val="0044342C"/>
    <w:rsid w:val="00443E97"/>
    <w:rsid w:val="004B3F97"/>
    <w:rsid w:val="004B6716"/>
    <w:rsid w:val="004C60E1"/>
    <w:rsid w:val="004C7BA4"/>
    <w:rsid w:val="00523110"/>
    <w:rsid w:val="005429D4"/>
    <w:rsid w:val="00561120"/>
    <w:rsid w:val="005762E9"/>
    <w:rsid w:val="00582329"/>
    <w:rsid w:val="005A6572"/>
    <w:rsid w:val="005F1D57"/>
    <w:rsid w:val="00646DCB"/>
    <w:rsid w:val="0064733F"/>
    <w:rsid w:val="006474F4"/>
    <w:rsid w:val="006822D7"/>
    <w:rsid w:val="00697DC9"/>
    <w:rsid w:val="006D1F3F"/>
    <w:rsid w:val="006D6B09"/>
    <w:rsid w:val="006E65F5"/>
    <w:rsid w:val="00760A5A"/>
    <w:rsid w:val="00782F43"/>
    <w:rsid w:val="007B193A"/>
    <w:rsid w:val="007B460C"/>
    <w:rsid w:val="007E59D8"/>
    <w:rsid w:val="007F058B"/>
    <w:rsid w:val="00853867"/>
    <w:rsid w:val="008A45B4"/>
    <w:rsid w:val="00936FA6"/>
    <w:rsid w:val="00980F9C"/>
    <w:rsid w:val="009933F5"/>
    <w:rsid w:val="009F75D9"/>
    <w:rsid w:val="00A25F71"/>
    <w:rsid w:val="00A555C8"/>
    <w:rsid w:val="00A860BF"/>
    <w:rsid w:val="00AC301C"/>
    <w:rsid w:val="00B65A41"/>
    <w:rsid w:val="00B7094C"/>
    <w:rsid w:val="00B87A19"/>
    <w:rsid w:val="00BC21FC"/>
    <w:rsid w:val="00C34A1D"/>
    <w:rsid w:val="00C5098A"/>
    <w:rsid w:val="00C719C6"/>
    <w:rsid w:val="00C80051"/>
    <w:rsid w:val="00CA7FDB"/>
    <w:rsid w:val="00D14DD6"/>
    <w:rsid w:val="00D35352"/>
    <w:rsid w:val="00DA1373"/>
    <w:rsid w:val="00DA393F"/>
    <w:rsid w:val="00DA664B"/>
    <w:rsid w:val="00DC6026"/>
    <w:rsid w:val="00E2208B"/>
    <w:rsid w:val="00E52357"/>
    <w:rsid w:val="00E80D01"/>
    <w:rsid w:val="00ED6C66"/>
    <w:rsid w:val="00F03C5A"/>
    <w:rsid w:val="00F919BD"/>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8</cp:revision>
  <dcterms:created xsi:type="dcterms:W3CDTF">2023-01-24T18:35:00Z</dcterms:created>
  <dcterms:modified xsi:type="dcterms:W3CDTF">2023-02-14T18:58:00Z</dcterms:modified>
</cp:coreProperties>
</file>