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339C1C53"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67537">
        <w:rPr>
          <w:rFonts w:ascii="Helvetica" w:eastAsia="Times New Roman" w:hAnsi="Helvetica" w:cs="Helvetica"/>
          <w:color w:val="333333"/>
          <w:sz w:val="36"/>
          <w:szCs w:val="36"/>
          <w:lang w:eastAsia="zh-CN"/>
        </w:rPr>
        <w:t>2</w:t>
      </w:r>
      <w:r>
        <w:rPr>
          <w:rFonts w:ascii="Helvetica" w:eastAsia="Times New Roman" w:hAnsi="Helvetica" w:cs="Helvetica"/>
          <w:color w:val="333333"/>
          <w:sz w:val="36"/>
          <w:szCs w:val="36"/>
          <w:lang w:eastAsia="zh-CN"/>
        </w:rPr>
        <w:t xml:space="preserve"> Key</w:t>
      </w:r>
    </w:p>
    <w:p w14:paraId="64D1D270" w14:textId="1DD734BA"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CB04AA">
        <w:rPr>
          <w:rFonts w:ascii="inherit" w:eastAsia="Times New Roman" w:hAnsi="inherit" w:cs="Helvetica"/>
          <w:color w:val="333333"/>
          <w:sz w:val="27"/>
          <w:szCs w:val="27"/>
          <w:lang w:eastAsia="zh-CN"/>
        </w:rPr>
        <w:t>Do schools that educate a larger proportion of students with financial need spend more per student on their education?</w:t>
      </w:r>
    </w:p>
    <w:p w14:paraId="093E7AB7" w14:textId="747B380D" w:rsidR="00DD64DB" w:rsidRDefault="00DD64DB" w:rsidP="00CB04AA">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1.1. </w:t>
      </w:r>
      <w:r w:rsidR="00CB04AA" w:rsidRPr="00CB04AA">
        <w:rPr>
          <w:rFonts w:ascii="Helvetica" w:eastAsia="Times New Roman" w:hAnsi="Helvetica" w:cs="Helvetica"/>
          <w:color w:val="333333"/>
          <w:sz w:val="21"/>
          <w:szCs w:val="21"/>
          <w:lang w:eastAsia="zh-CN"/>
        </w:rPr>
        <w:t xml:space="preserve">Review the variables you have at your disposal and select a set of substantively sensible continuous covariates that might explain schools’ per-pupil expenditure and help clarify the relationship between </w:t>
      </w:r>
      <w:proofErr w:type="spellStart"/>
      <w:r w:rsidR="00CB04AA" w:rsidRPr="00CB04AA">
        <w:rPr>
          <w:rFonts w:ascii="Helvetica" w:eastAsia="Times New Roman" w:hAnsi="Helvetica" w:cs="Helvetica"/>
          <w:i/>
          <w:color w:val="333333"/>
          <w:sz w:val="21"/>
          <w:szCs w:val="21"/>
          <w:lang w:eastAsia="zh-CN"/>
        </w:rPr>
        <w:t>ppe</w:t>
      </w:r>
      <w:proofErr w:type="spellEnd"/>
      <w:r w:rsidR="00CB04AA" w:rsidRPr="00CB04AA">
        <w:rPr>
          <w:rFonts w:ascii="Helvetica" w:eastAsia="Times New Roman" w:hAnsi="Helvetica" w:cs="Helvetica"/>
          <w:color w:val="333333"/>
          <w:sz w:val="21"/>
          <w:szCs w:val="21"/>
          <w:lang w:eastAsia="zh-CN"/>
        </w:rPr>
        <w:t xml:space="preserve"> and </w:t>
      </w:r>
      <w:proofErr w:type="spellStart"/>
      <w:r w:rsidR="00CB04AA" w:rsidRPr="00CB04AA">
        <w:rPr>
          <w:rFonts w:ascii="Helvetica" w:eastAsia="Times New Roman" w:hAnsi="Helvetica" w:cs="Helvetica"/>
          <w:i/>
          <w:color w:val="333333"/>
          <w:sz w:val="21"/>
          <w:szCs w:val="21"/>
          <w:lang w:eastAsia="zh-CN"/>
        </w:rPr>
        <w:t>frpl</w:t>
      </w:r>
      <w:proofErr w:type="spellEnd"/>
      <w:r w:rsidR="00CB04AA" w:rsidRPr="00CB04AA">
        <w:rPr>
          <w:rFonts w:ascii="Helvetica" w:eastAsia="Times New Roman" w:hAnsi="Helvetica" w:cs="Helvetica"/>
          <w:color w:val="333333"/>
          <w:sz w:val="21"/>
          <w:szCs w:val="21"/>
          <w:lang w:eastAsia="zh-CN"/>
        </w:rPr>
        <w:t>. (1 point)</w:t>
      </w:r>
    </w:p>
    <w:p w14:paraId="4332E12C" w14:textId="27020027" w:rsidR="00091847" w:rsidRPr="00B73966" w:rsidRDefault="00B73966" w:rsidP="00CB04AA">
      <w:pPr>
        <w:shd w:val="clear" w:color="auto" w:fill="FFFFFF"/>
        <w:spacing w:after="150"/>
        <w:rPr>
          <w:rFonts w:ascii="Helvetica" w:eastAsia="Times New Roman" w:hAnsi="Helvetica" w:cs="Helvetica"/>
          <w:i/>
          <w:color w:val="333333"/>
          <w:sz w:val="21"/>
          <w:szCs w:val="21"/>
          <w:lang w:eastAsia="zh-CN"/>
        </w:rPr>
      </w:pPr>
      <w:proofErr w:type="gramStart"/>
      <w:r>
        <w:rPr>
          <w:rFonts w:ascii="Helvetica" w:eastAsia="Times New Roman" w:hAnsi="Helvetica" w:cs="Helvetica"/>
          <w:color w:val="2E74B5" w:themeColor="accent5" w:themeShade="BF"/>
          <w:sz w:val="21"/>
          <w:szCs w:val="21"/>
          <w:lang w:eastAsia="zh-CN"/>
        </w:rPr>
        <w:t>There are six additional continuous variables available to us in our NERD$ data: total school enrollment (</w:t>
      </w:r>
      <w:r>
        <w:rPr>
          <w:rFonts w:ascii="Helvetica" w:eastAsia="Times New Roman" w:hAnsi="Helvetica" w:cs="Helvetica"/>
          <w:i/>
          <w:color w:val="2E74B5" w:themeColor="accent5" w:themeShade="BF"/>
          <w:sz w:val="21"/>
          <w:szCs w:val="21"/>
          <w:lang w:eastAsia="zh-CN"/>
        </w:rPr>
        <w:t>enroll</w:t>
      </w:r>
      <w:r w:rsidRPr="00B73966">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a composite SES index of families residing within the school district (</w:t>
      </w:r>
      <w:proofErr w:type="spellStart"/>
      <w:r w:rsidRPr="00B73966">
        <w:rPr>
          <w:rFonts w:ascii="Helvetica" w:eastAsia="Times New Roman" w:hAnsi="Helvetica" w:cs="Helvetica"/>
          <w:i/>
          <w:color w:val="2E74B5" w:themeColor="accent5" w:themeShade="BF"/>
          <w:sz w:val="21"/>
          <w:szCs w:val="21"/>
          <w:lang w:eastAsia="zh-CN"/>
        </w:rPr>
        <w:t>sesavgall</w:t>
      </w:r>
      <w:proofErr w:type="spellEnd"/>
      <w:r>
        <w:rPr>
          <w:rFonts w:ascii="Helvetica" w:eastAsia="Times New Roman" w:hAnsi="Helvetica" w:cs="Helvetica"/>
          <w:color w:val="2E74B5" w:themeColor="accent5" w:themeShade="BF"/>
          <w:sz w:val="21"/>
          <w:szCs w:val="21"/>
          <w:lang w:eastAsia="zh-CN"/>
        </w:rPr>
        <w:t>), the log of median income of families residing in the district (</w:t>
      </w:r>
      <w:r>
        <w:rPr>
          <w:rFonts w:ascii="Helvetica" w:eastAsia="Times New Roman" w:hAnsi="Helvetica" w:cs="Helvetica"/>
          <w:i/>
          <w:color w:val="2E74B5" w:themeColor="accent5" w:themeShade="BF"/>
          <w:sz w:val="21"/>
          <w:szCs w:val="21"/>
          <w:lang w:eastAsia="zh-CN"/>
        </w:rPr>
        <w:t>lninc50avgall</w:t>
      </w:r>
      <w:r>
        <w:rPr>
          <w:rFonts w:ascii="Helvetica" w:eastAsia="Times New Roman" w:hAnsi="Helvetica" w:cs="Helvetica"/>
          <w:color w:val="2E74B5" w:themeColor="accent5" w:themeShade="BF"/>
          <w:sz w:val="21"/>
          <w:szCs w:val="21"/>
          <w:lang w:eastAsia="zh-CN"/>
        </w:rPr>
        <w:t>), the rate of adults in families holding four-year or higher degrees in the district (</w:t>
      </w:r>
      <w:proofErr w:type="spellStart"/>
      <w:r w:rsidRPr="00B73966">
        <w:rPr>
          <w:rFonts w:ascii="Helvetica" w:eastAsia="Times New Roman" w:hAnsi="Helvetica" w:cs="Helvetica"/>
          <w:i/>
          <w:color w:val="2E74B5" w:themeColor="accent5" w:themeShade="BF"/>
          <w:sz w:val="21"/>
          <w:szCs w:val="21"/>
          <w:lang w:eastAsia="zh-CN"/>
        </w:rPr>
        <w:t>baplusavgall</w:t>
      </w:r>
      <w:proofErr w:type="spellEnd"/>
      <w:r>
        <w:rPr>
          <w:rFonts w:ascii="Helvetica" w:eastAsia="Times New Roman" w:hAnsi="Helvetica" w:cs="Helvetica"/>
          <w:color w:val="2E74B5" w:themeColor="accent5" w:themeShade="BF"/>
          <w:sz w:val="21"/>
          <w:szCs w:val="21"/>
          <w:lang w:eastAsia="zh-CN"/>
        </w:rPr>
        <w:t>), the unemployment rate for families residing in the district (</w:t>
      </w:r>
      <w:proofErr w:type="spellStart"/>
      <w:r w:rsidRPr="00B73966">
        <w:rPr>
          <w:rFonts w:ascii="Helvetica" w:eastAsia="Times New Roman" w:hAnsi="Helvetica" w:cs="Helvetica"/>
          <w:i/>
          <w:color w:val="2E74B5" w:themeColor="accent5" w:themeShade="BF"/>
          <w:sz w:val="21"/>
          <w:szCs w:val="21"/>
          <w:lang w:eastAsia="zh-CN"/>
        </w:rPr>
        <w:t>unempavgall</w:t>
      </w:r>
      <w:proofErr w:type="spellEnd"/>
      <w:r>
        <w:rPr>
          <w:rFonts w:ascii="Helvetica" w:eastAsia="Times New Roman" w:hAnsi="Helvetica" w:cs="Helvetica"/>
          <w:color w:val="2E74B5" w:themeColor="accent5" w:themeShade="BF"/>
          <w:sz w:val="21"/>
          <w:szCs w:val="21"/>
          <w:lang w:eastAsia="zh-CN"/>
        </w:rPr>
        <w:t>), and the rate of SNAP-receipt for families residing within the district (</w:t>
      </w:r>
      <w:proofErr w:type="spellStart"/>
      <w:r w:rsidRPr="00B73966">
        <w:rPr>
          <w:rFonts w:ascii="Helvetica" w:eastAsia="Times New Roman" w:hAnsi="Helvetica" w:cs="Helvetica"/>
          <w:i/>
          <w:color w:val="2E74B5" w:themeColor="accent5" w:themeShade="BF"/>
          <w:sz w:val="21"/>
          <w:szCs w:val="21"/>
          <w:lang w:eastAsia="zh-CN"/>
        </w:rPr>
        <w:t>snapavgall</w:t>
      </w:r>
      <w:proofErr w:type="spellEnd"/>
      <w:r>
        <w:rPr>
          <w:rFonts w:ascii="Helvetica" w:eastAsia="Times New Roman" w:hAnsi="Helvetica" w:cs="Helvetica"/>
          <w:color w:val="2E74B5" w:themeColor="accent5" w:themeShade="BF"/>
          <w:sz w:val="21"/>
          <w:szCs w:val="21"/>
          <w:lang w:eastAsia="zh-CN"/>
        </w:rPr>
        <w:t>).</w:t>
      </w:r>
      <w:proofErr w:type="gramEnd"/>
      <w:r>
        <w:rPr>
          <w:rFonts w:ascii="Helvetica" w:eastAsia="Times New Roman" w:hAnsi="Helvetica" w:cs="Helvetica"/>
          <w:color w:val="2E74B5" w:themeColor="accent5" w:themeShade="BF"/>
          <w:sz w:val="21"/>
          <w:szCs w:val="21"/>
          <w:lang w:eastAsia="zh-CN"/>
        </w:rPr>
        <w:t xml:space="preserve"> Each of these variables could serve to explain per-pupil expenditure in schools in Oregon and would be helpful candidates to help clarify the nature of the relationship between the rate of free- and reduced-price lunch receipt in a school and its expenditure per-pupil.</w:t>
      </w:r>
    </w:p>
    <w:p w14:paraId="2D9B0ACB" w14:textId="7B8A3A89" w:rsidR="00DD64DB" w:rsidRDefault="00DD64DB"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1.2. </w:t>
      </w:r>
      <w:r w:rsidR="00CB04AA" w:rsidRPr="00CB04AA">
        <w:rPr>
          <w:rFonts w:ascii="Helvetica" w:eastAsia="Times New Roman" w:hAnsi="Helvetica" w:cs="Helvetica"/>
          <w:color w:val="333333"/>
          <w:sz w:val="21"/>
          <w:szCs w:val="21"/>
          <w:lang w:eastAsia="zh-CN"/>
        </w:rPr>
        <w:t xml:space="preserve">Construct a correlation matrix and/or correlation </w:t>
      </w:r>
      <w:proofErr w:type="spellStart"/>
      <w:r w:rsidR="00CB04AA" w:rsidRPr="00CB04AA">
        <w:rPr>
          <w:rFonts w:ascii="Helvetica" w:eastAsia="Times New Roman" w:hAnsi="Helvetica" w:cs="Helvetica"/>
          <w:color w:val="333333"/>
          <w:sz w:val="21"/>
          <w:szCs w:val="21"/>
          <w:lang w:eastAsia="zh-CN"/>
        </w:rPr>
        <w:t>heatmap</w:t>
      </w:r>
      <w:proofErr w:type="spellEnd"/>
      <w:r w:rsidR="00CB04AA" w:rsidRPr="00CB04AA">
        <w:rPr>
          <w:rFonts w:ascii="Helvetica" w:eastAsia="Times New Roman" w:hAnsi="Helvetica" w:cs="Helvetica"/>
          <w:color w:val="333333"/>
          <w:sz w:val="21"/>
          <w:szCs w:val="21"/>
          <w:lang w:eastAsia="zh-CN"/>
        </w:rPr>
        <w:t xml:space="preserve"> to assess for potential </w:t>
      </w:r>
      <w:proofErr w:type="spellStart"/>
      <w:r w:rsidR="00CB04AA" w:rsidRPr="00CB04AA">
        <w:rPr>
          <w:rFonts w:ascii="Helvetica" w:eastAsia="Times New Roman" w:hAnsi="Helvetica" w:cs="Helvetica"/>
          <w:color w:val="333333"/>
          <w:sz w:val="21"/>
          <w:szCs w:val="21"/>
          <w:lang w:eastAsia="zh-CN"/>
        </w:rPr>
        <w:t>multicollinearity</w:t>
      </w:r>
      <w:proofErr w:type="spellEnd"/>
      <w:r w:rsidR="00CB04AA" w:rsidRPr="00CB04AA">
        <w:rPr>
          <w:rFonts w:ascii="Helvetica" w:eastAsia="Times New Roman" w:hAnsi="Helvetica" w:cs="Helvetica"/>
          <w:color w:val="333333"/>
          <w:sz w:val="21"/>
          <w:szCs w:val="21"/>
          <w:lang w:eastAsia="zh-CN"/>
        </w:rPr>
        <w:t xml:space="preserve"> issues in your selection of covariates and use it to decide which covariates you will select for your postulated model. (2 points)</w:t>
      </w:r>
    </w:p>
    <w:p w14:paraId="6B194312" w14:textId="6C553C94"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w:t>
      </w:r>
      <w:r w:rsidR="00F567C9">
        <w:rPr>
          <w:rFonts w:ascii="Helvetica" w:eastAsia="Times New Roman" w:hAnsi="Helvetica" w:cs="Helvetica"/>
          <w:color w:val="2E74B5" w:themeColor="accent5" w:themeShade="BF"/>
          <w:sz w:val="21"/>
          <w:szCs w:val="21"/>
          <w:lang w:eastAsia="zh-CN"/>
        </w:rPr>
        <w:t>and</w:t>
      </w:r>
      <w:r>
        <w:rPr>
          <w:rFonts w:ascii="Helvetica" w:eastAsia="Times New Roman" w:hAnsi="Helvetica" w:cs="Helvetica"/>
          <w:color w:val="2E74B5" w:themeColor="accent5" w:themeShade="BF"/>
          <w:sz w:val="21"/>
          <w:szCs w:val="21"/>
          <w:lang w:eastAsia="zh-CN"/>
        </w:rPr>
        <w:t xml:space="preserve"> Figure 1, we display the Pearson product-moment correlations between our question predictor (</w:t>
      </w:r>
      <w:proofErr w:type="spellStart"/>
      <w:r w:rsidRPr="00B73966">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our outcome (</w:t>
      </w:r>
      <w:proofErr w:type="spellStart"/>
      <w:r w:rsidRPr="00B73966">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and a set of candidate covariates that may serve to clarify </w:t>
      </w:r>
      <w:r w:rsidR="00F567C9">
        <w:rPr>
          <w:rFonts w:ascii="Helvetica" w:eastAsia="Times New Roman" w:hAnsi="Helvetica" w:cs="Helvetica"/>
          <w:color w:val="2E74B5" w:themeColor="accent5" w:themeShade="BF"/>
          <w:sz w:val="21"/>
          <w:szCs w:val="21"/>
          <w:lang w:eastAsia="zh-CN"/>
        </w:rPr>
        <w:t xml:space="preserve">our </w:t>
      </w:r>
      <w:r>
        <w:rPr>
          <w:rFonts w:ascii="Helvetica" w:eastAsia="Times New Roman" w:hAnsi="Helvetica" w:cs="Helvetica"/>
          <w:color w:val="2E74B5" w:themeColor="accent5" w:themeShade="BF"/>
          <w:sz w:val="21"/>
          <w:szCs w:val="21"/>
          <w:lang w:eastAsia="zh-CN"/>
        </w:rPr>
        <w:t>relationship</w:t>
      </w:r>
      <w:r w:rsidR="00F567C9">
        <w:rPr>
          <w:rFonts w:ascii="Helvetica" w:eastAsia="Times New Roman" w:hAnsi="Helvetica" w:cs="Helvetica"/>
          <w:color w:val="2E74B5" w:themeColor="accent5" w:themeShade="BF"/>
          <w:sz w:val="21"/>
          <w:szCs w:val="21"/>
          <w:lang w:eastAsia="zh-CN"/>
        </w:rPr>
        <w:t xml:space="preserve"> of interest</w:t>
      </w:r>
      <w:r>
        <w:rPr>
          <w:rFonts w:ascii="Helvetica" w:eastAsia="Times New Roman" w:hAnsi="Helvetica" w:cs="Helvetica"/>
          <w:color w:val="2E74B5" w:themeColor="accent5" w:themeShade="BF"/>
          <w:sz w:val="21"/>
          <w:szCs w:val="21"/>
          <w:lang w:eastAsia="zh-CN"/>
        </w:rPr>
        <w:t xml:space="preserve">. We focus on the extent to which any of the covariates are highly correlated with our question predictor to assess for the potential of </w:t>
      </w:r>
      <w:proofErr w:type="spellStart"/>
      <w:proofErr w:type="gramStart"/>
      <w:r>
        <w:rPr>
          <w:rFonts w:ascii="Helvetica" w:eastAsia="Times New Roman" w:hAnsi="Helvetica" w:cs="Helvetica"/>
          <w:color w:val="2E74B5" w:themeColor="accent5" w:themeShade="BF"/>
          <w:sz w:val="21"/>
          <w:szCs w:val="21"/>
          <w:lang w:eastAsia="zh-CN"/>
        </w:rPr>
        <w:t>multicollinearity</w:t>
      </w:r>
      <w:proofErr w:type="spellEnd"/>
      <w:r>
        <w:rPr>
          <w:rFonts w:ascii="Helvetica" w:eastAsia="Times New Roman" w:hAnsi="Helvetica" w:cs="Helvetica"/>
          <w:color w:val="2E74B5" w:themeColor="accent5" w:themeShade="BF"/>
          <w:sz w:val="21"/>
          <w:szCs w:val="21"/>
          <w:lang w:eastAsia="zh-CN"/>
        </w:rPr>
        <w:t xml:space="preserve"> </w:t>
      </w:r>
      <w:r w:rsidR="00F567C9">
        <w:rPr>
          <w:rFonts w:ascii="Helvetica" w:eastAsia="Times New Roman" w:hAnsi="Helvetica" w:cs="Helvetica"/>
          <w:color w:val="2E74B5" w:themeColor="accent5" w:themeShade="BF"/>
          <w:sz w:val="21"/>
          <w:szCs w:val="21"/>
          <w:lang w:eastAsia="zh-CN"/>
        </w:rPr>
        <w:t>which</w:t>
      </w:r>
      <w:proofErr w:type="gramEnd"/>
      <w:r w:rsidR="00F567C9">
        <w:rPr>
          <w:rFonts w:ascii="Helvetica" w:eastAsia="Times New Roman" w:hAnsi="Helvetica" w:cs="Helvetica"/>
          <w:color w:val="2E74B5" w:themeColor="accent5" w:themeShade="BF"/>
          <w:sz w:val="21"/>
          <w:szCs w:val="21"/>
          <w:lang w:eastAsia="zh-CN"/>
        </w:rPr>
        <w:t xml:space="preserve"> could result in </w:t>
      </w:r>
      <w:r>
        <w:rPr>
          <w:rFonts w:ascii="Helvetica" w:eastAsia="Times New Roman" w:hAnsi="Helvetica" w:cs="Helvetica"/>
          <w:color w:val="2E74B5" w:themeColor="accent5" w:themeShade="BF"/>
          <w:sz w:val="21"/>
          <w:szCs w:val="21"/>
          <w:lang w:eastAsia="zh-CN"/>
        </w:rPr>
        <w:t>bias</w:t>
      </w:r>
      <w:r w:rsidR="00F567C9">
        <w:rPr>
          <w:rFonts w:ascii="Helvetica" w:eastAsia="Times New Roman" w:hAnsi="Helvetica" w:cs="Helvetica"/>
          <w:color w:val="2E74B5" w:themeColor="accent5" w:themeShade="BF"/>
          <w:sz w:val="21"/>
          <w:szCs w:val="21"/>
          <w:lang w:eastAsia="zh-CN"/>
        </w:rPr>
        <w:t xml:space="preserve">ed coefficients </w:t>
      </w:r>
      <w:r>
        <w:rPr>
          <w:rFonts w:ascii="Helvetica" w:eastAsia="Times New Roman" w:hAnsi="Helvetica" w:cs="Helvetica"/>
          <w:color w:val="2E74B5" w:themeColor="accent5" w:themeShade="BF"/>
          <w:sz w:val="21"/>
          <w:szCs w:val="21"/>
          <w:lang w:eastAsia="zh-CN"/>
        </w:rPr>
        <w:t>or inflate</w:t>
      </w:r>
      <w:r w:rsidR="00F567C9">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standard errors. All candidate covariates </w:t>
      </w:r>
      <w:proofErr w:type="gramStart"/>
      <w:r>
        <w:rPr>
          <w:rFonts w:ascii="Helvetica" w:eastAsia="Times New Roman" w:hAnsi="Helvetica" w:cs="Helvetica"/>
          <w:color w:val="2E74B5" w:themeColor="accent5" w:themeShade="BF"/>
          <w:sz w:val="21"/>
          <w:szCs w:val="21"/>
          <w:lang w:eastAsia="zh-CN"/>
        </w:rPr>
        <w:t>are only modestly correlat</w:t>
      </w:r>
      <w:r w:rsidR="00F567C9">
        <w:rPr>
          <w:rFonts w:ascii="Helvetica" w:eastAsia="Times New Roman" w:hAnsi="Helvetica" w:cs="Helvetica"/>
          <w:color w:val="2E74B5" w:themeColor="accent5" w:themeShade="BF"/>
          <w:sz w:val="21"/>
          <w:szCs w:val="21"/>
          <w:lang w:eastAsia="zh-CN"/>
        </w:rPr>
        <w:t>ed</w:t>
      </w:r>
      <w:proofErr w:type="gramEnd"/>
      <w:r w:rsidR="00F567C9">
        <w:rPr>
          <w:rFonts w:ascii="Helvetica" w:eastAsia="Times New Roman" w:hAnsi="Helvetica" w:cs="Helvetica"/>
          <w:color w:val="2E74B5" w:themeColor="accent5" w:themeShade="BF"/>
          <w:sz w:val="21"/>
          <w:szCs w:val="21"/>
          <w:lang w:eastAsia="zh-CN"/>
        </w:rPr>
        <w:t xml:space="preserve"> with our question predictor. O</w:t>
      </w:r>
      <w:r>
        <w:rPr>
          <w:rFonts w:ascii="Helvetica" w:eastAsia="Times New Roman" w:hAnsi="Helvetica" w:cs="Helvetica"/>
          <w:color w:val="2E74B5" w:themeColor="accent5" w:themeShade="BF"/>
          <w:sz w:val="21"/>
          <w:szCs w:val="21"/>
          <w:lang w:eastAsia="zh-CN"/>
        </w:rPr>
        <w:t xml:space="preserve">nly </w:t>
      </w:r>
      <w:proofErr w:type="spellStart"/>
      <w:r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 xml:space="preserve"> exceeds </w:t>
      </w:r>
      <w:r>
        <w:rPr>
          <w:rFonts w:ascii="Helvetica" w:eastAsia="Times New Roman" w:hAnsi="Helvetica" w:cs="Helvetica"/>
          <w:color w:val="2E74B5" w:themeColor="accent5" w:themeShade="BF"/>
          <w:sz w:val="21"/>
          <w:szCs w:val="21"/>
          <w:lang w:eastAsia="zh-CN"/>
        </w:rPr>
        <w:t xml:space="preserve">a </w:t>
      </w:r>
      <w:r w:rsidR="00F567C9">
        <w:rPr>
          <w:rFonts w:ascii="Times New Roman" w:eastAsia="Times New Roman" w:hAnsi="Times New Roman" w:cs="Times New Roman"/>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0.5 correlation </w:t>
      </w:r>
      <w:r w:rsidR="00F567C9">
        <w:rPr>
          <w:rFonts w:ascii="Helvetica" w:eastAsia="Times New Roman" w:hAnsi="Helvetica" w:cs="Helvetica"/>
          <w:color w:val="2E74B5" w:themeColor="accent5" w:themeShade="BF"/>
          <w:sz w:val="21"/>
          <w:szCs w:val="21"/>
          <w:lang w:eastAsia="zh-CN"/>
        </w:rPr>
        <w:t xml:space="preserve">with </w:t>
      </w:r>
      <w:proofErr w:type="spellStart"/>
      <w:r w:rsidR="00F567C9" w:rsidRPr="00F567C9">
        <w:rPr>
          <w:rFonts w:ascii="Helvetica" w:eastAsia="Times New Roman" w:hAnsi="Helvetica" w:cs="Helvetica"/>
          <w:i/>
          <w:color w:val="2E74B5" w:themeColor="accent5" w:themeShade="BF"/>
          <w:sz w:val="21"/>
          <w:szCs w:val="21"/>
          <w:lang w:eastAsia="zh-CN"/>
        </w:rPr>
        <w:t>frpl</w:t>
      </w:r>
      <w:proofErr w:type="spellEnd"/>
      <w:r w:rsidR="00F567C9">
        <w:rPr>
          <w:rFonts w:ascii="Helvetica" w:eastAsia="Times New Roman" w:hAnsi="Helvetica" w:cs="Helvetica"/>
          <w:color w:val="2E74B5" w:themeColor="accent5" w:themeShade="BF"/>
          <w:sz w:val="21"/>
          <w:szCs w:val="21"/>
          <w:lang w:eastAsia="zh-CN"/>
        </w:rPr>
        <w:t xml:space="preserve">. Although some potential covariates (e.g., </w:t>
      </w:r>
      <w:proofErr w:type="spellStart"/>
      <w:r w:rsidR="00F567C9" w:rsidRPr="00F567C9">
        <w:rPr>
          <w:rFonts w:ascii="Helvetica" w:eastAsia="Times New Roman" w:hAnsi="Helvetica" w:cs="Helvetica"/>
          <w:i/>
          <w:color w:val="2E74B5" w:themeColor="accent5" w:themeShade="BF"/>
          <w:sz w:val="21"/>
          <w:szCs w:val="21"/>
          <w:lang w:eastAsia="zh-CN"/>
        </w:rPr>
        <w:t>snapavgall</w:t>
      </w:r>
      <w:proofErr w:type="spellEnd"/>
      <w:r w:rsidR="00F567C9">
        <w:rPr>
          <w:rFonts w:ascii="Helvetica" w:eastAsia="Times New Roman" w:hAnsi="Helvetica" w:cs="Helvetica"/>
          <w:color w:val="2E74B5" w:themeColor="accent5" w:themeShade="BF"/>
          <w:sz w:val="21"/>
          <w:szCs w:val="21"/>
          <w:lang w:eastAsia="zh-CN"/>
        </w:rPr>
        <w:t xml:space="preserve"> and </w:t>
      </w:r>
      <w:proofErr w:type="spellStart"/>
      <w:r w:rsidR="00F567C9"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 xml:space="preserve">) are highly correlated with each other, we are relatively unconcerned with this source of </w:t>
      </w:r>
      <w:proofErr w:type="spellStart"/>
      <w:proofErr w:type="gramStart"/>
      <w:r w:rsidR="00F567C9">
        <w:rPr>
          <w:rFonts w:ascii="Helvetica" w:eastAsia="Times New Roman" w:hAnsi="Helvetica" w:cs="Helvetica"/>
          <w:color w:val="2E74B5" w:themeColor="accent5" w:themeShade="BF"/>
          <w:sz w:val="21"/>
          <w:szCs w:val="21"/>
          <w:lang w:eastAsia="zh-CN"/>
        </w:rPr>
        <w:t>multicollinearity</w:t>
      </w:r>
      <w:proofErr w:type="spellEnd"/>
      <w:proofErr w:type="gramEnd"/>
      <w:r w:rsidR="00F567C9">
        <w:rPr>
          <w:rFonts w:ascii="Helvetica" w:eastAsia="Times New Roman" w:hAnsi="Helvetica" w:cs="Helvetica"/>
          <w:color w:val="2E74B5" w:themeColor="accent5" w:themeShade="BF"/>
          <w:sz w:val="21"/>
          <w:szCs w:val="21"/>
          <w:lang w:eastAsia="zh-CN"/>
        </w:rPr>
        <w:t xml:space="preserve"> as it will not affect our question predictor. Nevertheless, we can test whether our results are sensitive to the inclusion or exclusion of </w:t>
      </w:r>
      <w:proofErr w:type="spellStart"/>
      <w:r w:rsidR="00F567C9"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w:t>
      </w:r>
    </w:p>
    <w:p w14:paraId="7A057C0D" w14:textId="5DDC64F0"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Table 1</w:t>
      </w:r>
    </w:p>
    <w:p w14:paraId="3BE10CF2" w14:textId="4BF528F9"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99"/>
        <w:gridCol w:w="1257"/>
        <w:gridCol w:w="1278"/>
        <w:gridCol w:w="1109"/>
        <w:gridCol w:w="464"/>
      </w:tblGrid>
      <w:tr w:rsidR="00A8416C" w:rsidRPr="00A8416C" w14:paraId="6BDF55E9" w14:textId="77777777" w:rsidTr="00A8416C">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239FD3D"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753"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5B50AAA"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6D66FF1C"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355CFD5"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E12DF31"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lninc50avgall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509393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6DE4A15C"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70F30F8"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CD67F5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frpl</w:t>
            </w:r>
            <w:proofErr w:type="spellEnd"/>
          </w:p>
        </w:tc>
      </w:tr>
      <w:tr w:rsidR="00A8416C" w:rsidRPr="00A8416C" w14:paraId="4A8E7BA5" w14:textId="77777777" w:rsidTr="00A8416C">
        <w:trPr>
          <w:jc w:val="center"/>
        </w:trPr>
        <w:tc>
          <w:tcPr>
            <w:tcW w:w="1440" w:type="dxa"/>
            <w:tcBorders>
              <w:top w:val="single" w:sz="4" w:space="0" w:color="auto"/>
            </w:tcBorders>
            <w:shd w:val="clear" w:color="auto" w:fill="FFFFFF"/>
            <w:tcMar>
              <w:top w:w="0" w:type="dxa"/>
              <w:left w:w="0" w:type="dxa"/>
              <w:bottom w:w="0" w:type="dxa"/>
              <w:right w:w="0" w:type="dxa"/>
            </w:tcMar>
            <w:vAlign w:val="center"/>
          </w:tcPr>
          <w:p w14:paraId="71EFC5C6"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ppe</w:t>
            </w:r>
            <w:proofErr w:type="spellEnd"/>
          </w:p>
        </w:tc>
        <w:tc>
          <w:tcPr>
            <w:tcW w:w="753" w:type="dxa"/>
            <w:tcBorders>
              <w:top w:val="single" w:sz="4" w:space="0" w:color="auto"/>
            </w:tcBorders>
            <w:shd w:val="clear" w:color="auto" w:fill="FFFFFF"/>
            <w:tcMar>
              <w:top w:w="0" w:type="dxa"/>
              <w:left w:w="0" w:type="dxa"/>
              <w:bottom w:w="0" w:type="dxa"/>
              <w:right w:w="0" w:type="dxa"/>
            </w:tcMar>
            <w:vAlign w:val="center"/>
          </w:tcPr>
          <w:p w14:paraId="1683402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vAlign w:val="center"/>
          </w:tcPr>
          <w:p w14:paraId="44400DE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6863121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3BB8EF4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40BFDC6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1B77D11C"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5E9DE9A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6B197445"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7B717C82" w14:textId="77777777" w:rsidTr="00A8416C">
        <w:trPr>
          <w:jc w:val="center"/>
        </w:trPr>
        <w:tc>
          <w:tcPr>
            <w:tcW w:w="1440" w:type="dxa"/>
            <w:tcBorders>
              <w:bottom w:val="none" w:sz="0" w:space="0" w:color="000000"/>
            </w:tcBorders>
            <w:shd w:val="clear" w:color="auto" w:fill="FFFFFF"/>
            <w:tcMar>
              <w:top w:w="0" w:type="dxa"/>
              <w:left w:w="0" w:type="dxa"/>
              <w:bottom w:w="0" w:type="dxa"/>
              <w:right w:w="0" w:type="dxa"/>
            </w:tcMar>
            <w:vAlign w:val="center"/>
          </w:tcPr>
          <w:p w14:paraId="572A3717"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enroll</w:t>
            </w:r>
          </w:p>
        </w:tc>
        <w:tc>
          <w:tcPr>
            <w:tcW w:w="753" w:type="dxa"/>
            <w:tcBorders>
              <w:bottom w:val="none" w:sz="0" w:space="0" w:color="000000"/>
            </w:tcBorders>
            <w:shd w:val="clear" w:color="auto" w:fill="FFFFFF"/>
            <w:tcMar>
              <w:top w:w="0" w:type="dxa"/>
              <w:left w:w="0" w:type="dxa"/>
              <w:bottom w:w="0" w:type="dxa"/>
              <w:right w:w="0" w:type="dxa"/>
            </w:tcMar>
            <w:vAlign w:val="center"/>
          </w:tcPr>
          <w:p w14:paraId="0990588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vAlign w:val="center"/>
          </w:tcPr>
          <w:p w14:paraId="01A01CF7"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vAlign w:val="center"/>
          </w:tcPr>
          <w:p w14:paraId="7683E9D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3DB00E6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2625EE5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83681A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E181CD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E180B2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7254E5F4"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BC28C39"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18A506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3C711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3CC479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EE454D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96EB5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0CEFD0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FCF18E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6FBBB8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1F1D74B1"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06B448"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lninc50avgall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23F04B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-.146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6A418F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05FE3E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B6D2A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5BC6AA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854203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E63F95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C61CDB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1C9CFE18"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8127F45"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8A9532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2E7FE3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911931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45FD1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0BBD9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774257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DCE0C2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4B4869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1EA56652"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DCC9604"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CA3F33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B7588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CCD20E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474AF6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B7A3965"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AF8A0E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415CC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9184E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384747F2"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5312AF"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000949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1508C7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A28980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5C26B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44732B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A70B12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049F56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057182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3ABCDB84" w14:textId="77777777" w:rsidTr="00A8416C">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219FE156"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frpl</w:t>
            </w:r>
            <w:proofErr w:type="spellEnd"/>
          </w:p>
        </w:tc>
        <w:tc>
          <w:tcPr>
            <w:tcW w:w="753"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0D947297"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.184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12FCD63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08B38B4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6AF3B1B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-.474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1F64BF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-.419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00CC43E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.352</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754D4B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.515</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4C7189B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r>
    </w:tbl>
    <w:p w14:paraId="3744C49A" w14:textId="77777777"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p>
    <w:p w14:paraId="6F138F35" w14:textId="10DC99D0"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358A0AB7" w:rsidR="00561120" w:rsidRDefault="00B73966"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Pearson correla</w:t>
      </w:r>
      <w:r w:rsidRPr="00B73966">
        <w:rPr>
          <w:rFonts w:ascii="Helvetica" w:eastAsia="Times New Roman" w:hAnsi="Helvetica" w:cs="Helvetica"/>
          <w:i/>
          <w:color w:val="2E74B5" w:themeColor="accent5" w:themeShade="BF"/>
          <w:sz w:val="21"/>
          <w:szCs w:val="21"/>
          <w:lang w:eastAsia="zh-CN"/>
        </w:rPr>
        <w:t xml:space="preserve">tion </w:t>
      </w:r>
      <w:proofErr w:type="spellStart"/>
      <w:r w:rsidRPr="00B73966">
        <w:rPr>
          <w:rFonts w:ascii="Helvetica" w:eastAsia="Times New Roman" w:hAnsi="Helvetica" w:cs="Helvetica"/>
          <w:i/>
          <w:color w:val="2E74B5" w:themeColor="accent5" w:themeShade="BF"/>
          <w:sz w:val="21"/>
          <w:szCs w:val="21"/>
          <w:lang w:eastAsia="zh-CN"/>
        </w:rPr>
        <w:t>heatmap</w:t>
      </w:r>
      <w:proofErr w:type="spellEnd"/>
      <w:r w:rsidRPr="00B73966">
        <w:rPr>
          <w:rFonts w:ascii="Helvetica" w:eastAsia="Times New Roman" w:hAnsi="Helvetica" w:cs="Helvetica"/>
          <w:i/>
          <w:color w:val="2E74B5" w:themeColor="accent5" w:themeShade="BF"/>
          <w:sz w:val="21"/>
          <w:szCs w:val="21"/>
          <w:lang w:eastAsia="zh-CN"/>
        </w:rPr>
        <w:t xml:space="preserve"> </w:t>
      </w:r>
      <w:r w:rsidRPr="00B73966">
        <w:rPr>
          <w:rFonts w:ascii="Helvetica" w:eastAsia="Times New Roman" w:hAnsi="Helvetica" w:cs="Helvetica"/>
          <w:i/>
          <w:color w:val="2E74B5" w:themeColor="accent5" w:themeShade="BF"/>
          <w:sz w:val="21"/>
          <w:szCs w:val="21"/>
          <w:lang w:eastAsia="zh-CN"/>
        </w:rPr>
        <w:t>of the characteristics of Oregon public schools and the communities in which they are located, 2018-19</w:t>
      </w:r>
      <w:r w:rsidR="00561120" w:rsidRPr="00B73966">
        <w:rPr>
          <w:rFonts w:ascii="Helvetica" w:eastAsia="Times New Roman" w:hAnsi="Helvetica" w:cs="Helvetica"/>
          <w:i/>
          <w:color w:val="2E74B5" w:themeColor="accent5" w:themeShade="BF"/>
          <w:sz w:val="21"/>
          <w:szCs w:val="21"/>
          <w:lang w:eastAsia="zh-CN"/>
        </w:rPr>
        <w:t>.</w:t>
      </w:r>
    </w:p>
    <w:p w14:paraId="3F02F719" w14:textId="1A188256" w:rsidR="00A8416C" w:rsidRDefault="00A8416C"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394CE686" wp14:editId="4B6644E2">
            <wp:extent cx="4191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_3_heat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2514600"/>
                    </a:xfrm>
                    <a:prstGeom prst="rect">
                      <a:avLst/>
                    </a:prstGeom>
                  </pic:spPr>
                </pic:pic>
              </a:graphicData>
            </a:graphic>
          </wp:inline>
        </w:drawing>
      </w:r>
    </w:p>
    <w:p w14:paraId="1E29C092" w14:textId="3AD67939" w:rsidR="00DD64DB" w:rsidRDefault="00DD64DB" w:rsidP="008A45B4">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1.3. </w:t>
      </w:r>
      <w:r w:rsidR="00CB04AA" w:rsidRPr="00CB04AA">
        <w:rPr>
          <w:rFonts w:ascii="Helvetica" w:eastAsia="Times New Roman" w:hAnsi="Helvetica" w:cs="Helvetica"/>
          <w:color w:val="333333"/>
          <w:sz w:val="21"/>
          <w:szCs w:val="21"/>
          <w:lang w:eastAsia="zh-CN"/>
        </w:rPr>
        <w:t>Write a formal linear model that describes the relationship between school-level per-pupil expenditure and the school-level average receipt of free- or reduced-price lunch, adjusting for the covariates you have selected (at least one required). Interpret each of the terms in this model. (1 point)</w:t>
      </w:r>
    </w:p>
    <w:p w14:paraId="50F55E91" w14:textId="7929A087"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2</m:t>
              </m:r>
            </m:sub>
          </m:sSub>
          <m:r>
            <w:rPr>
              <w:rFonts w:ascii="Cambria Math" w:eastAsia="Times New Roman" w:hAnsi="Cambria Math" w:cs="Helvetica"/>
              <w:color w:val="2E74B5" w:themeColor="accent5" w:themeShade="BF"/>
              <w:sz w:val="21"/>
              <w:szCs w:val="21"/>
              <w:lang w:eastAsia="zh-CN"/>
            </w:rPr>
            <m:t>ENROL</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3</m:t>
              </m:r>
            </m:sub>
          </m:sSub>
          <m:r>
            <w:rPr>
              <w:rFonts w:ascii="Cambria Math" w:eastAsia="Times New Roman" w:hAnsi="Cambria Math" w:cs="Helvetica"/>
              <w:color w:val="2E74B5" w:themeColor="accent5" w:themeShade="BF"/>
              <w:sz w:val="21"/>
              <w:szCs w:val="21"/>
              <w:lang w:eastAsia="zh-CN"/>
            </w:rPr>
            <m:t>LNINC</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50</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4</m:t>
              </m:r>
            </m:sub>
          </m:sSub>
          <m:r>
            <w:rPr>
              <w:rFonts w:ascii="Cambria Math" w:eastAsia="Times New Roman" w:hAnsi="Cambria Math" w:cs="Helvetica"/>
              <w:color w:val="2E74B5" w:themeColor="accent5" w:themeShade="BF"/>
              <w:sz w:val="21"/>
              <w:szCs w:val="21"/>
              <w:lang w:eastAsia="zh-CN"/>
            </w:rPr>
            <m:t>BAPLU</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S</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5</m:t>
              </m:r>
            </m:sub>
          </m:sSub>
          <m:r>
            <w:rPr>
              <w:rFonts w:ascii="Cambria Math" w:eastAsia="Times New Roman" w:hAnsi="Cambria Math" w:cs="Helvetica"/>
              <w:color w:val="2E74B5" w:themeColor="accent5" w:themeShade="BF"/>
              <w:sz w:val="21"/>
              <w:szCs w:val="21"/>
              <w:lang w:eastAsia="zh-CN"/>
            </w:rPr>
            <m:t>UNEM</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6</m:t>
              </m:r>
            </m:sub>
          </m:sSub>
          <m:r>
            <w:rPr>
              <w:rFonts w:ascii="Cambria Math" w:eastAsia="Times New Roman" w:hAnsi="Cambria Math" w:cs="Helvetica"/>
              <w:color w:val="2E74B5" w:themeColor="accent5" w:themeShade="BF"/>
              <w:sz w:val="21"/>
              <w:szCs w:val="21"/>
              <w:lang w:eastAsia="zh-CN"/>
            </w:rPr>
            <m:t>SNA</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j</m:t>
              </m:r>
            </m:sub>
          </m:sSub>
        </m:oMath>
      </m:oMathPara>
    </w:p>
    <w:p w14:paraId="4D005DF1" w14:textId="643C4108"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w:proofErr w:type="spellStart"/>
      <w:r w:rsidRPr="00F567C9">
        <w:rPr>
          <w:rFonts w:ascii="Helvetica" w:eastAsia="Times New Roman" w:hAnsi="Helvetica" w:cs="Helvetica"/>
          <w:i/>
          <w:color w:val="2E74B5" w:themeColor="accent5" w:themeShade="BF"/>
          <w:sz w:val="21"/>
          <w:szCs w:val="21"/>
          <w:lang w:eastAsia="zh-CN"/>
        </w:rPr>
        <w:t>PPE</w:t>
      </w:r>
      <w:r w:rsidRPr="00F567C9">
        <w:rPr>
          <w:rFonts w:ascii="Helvetica" w:eastAsia="Times New Roman" w:hAnsi="Helvetica" w:cs="Helvetica"/>
          <w:i/>
          <w:color w:val="2E74B5" w:themeColor="accent5" w:themeShade="BF"/>
          <w:sz w:val="21"/>
          <w:szCs w:val="21"/>
          <w:vertAlign w:val="subscript"/>
          <w:lang w:eastAsia="zh-CN"/>
        </w:rPr>
        <w:t>j</w:t>
      </w:r>
      <w:proofErr w:type="spellEnd"/>
      <w:r>
        <w:rPr>
          <w:rFonts w:ascii="Helvetica" w:eastAsia="Times New Roman" w:hAnsi="Helvetica" w:cs="Helvetica"/>
          <w:color w:val="2E74B5" w:themeColor="accent5" w:themeShade="BF"/>
          <w:sz w:val="21"/>
          <w:szCs w:val="21"/>
          <w:lang w:eastAsia="zh-CN"/>
        </w:rPr>
        <w:t xml:space="preserve"> is our outcome and represents </w:t>
      </w:r>
      <w:r w:rsidR="00E23D0C">
        <w:rPr>
          <w:rFonts w:ascii="Helvetica" w:eastAsia="Times New Roman" w:hAnsi="Helvetica" w:cs="Helvetica"/>
          <w:color w:val="2E74B5" w:themeColor="accent5" w:themeShade="BF"/>
          <w:sz w:val="21"/>
          <w:szCs w:val="21"/>
          <w:lang w:eastAsia="zh-CN"/>
        </w:rPr>
        <w:t>school-level (</w:t>
      </w:r>
      <w:r w:rsidR="00E23D0C" w:rsidRPr="00E23D0C">
        <w:rPr>
          <w:rFonts w:ascii="Helvetica" w:eastAsia="Times New Roman" w:hAnsi="Helvetica" w:cs="Helvetica"/>
          <w:i/>
          <w:color w:val="2E74B5" w:themeColor="accent5" w:themeShade="BF"/>
          <w:sz w:val="21"/>
          <w:szCs w:val="21"/>
          <w:lang w:eastAsia="zh-CN"/>
        </w:rPr>
        <w:t>j</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per-pupil expenditure</w:t>
      </w:r>
      <w:r w:rsidR="00E23D0C">
        <w:rPr>
          <w:rFonts w:ascii="Helvetica" w:eastAsia="Times New Roman" w:hAnsi="Helvetica" w:cs="Helvetica"/>
          <w:color w:val="2E74B5" w:themeColor="accent5" w:themeShade="BF"/>
          <w:sz w:val="21"/>
          <w:szCs w:val="21"/>
          <w:lang w:eastAsia="zh-CN"/>
        </w:rPr>
        <w:t xml:space="preserve"> in Oregon schools.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0</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our intercept, represents the population parameter</w:t>
      </w:r>
      <w:r w:rsidR="00E23D0C">
        <w:rPr>
          <w:rFonts w:ascii="Helvetica" w:eastAsia="Times New Roman" w:hAnsi="Helvetica" w:cs="Helvetica"/>
          <w:color w:val="2E74B5" w:themeColor="accent5" w:themeShade="BF"/>
          <w:sz w:val="21"/>
          <w:szCs w:val="21"/>
          <w:lang w:eastAsia="zh-CN"/>
        </w:rPr>
        <w:t xml:space="preserve"> for predicted per-pupil expenditure</w:t>
      </w:r>
      <w:r w:rsidR="00E23D0C" w:rsidRPr="00E23D0C">
        <w:rPr>
          <w:rFonts w:ascii="Helvetica" w:eastAsia="Times New Roman" w:hAnsi="Helvetica" w:cs="Helvetica"/>
          <w:color w:val="2E74B5" w:themeColor="accent5" w:themeShade="BF"/>
          <w:sz w:val="21"/>
          <w:szCs w:val="21"/>
          <w:lang w:eastAsia="zh-CN"/>
        </w:rPr>
        <w:t xml:space="preserve"> </w:t>
      </w:r>
      <w:r w:rsidR="00E23D0C">
        <w:rPr>
          <w:rFonts w:ascii="Helvetica" w:eastAsia="Times New Roman" w:hAnsi="Helvetica" w:cs="Helvetica"/>
          <w:color w:val="2E74B5" w:themeColor="accent5" w:themeShade="BF"/>
          <w:sz w:val="21"/>
          <w:szCs w:val="21"/>
          <w:lang w:eastAsia="zh-CN"/>
        </w:rPr>
        <w:t xml:space="preserve">in schools with no FRPL-students, that enroll no students, whose families have median log-income of </w:t>
      </w:r>
      <w:proofErr w:type="gramStart"/>
      <w:r w:rsidR="00E23D0C">
        <w:rPr>
          <w:rFonts w:ascii="Helvetica" w:eastAsia="Times New Roman" w:hAnsi="Helvetica" w:cs="Helvetica"/>
          <w:color w:val="2E74B5" w:themeColor="accent5" w:themeShade="BF"/>
          <w:sz w:val="21"/>
          <w:szCs w:val="21"/>
          <w:lang w:eastAsia="zh-CN"/>
        </w:rPr>
        <w:t>0</w:t>
      </w:r>
      <w:proofErr w:type="gramEnd"/>
      <w:r w:rsidR="00E23D0C">
        <w:rPr>
          <w:rFonts w:ascii="Helvetica" w:eastAsia="Times New Roman" w:hAnsi="Helvetica" w:cs="Helvetica"/>
          <w:color w:val="2E74B5" w:themeColor="accent5" w:themeShade="BF"/>
          <w:sz w:val="21"/>
          <w:szCs w:val="21"/>
          <w:lang w:eastAsia="zh-CN"/>
        </w:rPr>
        <w:t xml:space="preserve">, and whose 4-year degree attainment, unemployment and SNAP-receipt rates are all 0. </w:t>
      </w:r>
      <w:proofErr w:type="gramStart"/>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1</w:t>
      </w:r>
      <w:proofErr w:type="gramEnd"/>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s the relationship between the proportion of FRPL students in a school and its per-pupil expenditure, adjusting for differences in school enrollment, median income, BA-attainment, unemployment and SNAP-receipt. </w:t>
      </w:r>
      <w:proofErr w:type="gramStart"/>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2</w:t>
      </w:r>
      <w:proofErr w:type="gramEnd"/>
      <w:r w:rsidR="00E23D0C">
        <w:rPr>
          <w:rFonts w:ascii="Times New Roman" w:eastAsia="Times New Roman" w:hAnsi="Times New Roman" w:cs="Times New Roman"/>
          <w:color w:val="2E74B5" w:themeColor="accent5" w:themeShade="BF"/>
          <w:sz w:val="21"/>
          <w:szCs w:val="21"/>
          <w:lang w:eastAsia="zh-CN"/>
        </w:rPr>
        <w:t xml:space="preserve"> through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6</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 the relationship between each of the covariates and per-pupil expenditure, adjusting for all other variables in the model. Finally, </w:t>
      </w:r>
      <w:proofErr w:type="spellStart"/>
      <w:r w:rsidR="00E23D0C" w:rsidRPr="00E23D0C">
        <w:rPr>
          <w:rFonts w:ascii="Times New Roman" w:eastAsia="Times New Roman" w:hAnsi="Times New Roman" w:cs="Times New Roman"/>
          <w:i/>
          <w:color w:val="2E74B5" w:themeColor="accent5" w:themeShade="BF"/>
          <w:sz w:val="21"/>
          <w:szCs w:val="21"/>
          <w:lang w:eastAsia="zh-CN"/>
        </w:rPr>
        <w:t>ε</w:t>
      </w:r>
      <w:r w:rsidR="00E23D0C" w:rsidRPr="00E23D0C">
        <w:rPr>
          <w:rFonts w:ascii="Helvetica" w:eastAsia="Times New Roman" w:hAnsi="Helvetica" w:cs="Helvetica"/>
          <w:i/>
          <w:color w:val="2E74B5" w:themeColor="accent5" w:themeShade="BF"/>
          <w:sz w:val="21"/>
          <w:szCs w:val="21"/>
          <w:vertAlign w:val="subscript"/>
          <w:lang w:eastAsia="zh-CN"/>
        </w:rPr>
        <w:t>j</w:t>
      </w:r>
      <w:proofErr w:type="spellEnd"/>
      <w:r w:rsidR="00E23D0C">
        <w:rPr>
          <w:rFonts w:ascii="Helvetica" w:eastAsia="Times New Roman" w:hAnsi="Helvetica" w:cs="Helvetica"/>
          <w:color w:val="2E74B5" w:themeColor="accent5" w:themeShade="BF"/>
          <w:sz w:val="21"/>
          <w:szCs w:val="21"/>
          <w:lang w:eastAsia="zh-CN"/>
        </w:rPr>
        <w:t xml:space="preserve"> is our school-level idiosyncratic error term or residual.</w:t>
      </w:r>
    </w:p>
    <w:p w14:paraId="4913D9F5" w14:textId="279DA9F4" w:rsidR="00DD64DB" w:rsidRDefault="00DD64DB"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1.4. </w:t>
      </w:r>
      <w:r w:rsidR="00CB04AA" w:rsidRPr="00CB04AA">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accounting for the covariates in your model. (1 point)</w:t>
      </w:r>
    </w:p>
    <w:p w14:paraId="7B5AB1CC" w14:textId="52D18F7A" w:rsidR="00561120" w:rsidRPr="00980F9C" w:rsidRDefault="00F567C9" w:rsidP="00DD64DB">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Adjusting for schools’ total enrollment, the median income, college-degree attainment, unemployment rate and SNAP receipt</w:t>
      </w:r>
      <w:r w:rsidR="00E01035">
        <w:rPr>
          <w:rFonts w:ascii="Helvetica" w:eastAsia="Times New Roman" w:hAnsi="Helvetica" w:cs="Helvetica"/>
          <w:color w:val="2E74B5" w:themeColor="accent5" w:themeShade="BF"/>
          <w:sz w:val="21"/>
          <w:szCs w:val="21"/>
          <w:lang w:eastAsia="zh-CN"/>
        </w:rPr>
        <w:t xml:space="preserve"> rate</w:t>
      </w:r>
      <w:r>
        <w:rPr>
          <w:rFonts w:ascii="Helvetica" w:eastAsia="Times New Roman" w:hAnsi="Helvetica" w:cs="Helvetica"/>
          <w:color w:val="2E74B5" w:themeColor="accent5" w:themeShade="BF"/>
          <w:sz w:val="21"/>
          <w:szCs w:val="21"/>
          <w:lang w:eastAsia="zh-CN"/>
        </w:rPr>
        <w:t xml:space="preserve"> of district residents, there is no relationship between per-pupil expenditure and the proportion of students receiving free- or reduced-price lunch, on average in the population of Oregon schools.</w:t>
      </w:r>
    </w:p>
    <w:p w14:paraId="2F0BFCB3" w14:textId="3E70ED26" w:rsidR="00A8416C" w:rsidRDefault="00DD64DB" w:rsidP="00E23D0C">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DD64DB">
        <w:rPr>
          <w:rFonts w:ascii="Helvetica" w:eastAsia="Times New Roman" w:hAnsi="Helvetica" w:cs="Helvetica"/>
          <w:color w:val="333333"/>
          <w:sz w:val="21"/>
          <w:szCs w:val="21"/>
          <w:lang w:eastAsia="zh-CN"/>
        </w:rPr>
        <w:t xml:space="preserve">1.5. </w:t>
      </w:r>
      <w:r w:rsidR="00CB04AA" w:rsidRPr="00CB04AA">
        <w:rPr>
          <w:rFonts w:ascii="Helvetica" w:eastAsia="Times New Roman" w:hAnsi="Helvetica" w:cs="Helvetica"/>
          <w:color w:val="333333"/>
          <w:sz w:val="21"/>
          <w:szCs w:val="21"/>
          <w:lang w:eastAsia="zh-CN"/>
        </w:rPr>
        <w:t xml:space="preserve">Formally test your hypothesis using an Ordinary Least Squares estimation strategy. Report a set of results in a formatted table in which you compare the bivariate relationship between </w:t>
      </w:r>
      <w:proofErr w:type="spellStart"/>
      <w:r w:rsidR="00CB04AA" w:rsidRPr="00CB04AA">
        <w:rPr>
          <w:rFonts w:ascii="Helvetica" w:eastAsia="Times New Roman" w:hAnsi="Helvetica" w:cs="Helvetica"/>
          <w:i/>
          <w:color w:val="333333"/>
          <w:sz w:val="21"/>
          <w:szCs w:val="21"/>
          <w:lang w:eastAsia="zh-CN"/>
        </w:rPr>
        <w:t>ppe</w:t>
      </w:r>
      <w:proofErr w:type="spellEnd"/>
      <w:r w:rsidR="00CB04AA" w:rsidRPr="00CB04AA">
        <w:rPr>
          <w:rFonts w:ascii="Helvetica" w:eastAsia="Times New Roman" w:hAnsi="Helvetica" w:cs="Helvetica"/>
          <w:color w:val="333333"/>
          <w:sz w:val="21"/>
          <w:szCs w:val="21"/>
          <w:lang w:eastAsia="zh-CN"/>
        </w:rPr>
        <w:t xml:space="preserve"> and </w:t>
      </w:r>
      <w:proofErr w:type="spellStart"/>
      <w:r w:rsidR="00CB04AA" w:rsidRPr="00CB04AA">
        <w:rPr>
          <w:rFonts w:ascii="Helvetica" w:eastAsia="Times New Roman" w:hAnsi="Helvetica" w:cs="Helvetica"/>
          <w:i/>
          <w:color w:val="333333"/>
          <w:sz w:val="21"/>
          <w:szCs w:val="21"/>
          <w:lang w:eastAsia="zh-CN"/>
        </w:rPr>
        <w:t>frpl</w:t>
      </w:r>
      <w:proofErr w:type="spellEnd"/>
      <w:r w:rsidR="00CB04AA" w:rsidRPr="00CB04AA">
        <w:rPr>
          <w:rFonts w:ascii="Helvetica" w:eastAsia="Times New Roman" w:hAnsi="Helvetica" w:cs="Helvetica"/>
          <w:color w:val="333333"/>
          <w:sz w:val="21"/>
          <w:szCs w:val="21"/>
          <w:lang w:eastAsia="zh-CN"/>
        </w:rPr>
        <w:t xml:space="preserve"> with the multivariate relationship you have just estimated. (2 points)</w:t>
      </w:r>
      <w:r w:rsidR="00A8416C">
        <w:rPr>
          <w:rFonts w:ascii="Helvetica" w:eastAsia="Times New Roman" w:hAnsi="Helvetica" w:cs="Helvetica"/>
          <w:b/>
          <w:color w:val="2E74B5" w:themeColor="accent5" w:themeShade="BF"/>
          <w:sz w:val="21"/>
          <w:szCs w:val="21"/>
          <w:lang w:eastAsia="zh-CN"/>
        </w:rPr>
        <w:br w:type="page"/>
      </w:r>
    </w:p>
    <w:p w14:paraId="1B081295" w14:textId="722275BE" w:rsidR="00A8416C" w:rsidRPr="00A8416C" w:rsidRDefault="00A8416C"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A8416C">
        <w:rPr>
          <w:rFonts w:ascii="Helvetica" w:eastAsia="Times New Roman" w:hAnsi="Helvetica" w:cs="Helvetica"/>
          <w:b/>
          <w:color w:val="2E74B5" w:themeColor="accent5" w:themeShade="BF"/>
          <w:sz w:val="21"/>
          <w:szCs w:val="21"/>
          <w:lang w:eastAsia="zh-CN"/>
        </w:rPr>
        <w:lastRenderedPageBreak/>
        <w:t>Table 2</w:t>
      </w:r>
    </w:p>
    <w:tbl>
      <w:tblPr>
        <w:tblW w:w="0" w:type="auto"/>
        <w:jc w:val="center"/>
        <w:tblLook w:val="0420" w:firstRow="1" w:lastRow="0" w:firstColumn="0" w:lastColumn="0" w:noHBand="0" w:noVBand="1"/>
      </w:tblPr>
      <w:tblGrid>
        <w:gridCol w:w="2486"/>
        <w:gridCol w:w="1618"/>
        <w:gridCol w:w="1618"/>
        <w:gridCol w:w="1618"/>
        <w:gridCol w:w="1618"/>
      </w:tblGrid>
      <w:tr w:rsidR="00483791" w:rsidRPr="00483791" w14:paraId="24DC798A" w14:textId="77777777" w:rsidTr="00483791">
        <w:trPr>
          <w:tblHeader/>
          <w:jc w:val="center"/>
        </w:trPr>
        <w:tc>
          <w:tcPr>
            <w:tcW w:w="248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658D5D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910A1D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E1DEEB5"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D5B464E"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31A5132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w:t>
            </w:r>
          </w:p>
        </w:tc>
      </w:tr>
      <w:tr w:rsidR="00483791" w:rsidRPr="00483791" w14:paraId="29AE58B8" w14:textId="77777777" w:rsidTr="00483791">
        <w:trPr>
          <w:jc w:val="center"/>
        </w:trPr>
        <w:tc>
          <w:tcPr>
            <w:tcW w:w="2486" w:type="dxa"/>
            <w:tcBorders>
              <w:top w:val="single" w:sz="4" w:space="0" w:color="auto"/>
            </w:tcBorders>
            <w:shd w:val="clear" w:color="auto" w:fill="FFFFFF"/>
            <w:tcMar>
              <w:top w:w="0" w:type="dxa"/>
              <w:left w:w="0" w:type="dxa"/>
              <w:bottom w:w="0" w:type="dxa"/>
              <w:right w:w="0" w:type="dxa"/>
            </w:tcMar>
            <w:vAlign w:val="center"/>
          </w:tcPr>
          <w:p w14:paraId="392F69B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(Intercept)</w:t>
            </w:r>
          </w:p>
        </w:tc>
        <w:tc>
          <w:tcPr>
            <w:tcW w:w="0" w:type="auto"/>
            <w:tcBorders>
              <w:top w:val="single" w:sz="4" w:space="0" w:color="auto"/>
            </w:tcBorders>
            <w:shd w:val="clear" w:color="auto" w:fill="FFFFFF"/>
            <w:tcMar>
              <w:top w:w="0" w:type="dxa"/>
              <w:left w:w="0" w:type="dxa"/>
              <w:bottom w:w="0" w:type="dxa"/>
              <w:right w:w="0" w:type="dxa"/>
            </w:tcMar>
            <w:vAlign w:val="center"/>
          </w:tcPr>
          <w:p w14:paraId="6AF76F5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12,226.90***</w:t>
            </w:r>
          </w:p>
        </w:tc>
        <w:tc>
          <w:tcPr>
            <w:tcW w:w="0" w:type="auto"/>
            <w:tcBorders>
              <w:top w:val="single" w:sz="4" w:space="0" w:color="auto"/>
            </w:tcBorders>
            <w:shd w:val="clear" w:color="auto" w:fill="FFFFFF"/>
            <w:tcMar>
              <w:top w:w="0" w:type="dxa"/>
              <w:left w:w="0" w:type="dxa"/>
              <w:bottom w:w="0" w:type="dxa"/>
              <w:right w:w="0" w:type="dxa"/>
            </w:tcMar>
            <w:vAlign w:val="center"/>
          </w:tcPr>
          <w:p w14:paraId="3178337B"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12,592.77***</w:t>
            </w:r>
          </w:p>
        </w:tc>
        <w:tc>
          <w:tcPr>
            <w:tcW w:w="0" w:type="auto"/>
            <w:tcBorders>
              <w:top w:val="single" w:sz="4" w:space="0" w:color="auto"/>
            </w:tcBorders>
            <w:shd w:val="clear" w:color="auto" w:fill="FFFFFF"/>
            <w:tcMar>
              <w:top w:w="0" w:type="dxa"/>
              <w:left w:w="0" w:type="dxa"/>
              <w:bottom w:w="0" w:type="dxa"/>
              <w:right w:w="0" w:type="dxa"/>
            </w:tcMar>
            <w:vAlign w:val="center"/>
          </w:tcPr>
          <w:p w14:paraId="6B5BB05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82,729.69**</w:t>
            </w:r>
          </w:p>
        </w:tc>
        <w:tc>
          <w:tcPr>
            <w:tcW w:w="0" w:type="auto"/>
            <w:tcBorders>
              <w:top w:val="single" w:sz="4" w:space="0" w:color="auto"/>
            </w:tcBorders>
            <w:shd w:val="clear" w:color="auto" w:fill="FFFFFF"/>
            <w:tcMar>
              <w:top w:w="0" w:type="dxa"/>
              <w:left w:w="0" w:type="dxa"/>
              <w:bottom w:w="0" w:type="dxa"/>
              <w:right w:w="0" w:type="dxa"/>
            </w:tcMar>
            <w:vAlign w:val="center"/>
          </w:tcPr>
          <w:p w14:paraId="37894F2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102,327.73***</w:t>
            </w:r>
          </w:p>
        </w:tc>
      </w:tr>
      <w:tr w:rsidR="00483791" w:rsidRPr="00483791" w14:paraId="28AB6C1D" w14:textId="77777777" w:rsidTr="00483791">
        <w:trPr>
          <w:jc w:val="center"/>
        </w:trPr>
        <w:tc>
          <w:tcPr>
            <w:tcW w:w="2486" w:type="dxa"/>
            <w:tcBorders>
              <w:bottom w:val="none" w:sz="0" w:space="0" w:color="000000"/>
            </w:tcBorders>
            <w:shd w:val="clear" w:color="auto" w:fill="FFFFFF"/>
            <w:tcMar>
              <w:top w:w="0" w:type="dxa"/>
              <w:left w:w="0" w:type="dxa"/>
              <w:bottom w:w="0" w:type="dxa"/>
              <w:right w:w="0" w:type="dxa"/>
            </w:tcMar>
            <w:vAlign w:val="center"/>
          </w:tcPr>
          <w:p w14:paraId="208E649C"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bottom w:val="none" w:sz="0" w:space="0" w:color="000000"/>
            </w:tcBorders>
            <w:shd w:val="clear" w:color="auto" w:fill="FFFFFF"/>
            <w:tcMar>
              <w:top w:w="0" w:type="dxa"/>
              <w:left w:w="0" w:type="dxa"/>
              <w:bottom w:w="0" w:type="dxa"/>
              <w:right w:w="0" w:type="dxa"/>
            </w:tcMar>
            <w:vAlign w:val="center"/>
          </w:tcPr>
          <w:p w14:paraId="11B67F6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(271.68)</w:t>
            </w:r>
          </w:p>
        </w:tc>
        <w:tc>
          <w:tcPr>
            <w:tcW w:w="0" w:type="auto"/>
            <w:tcBorders>
              <w:bottom w:val="none" w:sz="0" w:space="0" w:color="000000"/>
            </w:tcBorders>
            <w:shd w:val="clear" w:color="auto" w:fill="FFFFFF"/>
            <w:tcMar>
              <w:top w:w="0" w:type="dxa"/>
              <w:left w:w="0" w:type="dxa"/>
              <w:bottom w:w="0" w:type="dxa"/>
              <w:right w:w="0" w:type="dxa"/>
            </w:tcMar>
            <w:vAlign w:val="center"/>
          </w:tcPr>
          <w:p w14:paraId="2141636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(392.08)</w:t>
            </w:r>
          </w:p>
        </w:tc>
        <w:tc>
          <w:tcPr>
            <w:tcW w:w="0" w:type="auto"/>
            <w:tcBorders>
              <w:bottom w:val="none" w:sz="0" w:space="0" w:color="000000"/>
            </w:tcBorders>
            <w:shd w:val="clear" w:color="auto" w:fill="FFFFFF"/>
            <w:tcMar>
              <w:top w:w="0" w:type="dxa"/>
              <w:left w:w="0" w:type="dxa"/>
              <w:bottom w:w="0" w:type="dxa"/>
              <w:right w:w="0" w:type="dxa"/>
            </w:tcMar>
            <w:vAlign w:val="center"/>
          </w:tcPr>
          <w:p w14:paraId="648E9AD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(25,293.20)</w:t>
            </w:r>
          </w:p>
        </w:tc>
        <w:tc>
          <w:tcPr>
            <w:tcW w:w="0" w:type="auto"/>
            <w:tcBorders>
              <w:bottom w:val="none" w:sz="0" w:space="0" w:color="000000"/>
            </w:tcBorders>
            <w:shd w:val="clear" w:color="auto" w:fill="FFFFFF"/>
            <w:tcMar>
              <w:top w:w="0" w:type="dxa"/>
              <w:left w:w="0" w:type="dxa"/>
              <w:bottom w:w="0" w:type="dxa"/>
              <w:right w:w="0" w:type="dxa"/>
            </w:tcMar>
            <w:vAlign w:val="center"/>
          </w:tcPr>
          <w:p w14:paraId="4DD6133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(18,563.75)</w:t>
            </w:r>
          </w:p>
        </w:tc>
      </w:tr>
      <w:tr w:rsidR="00483791" w:rsidRPr="00483791" w14:paraId="3E0DDC54"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35F4D2E"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Receiving FRPL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A20C3D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2,634.33***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605D8B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2,533.13***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95699A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3,233.37***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A515A9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3,285.95***</w:t>
            </w:r>
          </w:p>
        </w:tc>
      </w:tr>
      <w:tr w:rsidR="00483791" w:rsidRPr="00483791" w14:paraId="75E66FAC"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4CA4B32"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FB39E5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(427.86)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8CE865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(437.35)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60562F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(525.40)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7B1AA7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(524.57)</w:t>
            </w:r>
          </w:p>
        </w:tc>
      </w:tr>
      <w:tr w:rsidR="00483791" w:rsidRPr="00483791" w14:paraId="35E95A46"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45719D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Total enrollment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C87066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30E5BB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-0.66+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E14655"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-0.44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554165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-0.42</w:t>
            </w:r>
          </w:p>
        </w:tc>
      </w:tr>
      <w:tr w:rsidR="00483791" w:rsidRPr="00483791" w14:paraId="613CD8A4"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4390D7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BC6667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556EEE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318DD4E"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(0.36)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BEEBFB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(0.36)</w:t>
            </w:r>
          </w:p>
        </w:tc>
      </w:tr>
      <w:tr w:rsidR="00483791" w:rsidRPr="00483791" w14:paraId="05900CDB"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65008A1"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Median income (log)</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7680EC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E0B157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A448E1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-5,917.33*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30AEF6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-8,045.17***</w:t>
            </w:r>
          </w:p>
        </w:tc>
      </w:tr>
      <w:tr w:rsidR="00483791" w:rsidRPr="00483791" w14:paraId="60901CE6"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49E289"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784655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D3127C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1CF03D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(2,423.86)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DD2F1B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(1,616.15)</w:t>
            </w:r>
          </w:p>
        </w:tc>
      </w:tr>
      <w:tr w:rsidR="00483791" w:rsidRPr="00483791" w14:paraId="38C462EE"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3B1837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BA+ holders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C0D32E4"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166135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3FFF70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7,258.26***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DB3760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5,633.75***</w:t>
            </w:r>
          </w:p>
        </w:tc>
      </w:tr>
      <w:tr w:rsidR="00483791" w:rsidRPr="00483791" w14:paraId="3CEF1CCC"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14239E"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CA7587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AF98E9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2DF397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(1,593.85)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ADC1C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(1,042.93)</w:t>
            </w:r>
          </w:p>
        </w:tc>
      </w:tr>
      <w:tr w:rsidR="00483791" w:rsidRPr="00483791" w14:paraId="034B2C3A"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C30988C"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Unemployment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F5915E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7AA90C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5818CF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-26,442.88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609DC0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-7,324.17</w:t>
            </w:r>
          </w:p>
        </w:tc>
      </w:tr>
      <w:tr w:rsidR="00483791" w:rsidRPr="00483791" w14:paraId="1BFBAB77"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5EC5035"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5CE08BB"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C31A1B5"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7158A4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(20,440.74)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06774E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(13,929.48)</w:t>
            </w:r>
          </w:p>
        </w:tc>
      </w:tr>
      <w:tr w:rsidR="00483791" w:rsidRPr="00483791" w14:paraId="418435B2"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0EDB1E6"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SNAP receipt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9CE993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5D9034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15FF0B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-42,052.18***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8A29D94"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-26,672.34***</w:t>
            </w:r>
          </w:p>
        </w:tc>
      </w:tr>
      <w:tr w:rsidR="00483791" w:rsidRPr="00483791" w14:paraId="6F238DE0"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80CBBF8"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B93C57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F0ABB0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9B4A9F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(12,535.77)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2E9671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(7,907.01)</w:t>
            </w:r>
          </w:p>
        </w:tc>
      </w:tr>
      <w:tr w:rsidR="00483791" w:rsidRPr="00483791" w14:paraId="2BDAD5FB"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206CC00"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SES composite</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9CCFF2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8647AB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1C5981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-2,598.84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469D9F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483791" w:rsidRPr="00483791" w14:paraId="249931A8" w14:textId="77777777" w:rsidTr="00483791">
        <w:trPr>
          <w:jc w:val="center"/>
        </w:trPr>
        <w:tc>
          <w:tcPr>
            <w:tcW w:w="2486"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054FD973"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6355CD64"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6DB5738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651D179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(1,916.37)</w:t>
            </w: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281E11A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483791" w:rsidRPr="00483791" w14:paraId="6980FE0F" w14:textId="77777777" w:rsidTr="009C519A">
        <w:trPr>
          <w:jc w:val="center"/>
        </w:trPr>
        <w:tc>
          <w:tcPr>
            <w:tcW w:w="2486" w:type="dxa"/>
            <w:tcBorders>
              <w:top w:val="single" w:sz="4" w:space="0" w:color="auto"/>
            </w:tcBorders>
            <w:shd w:val="clear" w:color="auto" w:fill="FFFFFF"/>
            <w:tcMar>
              <w:top w:w="0" w:type="dxa"/>
              <w:left w:w="0" w:type="dxa"/>
              <w:bottom w:w="0" w:type="dxa"/>
              <w:right w:w="0" w:type="dxa"/>
            </w:tcMar>
            <w:vAlign w:val="center"/>
          </w:tcPr>
          <w:p w14:paraId="2412ADA9"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483791">
              <w:rPr>
                <w:rFonts w:ascii="Helvetica" w:eastAsia="Arial" w:hAnsi="Helvetica" w:cs="Helvetica"/>
                <w:color w:val="2E74B5" w:themeColor="accent5" w:themeShade="BF"/>
                <w:sz w:val="20"/>
                <w:szCs w:val="20"/>
              </w:rPr>
              <w:t>Num.Obs</w:t>
            </w:r>
            <w:proofErr w:type="spellEnd"/>
            <w:r w:rsidRPr="00483791">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7B9CE5A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vAlign w:val="center"/>
          </w:tcPr>
          <w:p w14:paraId="4D2295B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vAlign w:val="center"/>
          </w:tcPr>
          <w:p w14:paraId="42D6CF9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vAlign w:val="center"/>
          </w:tcPr>
          <w:p w14:paraId="45E7D27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r>
      <w:tr w:rsidR="00483791" w:rsidRPr="00483791" w14:paraId="30B27593" w14:textId="77777777" w:rsidTr="009C519A">
        <w:trPr>
          <w:jc w:val="center"/>
        </w:trPr>
        <w:tc>
          <w:tcPr>
            <w:tcW w:w="2486" w:type="dxa"/>
            <w:shd w:val="clear" w:color="auto" w:fill="FFFFFF"/>
            <w:tcMar>
              <w:top w:w="0" w:type="dxa"/>
              <w:left w:w="0" w:type="dxa"/>
              <w:bottom w:w="0" w:type="dxa"/>
              <w:right w:w="0" w:type="dxa"/>
            </w:tcMar>
            <w:vAlign w:val="center"/>
          </w:tcPr>
          <w:p w14:paraId="149F6A75"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R2</w:t>
            </w:r>
          </w:p>
        </w:tc>
        <w:tc>
          <w:tcPr>
            <w:tcW w:w="0" w:type="auto"/>
            <w:shd w:val="clear" w:color="auto" w:fill="FFFFFF"/>
            <w:tcMar>
              <w:top w:w="0" w:type="dxa"/>
              <w:left w:w="0" w:type="dxa"/>
              <w:bottom w:w="0" w:type="dxa"/>
              <w:right w:w="0" w:type="dxa"/>
            </w:tcMar>
            <w:vAlign w:val="center"/>
          </w:tcPr>
          <w:p w14:paraId="42C3B84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0.034</w:t>
            </w:r>
          </w:p>
        </w:tc>
        <w:tc>
          <w:tcPr>
            <w:tcW w:w="0" w:type="auto"/>
            <w:shd w:val="clear" w:color="auto" w:fill="FFFFFF"/>
            <w:tcMar>
              <w:top w:w="0" w:type="dxa"/>
              <w:left w:w="0" w:type="dxa"/>
              <w:bottom w:w="0" w:type="dxa"/>
              <w:right w:w="0" w:type="dxa"/>
            </w:tcMar>
            <w:vAlign w:val="center"/>
          </w:tcPr>
          <w:p w14:paraId="6981A1A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0.037</w:t>
            </w:r>
          </w:p>
        </w:tc>
        <w:tc>
          <w:tcPr>
            <w:tcW w:w="0" w:type="auto"/>
            <w:shd w:val="clear" w:color="auto" w:fill="FFFFFF"/>
            <w:tcMar>
              <w:top w:w="0" w:type="dxa"/>
              <w:left w:w="0" w:type="dxa"/>
              <w:bottom w:w="0" w:type="dxa"/>
              <w:right w:w="0" w:type="dxa"/>
            </w:tcMar>
            <w:vAlign w:val="center"/>
          </w:tcPr>
          <w:p w14:paraId="2D24964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0.102</w:t>
            </w:r>
          </w:p>
        </w:tc>
        <w:tc>
          <w:tcPr>
            <w:tcW w:w="0" w:type="auto"/>
            <w:shd w:val="clear" w:color="auto" w:fill="FFFFFF"/>
            <w:tcMar>
              <w:top w:w="0" w:type="dxa"/>
              <w:left w:w="0" w:type="dxa"/>
              <w:bottom w:w="0" w:type="dxa"/>
              <w:right w:w="0" w:type="dxa"/>
            </w:tcMar>
            <w:vAlign w:val="center"/>
          </w:tcPr>
          <w:p w14:paraId="6FA53A1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0.100</w:t>
            </w:r>
          </w:p>
        </w:tc>
      </w:tr>
      <w:tr w:rsidR="009C519A" w:rsidRPr="00483791" w14:paraId="14091308" w14:textId="77777777" w:rsidTr="009C519A">
        <w:trPr>
          <w:jc w:val="center"/>
        </w:trPr>
        <w:tc>
          <w:tcPr>
            <w:tcW w:w="2486" w:type="dxa"/>
            <w:tcBorders>
              <w:bottom w:val="double" w:sz="4" w:space="0" w:color="auto"/>
            </w:tcBorders>
            <w:shd w:val="clear" w:color="auto" w:fill="FFFFFF"/>
            <w:tcMar>
              <w:top w:w="0" w:type="dxa"/>
              <w:left w:w="0" w:type="dxa"/>
              <w:bottom w:w="0" w:type="dxa"/>
              <w:right w:w="0" w:type="dxa"/>
            </w:tcMar>
            <w:vAlign w:val="center"/>
          </w:tcPr>
          <w:p w14:paraId="7E5D2685" w14:textId="5BBF3A79" w:rsidR="009C519A" w:rsidRPr="00483791" w:rsidRDefault="009C519A"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F-statistic</w:t>
            </w:r>
          </w:p>
        </w:tc>
        <w:tc>
          <w:tcPr>
            <w:tcW w:w="0" w:type="auto"/>
            <w:tcBorders>
              <w:bottom w:val="double" w:sz="4" w:space="0" w:color="auto"/>
            </w:tcBorders>
            <w:shd w:val="clear" w:color="auto" w:fill="FFFFFF"/>
            <w:tcMar>
              <w:top w:w="0" w:type="dxa"/>
              <w:left w:w="0" w:type="dxa"/>
              <w:bottom w:w="0" w:type="dxa"/>
              <w:right w:w="0" w:type="dxa"/>
            </w:tcMar>
            <w:vAlign w:val="center"/>
          </w:tcPr>
          <w:p w14:paraId="569BC31D" w14:textId="406FE90A"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41.85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=1191)</w:t>
            </w:r>
          </w:p>
        </w:tc>
        <w:tc>
          <w:tcPr>
            <w:tcW w:w="0" w:type="auto"/>
            <w:tcBorders>
              <w:bottom w:val="double" w:sz="4" w:space="0" w:color="auto"/>
            </w:tcBorders>
            <w:shd w:val="clear" w:color="auto" w:fill="FFFFFF"/>
            <w:tcMar>
              <w:top w:w="0" w:type="dxa"/>
              <w:left w:w="0" w:type="dxa"/>
              <w:bottom w:w="0" w:type="dxa"/>
              <w:right w:w="0" w:type="dxa"/>
            </w:tcMar>
            <w:vAlign w:val="center"/>
          </w:tcPr>
          <w:p w14:paraId="309900AF" w14:textId="26AEAA7C" w:rsidR="009C519A" w:rsidRPr="00483791" w:rsidRDefault="009C519A" w:rsidP="009C519A">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22.81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=1190)</w:t>
            </w:r>
          </w:p>
        </w:tc>
        <w:tc>
          <w:tcPr>
            <w:tcW w:w="0" w:type="auto"/>
            <w:tcBorders>
              <w:bottom w:val="double" w:sz="4" w:space="0" w:color="auto"/>
            </w:tcBorders>
            <w:shd w:val="clear" w:color="auto" w:fill="FFFFFF"/>
            <w:tcMar>
              <w:top w:w="0" w:type="dxa"/>
              <w:left w:w="0" w:type="dxa"/>
              <w:bottom w:w="0" w:type="dxa"/>
              <w:right w:w="0" w:type="dxa"/>
            </w:tcMar>
            <w:vAlign w:val="center"/>
          </w:tcPr>
          <w:p w14:paraId="78BC088C" w14:textId="09910215"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19.20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=1185)</w:t>
            </w:r>
          </w:p>
        </w:tc>
        <w:tc>
          <w:tcPr>
            <w:tcW w:w="0" w:type="auto"/>
            <w:tcBorders>
              <w:bottom w:val="double" w:sz="4" w:space="0" w:color="auto"/>
            </w:tcBorders>
            <w:shd w:val="clear" w:color="auto" w:fill="FFFFFF"/>
            <w:tcMar>
              <w:top w:w="0" w:type="dxa"/>
              <w:left w:w="0" w:type="dxa"/>
              <w:bottom w:w="0" w:type="dxa"/>
              <w:right w:w="0" w:type="dxa"/>
            </w:tcMar>
            <w:vAlign w:val="center"/>
          </w:tcPr>
          <w:p w14:paraId="60A0CDEE" w14:textId="5BB3E3CC"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21.94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=1186)</w:t>
            </w:r>
          </w:p>
        </w:tc>
      </w:tr>
      <w:tr w:rsidR="00483791" w:rsidRPr="00483791" w14:paraId="688D59E3" w14:textId="77777777" w:rsidTr="00483791">
        <w:trPr>
          <w:jc w:val="center"/>
        </w:trPr>
        <w:tc>
          <w:tcPr>
            <w:tcW w:w="8820" w:type="dxa"/>
            <w:gridSpan w:val="5"/>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554D90" w14:textId="56BD4C26" w:rsidR="00A8416C" w:rsidRPr="00483791" w:rsidRDefault="00483791" w:rsidP="00483791">
            <w:pPr>
              <w:pBdr>
                <w:top w:val="none" w:sz="0" w:space="0" w:color="000000"/>
                <w:left w:val="none" w:sz="0" w:space="0" w:color="000000"/>
                <w:bottom w:val="none" w:sz="0" w:space="0" w:color="000000"/>
                <w:right w:val="none" w:sz="0" w:space="0" w:color="000000"/>
              </w:pBdr>
              <w:spacing w:before="100" w:after="100"/>
              <w:ind w:left="100" w:right="100"/>
              <w:jc w:val="both"/>
              <w:rPr>
                <w:rFonts w:ascii="Helvetica" w:hAnsi="Helvetica" w:cs="Helvetica"/>
                <w:color w:val="2E74B5" w:themeColor="accent5" w:themeShade="BF"/>
                <w:sz w:val="20"/>
                <w:szCs w:val="20"/>
              </w:rPr>
            </w:pPr>
            <w:r w:rsidRPr="00483791">
              <w:rPr>
                <w:rFonts w:ascii="Helvetica" w:eastAsia="Arial" w:hAnsi="Helvetica" w:cs="Helvetica"/>
                <w:i/>
                <w:color w:val="2E74B5" w:themeColor="accent5" w:themeShade="BF"/>
                <w:sz w:val="20"/>
                <w:szCs w:val="20"/>
              </w:rPr>
              <w:t>Notes:</w:t>
            </w:r>
            <w:r w:rsidRPr="00483791">
              <w:rPr>
                <w:rFonts w:ascii="Helvetica" w:eastAsia="Arial" w:hAnsi="Helvetica" w:cs="Helvetica"/>
                <w:color w:val="2E74B5" w:themeColor="accent5" w:themeShade="BF"/>
                <w:sz w:val="20"/>
                <w:szCs w:val="20"/>
              </w:rPr>
              <w:t xml:space="preserve"> </w:t>
            </w:r>
            <w:r w:rsidR="00A8416C" w:rsidRPr="00483791">
              <w:rPr>
                <w:rFonts w:ascii="Helvetica" w:eastAsia="Arial" w:hAnsi="Helvetica" w:cs="Helvetica"/>
                <w:color w:val="2E74B5" w:themeColor="accent5" w:themeShade="BF"/>
                <w:sz w:val="20"/>
                <w:szCs w:val="20"/>
              </w:rPr>
              <w:t>+ p &lt; 0.1, * p &lt; 0.05, ** p &lt; 0.01, *** p &lt; 0.001</w:t>
            </w:r>
            <w:r w:rsidRPr="00483791">
              <w:rPr>
                <w:rFonts w:ascii="Helvetica" w:eastAsia="Arial" w:hAnsi="Helvetica" w:cs="Helvetica"/>
                <w:color w:val="2E74B5" w:themeColor="accent5" w:themeShade="BF"/>
                <w:sz w:val="20"/>
                <w:szCs w:val="20"/>
              </w:rPr>
              <w:t xml:space="preserve">. </w:t>
            </w:r>
            <w:r w:rsidRPr="00483791">
              <w:rPr>
                <w:rFonts w:ascii="Helvetica" w:eastAsia="Arial" w:hAnsi="Helvetica" w:cs="Helvetica"/>
                <w:color w:val="2E74B5" w:themeColor="accent5" w:themeShade="BF"/>
                <w:sz w:val="20"/>
                <w:szCs w:val="20"/>
              </w:rPr>
              <w:t>Cells report coefficients and heteroscedastic-robust standard errors in parentheses. Each observation is one school.</w:t>
            </w:r>
          </w:p>
        </w:tc>
      </w:tr>
    </w:tbl>
    <w:p w14:paraId="0A78136E" w14:textId="7EF0A023"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6</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Interpret the results of your test in 1-2 sentences. (2 points)</w:t>
      </w:r>
    </w:p>
    <w:p w14:paraId="72D49610" w14:textId="5DF6CA5E"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2, </w:t>
      </w:r>
      <w:r w:rsidR="00E01035">
        <w:rPr>
          <w:rFonts w:ascii="Helvetica" w:eastAsia="Times New Roman" w:hAnsi="Helvetica" w:cs="Helvetica"/>
          <w:color w:val="2E74B5" w:themeColor="accent5" w:themeShade="BF"/>
          <w:sz w:val="21"/>
          <w:szCs w:val="21"/>
          <w:lang w:eastAsia="zh-CN"/>
        </w:rPr>
        <w:t xml:space="preserve">we find that the proportion of students receiving FRPL </w:t>
      </w:r>
      <w:proofErr w:type="gramStart"/>
      <w:r w:rsidR="00E01035">
        <w:rPr>
          <w:rFonts w:ascii="Helvetica" w:eastAsia="Times New Roman" w:hAnsi="Helvetica" w:cs="Helvetica"/>
          <w:color w:val="2E74B5" w:themeColor="accent5" w:themeShade="BF"/>
          <w:sz w:val="21"/>
          <w:szCs w:val="21"/>
          <w:lang w:eastAsia="zh-CN"/>
        </w:rPr>
        <w:t>is positively related</w:t>
      </w:r>
      <w:proofErr w:type="gramEnd"/>
      <w:r w:rsidR="00E01035">
        <w:rPr>
          <w:rFonts w:ascii="Helvetica" w:eastAsia="Times New Roman" w:hAnsi="Helvetica" w:cs="Helvetica"/>
          <w:color w:val="2E74B5" w:themeColor="accent5" w:themeShade="BF"/>
          <w:sz w:val="21"/>
          <w:szCs w:val="21"/>
          <w:lang w:eastAsia="zh-CN"/>
        </w:rPr>
        <w:t xml:space="preserve"> to the school’s per-pupil expenditure, on average in the population of Oregon schools. In particular, we predict that schools that differ in the proportion of FRPL students enrolled by 10 percentage points will differ in their PPE by between $253 and $329 per-student (</w:t>
      </w:r>
      <w:r w:rsidR="00E01035">
        <w:rPr>
          <w:rFonts w:ascii="Helvetica" w:eastAsia="Times New Roman" w:hAnsi="Helvetica" w:cs="Helvetica"/>
          <w:i/>
          <w:color w:val="2E74B5" w:themeColor="accent5" w:themeShade="BF"/>
          <w:sz w:val="21"/>
          <w:szCs w:val="21"/>
          <w:lang w:eastAsia="zh-CN"/>
        </w:rPr>
        <w:t>p&lt;</w:t>
      </w:r>
      <w:r w:rsidR="00E01035" w:rsidRPr="00E01035">
        <w:rPr>
          <w:rFonts w:ascii="Helvetica" w:eastAsia="Times New Roman" w:hAnsi="Helvetica" w:cs="Helvetica"/>
          <w:color w:val="2E74B5" w:themeColor="accent5" w:themeShade="BF"/>
          <w:sz w:val="21"/>
          <w:szCs w:val="21"/>
          <w:lang w:eastAsia="zh-CN"/>
        </w:rPr>
        <w:t>0.001</w:t>
      </w:r>
      <w:r w:rsidR="00E01035">
        <w:rPr>
          <w:rFonts w:ascii="Helvetica" w:eastAsia="Times New Roman" w:hAnsi="Helvetica" w:cs="Helvetica"/>
          <w:i/>
          <w:color w:val="2E74B5" w:themeColor="accent5" w:themeShade="BF"/>
          <w:sz w:val="21"/>
          <w:szCs w:val="21"/>
          <w:lang w:eastAsia="zh-CN"/>
        </w:rPr>
        <w:t>)</w:t>
      </w:r>
      <w:r w:rsidR="00E01035">
        <w:rPr>
          <w:rFonts w:ascii="Helvetica" w:eastAsia="Times New Roman" w:hAnsi="Helvetica" w:cs="Helvetica"/>
          <w:color w:val="2E74B5" w:themeColor="accent5" w:themeShade="BF"/>
          <w:sz w:val="21"/>
          <w:szCs w:val="21"/>
          <w:lang w:eastAsia="zh-CN"/>
        </w:rPr>
        <w:t>. Our estimates are robust to the inclusion of various covariates related to school- and community-characteristics.</w:t>
      </w:r>
    </w:p>
    <w:p w14:paraId="5D1FB271" w14:textId="02F27FC4"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Assess the quality of your model fit and make appropriate inferences about your overall model, using relevant statistics. (1 point)</w:t>
      </w:r>
    </w:p>
    <w:p w14:paraId="240D71D8" w14:textId="7637F1E8"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lastRenderedPageBreak/>
        <w:t xml:space="preserve">Our </w:t>
      </w:r>
      <w:r w:rsidR="00C4117B">
        <w:rPr>
          <w:rFonts w:ascii="Helvetica" w:eastAsia="Times New Roman" w:hAnsi="Helvetica" w:cs="Helvetica"/>
          <w:color w:val="2E74B5" w:themeColor="accent5" w:themeShade="BF"/>
          <w:sz w:val="21"/>
          <w:szCs w:val="21"/>
          <w:lang w:eastAsia="zh-CN"/>
        </w:rPr>
        <w:t xml:space="preserve">unconditional </w:t>
      </w:r>
      <w:r>
        <w:rPr>
          <w:rFonts w:ascii="Helvetica" w:eastAsia="Times New Roman" w:hAnsi="Helvetica" w:cs="Helvetica"/>
          <w:color w:val="2E74B5" w:themeColor="accent5" w:themeShade="BF"/>
          <w:sz w:val="21"/>
          <w:szCs w:val="21"/>
          <w:lang w:eastAsia="zh-CN"/>
        </w:rPr>
        <w:t>model</w:t>
      </w:r>
      <w:r w:rsidR="00C4117B">
        <w:rPr>
          <w:rFonts w:ascii="Helvetica" w:eastAsia="Times New Roman" w:hAnsi="Helvetica" w:cs="Helvetica"/>
          <w:color w:val="2E74B5" w:themeColor="accent5" w:themeShade="BF"/>
          <w:sz w:val="21"/>
          <w:szCs w:val="21"/>
          <w:lang w:eastAsia="zh-CN"/>
        </w:rPr>
        <w:t xml:space="preserve"> explains roughly 3.4 percent of the variation in PPE. The inclusion of school enrollment increases this explanatory power marginally to 3.7 percent. The addition of the characteristics of families residing in the neighborhoods around schools (such as median income, 4-year degree status, SNAP-receipt rate, unemployment rate, and composite SES score) substantially increases our predictive power and in Model 3, we can explain 10 percent of the outcome variation. In all of our multi-variate regression (Models 2-4), our </w:t>
      </w:r>
      <w:r w:rsidR="00C4117B" w:rsidRPr="00C4117B">
        <w:rPr>
          <w:rFonts w:ascii="Helvetica" w:eastAsia="Times New Roman" w:hAnsi="Helvetica" w:cs="Helvetica"/>
          <w:i/>
          <w:color w:val="2E74B5" w:themeColor="accent5" w:themeShade="BF"/>
          <w:sz w:val="21"/>
          <w:szCs w:val="21"/>
          <w:lang w:eastAsia="zh-CN"/>
        </w:rPr>
        <w:t>F</w:t>
      </w:r>
      <w:r w:rsidR="00C4117B">
        <w:rPr>
          <w:rFonts w:ascii="Helvetica" w:eastAsia="Times New Roman" w:hAnsi="Helvetica" w:cs="Helvetica"/>
          <w:color w:val="2E74B5" w:themeColor="accent5" w:themeShade="BF"/>
          <w:sz w:val="21"/>
          <w:szCs w:val="21"/>
          <w:lang w:eastAsia="zh-CN"/>
        </w:rPr>
        <w:t xml:space="preserve">-statistic exceeds the threshold of statistical significance (at conventional alpha=0.05 levels), and we conclude that these full models explain more of the outcome variation than would be expected </w:t>
      </w:r>
      <w:proofErr w:type="gramStart"/>
      <w:r w:rsidR="00C4117B">
        <w:rPr>
          <w:rFonts w:ascii="Helvetica" w:eastAsia="Times New Roman" w:hAnsi="Helvetica" w:cs="Helvetica"/>
          <w:color w:val="2E74B5" w:themeColor="accent5" w:themeShade="BF"/>
          <w:sz w:val="21"/>
          <w:szCs w:val="21"/>
          <w:lang w:eastAsia="zh-CN"/>
        </w:rPr>
        <w:t>as a result</w:t>
      </w:r>
      <w:proofErr w:type="gramEnd"/>
      <w:r w:rsidR="00C4117B">
        <w:rPr>
          <w:rFonts w:ascii="Helvetica" w:eastAsia="Times New Roman" w:hAnsi="Helvetica" w:cs="Helvetica"/>
          <w:color w:val="2E74B5" w:themeColor="accent5" w:themeShade="BF"/>
          <w:sz w:val="21"/>
          <w:szCs w:val="21"/>
          <w:lang w:eastAsia="zh-CN"/>
        </w:rPr>
        <w:t xml:space="preserve"> of idiosyncratic sampling alone.</w:t>
      </w:r>
    </w:p>
    <w:p w14:paraId="4D656AF4" w14:textId="4300D337"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Pr>
          <w:rFonts w:ascii="Helvetica" w:hAnsi="Helvetica" w:cs="Helvetica"/>
          <w:color w:val="333333"/>
          <w:sz w:val="21"/>
          <w:szCs w:val="21"/>
          <w:shd w:val="clear" w:color="auto" w:fill="FFFFFF"/>
        </w:rPr>
        <w:t>Imagine you are writing a piece for </w:t>
      </w:r>
      <w:r>
        <w:rPr>
          <w:rStyle w:val="Emphasis"/>
          <w:rFonts w:ascii="Helvetica" w:hAnsi="Helvetica" w:cs="Helvetica"/>
          <w:color w:val="333333"/>
          <w:sz w:val="21"/>
          <w:szCs w:val="21"/>
          <w:shd w:val="clear" w:color="auto" w:fill="FFFFFF"/>
        </w:rPr>
        <w:t>The Oregonian</w:t>
      </w:r>
      <w:r>
        <w:rPr>
          <w:rFonts w:ascii="Helvetica" w:hAnsi="Helvetica" w:cs="Helvetica"/>
          <w:color w:val="333333"/>
          <w:sz w:val="21"/>
          <w:szCs w:val="21"/>
          <w:shd w:val="clear" w:color="auto" w:fill="FFFFFF"/>
        </w:rPr>
        <w:t> detailing whether schools with greater levels of student financial need receive more money. Create a plot that illustrates the multivariate-adjusted relationship between the proportion of free- and reduced-price lunch recipients and per-pupil expenditure and prototypical values of the other variables in your model. Present the plot and a short paragraph reporting the results of your analysis to your readers </w:t>
      </w:r>
      <w:r>
        <w:rPr>
          <w:rStyle w:val="Strong"/>
          <w:rFonts w:ascii="Helvetica" w:hAnsi="Helvetica" w:cs="Helvetica"/>
          <w:color w:val="333333"/>
          <w:sz w:val="21"/>
          <w:szCs w:val="21"/>
          <w:shd w:val="clear" w:color="auto" w:fill="FFFFFF"/>
        </w:rPr>
        <w:t>(2 point)</w:t>
      </w:r>
    </w:p>
    <w:p w14:paraId="46C4F240" w14:textId="73F87749" w:rsidR="00CB04AA" w:rsidRDefault="003903FE"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Oregon schools with greater levels of student need, as measured by the proportion of students receiving meal subsidies, do spend more on their students. </w:t>
      </w:r>
      <w:proofErr w:type="gramStart"/>
      <w:r>
        <w:rPr>
          <w:rFonts w:ascii="Helvetica" w:eastAsia="Times New Roman" w:hAnsi="Helvetica" w:cs="Helvetica"/>
          <w:color w:val="2E74B5" w:themeColor="accent5" w:themeShade="BF"/>
          <w:sz w:val="21"/>
          <w:szCs w:val="21"/>
          <w:lang w:eastAsia="zh-CN"/>
        </w:rPr>
        <w:t>A school with 10 percent more low-family-income students would, on average, be expected</w:t>
      </w:r>
      <w:proofErr w:type="gramEnd"/>
      <w:r>
        <w:rPr>
          <w:rFonts w:ascii="Helvetica" w:eastAsia="Times New Roman" w:hAnsi="Helvetica" w:cs="Helvetica"/>
          <w:color w:val="2E74B5" w:themeColor="accent5" w:themeShade="BF"/>
          <w:sz w:val="21"/>
          <w:szCs w:val="21"/>
          <w:lang w:eastAsia="zh-CN"/>
        </w:rPr>
        <w:t xml:space="preserve"> to spend around $325 more per student than another school with fewer low-family-income students. This pattern holds true even when we account for various school and community factors that might also contribute to differences in spending across schools, such as the size of the school and the socio-economic status of the families residing in the community. However, although student family-income levels are related to expenditure, </w:t>
      </w:r>
      <w:proofErr w:type="gramStart"/>
      <w:r>
        <w:rPr>
          <w:rFonts w:ascii="Helvetica" w:eastAsia="Times New Roman" w:hAnsi="Helvetica" w:cs="Helvetica"/>
          <w:color w:val="2E74B5" w:themeColor="accent5" w:themeShade="BF"/>
          <w:sz w:val="21"/>
          <w:szCs w:val="21"/>
          <w:lang w:eastAsia="zh-CN"/>
        </w:rPr>
        <w:t>there are many other factors that</w:t>
      </w:r>
      <w:proofErr w:type="gramEnd"/>
      <w:r>
        <w:rPr>
          <w:rFonts w:ascii="Helvetica" w:eastAsia="Times New Roman" w:hAnsi="Helvetica" w:cs="Helvetica"/>
          <w:color w:val="2E74B5" w:themeColor="accent5" w:themeShade="BF"/>
          <w:sz w:val="21"/>
          <w:szCs w:val="21"/>
          <w:lang w:eastAsia="zh-CN"/>
        </w:rPr>
        <w:t xml:space="preserve"> are also predictive of school spending. For example, as we show in Figure 2, the average education level in a community is also highly predictive of spending levels. In fact, schools located in </w:t>
      </w:r>
      <w:proofErr w:type="gramStart"/>
      <w:r>
        <w:rPr>
          <w:rFonts w:ascii="Helvetica" w:eastAsia="Times New Roman" w:hAnsi="Helvetica" w:cs="Helvetica"/>
          <w:color w:val="2E74B5" w:themeColor="accent5" w:themeShade="BF"/>
          <w:sz w:val="21"/>
          <w:szCs w:val="21"/>
          <w:lang w:eastAsia="zh-CN"/>
        </w:rPr>
        <w:t>highly-educated</w:t>
      </w:r>
      <w:proofErr w:type="gramEnd"/>
      <w:r>
        <w:rPr>
          <w:rFonts w:ascii="Helvetica" w:eastAsia="Times New Roman" w:hAnsi="Helvetica" w:cs="Helvetica"/>
          <w:color w:val="2E74B5" w:themeColor="accent5" w:themeShade="BF"/>
          <w:sz w:val="21"/>
          <w:szCs w:val="21"/>
          <w:lang w:eastAsia="zh-CN"/>
        </w:rPr>
        <w:t xml:space="preserve"> communities and with few low-family-income students, on average, spend more per-pupil than schools located in communities where relatively few people hold four-year degrees, even if many low-family-income students attend the school. Thus, while, on average, schools with higher levels of student need </w:t>
      </w:r>
      <w:proofErr w:type="spellStart"/>
      <w:r>
        <w:rPr>
          <w:rFonts w:ascii="Helvetica" w:eastAsia="Times New Roman" w:hAnsi="Helvetica" w:cs="Helvetica"/>
          <w:color w:val="2E74B5" w:themeColor="accent5" w:themeShade="BF"/>
          <w:sz w:val="21"/>
          <w:szCs w:val="21"/>
          <w:lang w:eastAsia="zh-CN"/>
        </w:rPr>
        <w:t>do</w:t>
      </w:r>
      <w:proofErr w:type="spellEnd"/>
      <w:r>
        <w:rPr>
          <w:rFonts w:ascii="Helvetica" w:eastAsia="Times New Roman" w:hAnsi="Helvetica" w:cs="Helvetica"/>
          <w:color w:val="2E74B5" w:themeColor="accent5" w:themeShade="BF"/>
          <w:sz w:val="21"/>
          <w:szCs w:val="21"/>
          <w:lang w:eastAsia="zh-CN"/>
        </w:rPr>
        <w:t xml:space="preserve"> spend more per student, Oregon’s funding system may bear further scrutiny to ensure that schools across all communities have the sufficient level of resources to educate their students, particularly when student need is more acute in some communities than </w:t>
      </w:r>
      <w:proofErr w:type="gramStart"/>
      <w:r>
        <w:rPr>
          <w:rFonts w:ascii="Helvetica" w:eastAsia="Times New Roman" w:hAnsi="Helvetica" w:cs="Helvetica"/>
          <w:color w:val="2E74B5" w:themeColor="accent5" w:themeShade="BF"/>
          <w:sz w:val="21"/>
          <w:szCs w:val="21"/>
          <w:lang w:eastAsia="zh-CN"/>
        </w:rPr>
        <w:t>others</w:t>
      </w:r>
      <w:proofErr w:type="gramEnd"/>
      <w:r>
        <w:rPr>
          <w:rFonts w:ascii="Helvetica" w:eastAsia="Times New Roman" w:hAnsi="Helvetica" w:cs="Helvetica"/>
          <w:color w:val="2E74B5" w:themeColor="accent5" w:themeShade="BF"/>
          <w:sz w:val="21"/>
          <w:szCs w:val="21"/>
          <w:lang w:eastAsia="zh-CN"/>
        </w:rPr>
        <w:t>.</w:t>
      </w:r>
    </w:p>
    <w:p w14:paraId="76A2908F" w14:textId="35F1E525"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656FF8B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Relationship between rate of school-level free-and reduced-price lunch (FRPL) receipt and predicted per-pupil expenditure (PPE) at prototypical values of community Bachelor’s and above degree holding rates, adjusting for other school and community factors.</w:t>
      </w:r>
    </w:p>
    <w:p w14:paraId="703C5BC4" w14:textId="00A299C7" w:rsidR="00CB04AA" w:rsidRDefault="00C4117B"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64E543F" wp14:editId="40E0508D">
            <wp:extent cx="544523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_3_prototypic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5230" cy="3566160"/>
                    </a:xfrm>
                    <a:prstGeom prst="rect">
                      <a:avLst/>
                    </a:prstGeom>
                  </pic:spPr>
                </pic:pic>
              </a:graphicData>
            </a:graphic>
          </wp:inline>
        </w:drawing>
      </w:r>
    </w:p>
    <w:p w14:paraId="78F20C61" w14:textId="43A0E12B" w:rsidR="00C4117B" w:rsidRPr="00A30449" w:rsidRDefault="00C4117B" w:rsidP="003903FE">
      <w:pPr>
        <w:shd w:val="clear" w:color="auto" w:fill="FFFFFF"/>
        <w:spacing w:before="100" w:beforeAutospacing="1" w:after="100" w:afterAutospacing="1"/>
        <w:ind w:left="360" w:right="360"/>
        <w:jc w:val="both"/>
        <w:rPr>
          <w:rFonts w:ascii="Helvetica" w:eastAsia="Times New Roman" w:hAnsi="Helvetica" w:cs="Helvetica"/>
          <w:i/>
          <w:color w:val="333333"/>
          <w:sz w:val="18"/>
          <w:szCs w:val="18"/>
          <w:lang w:eastAsia="zh-CN"/>
        </w:rPr>
      </w:pPr>
      <w:r w:rsidRPr="00A30449">
        <w:rPr>
          <w:rFonts w:ascii="Helvetica" w:eastAsia="Times New Roman" w:hAnsi="Helvetica" w:cs="Helvetica"/>
          <w:i/>
          <w:color w:val="2E74B5" w:themeColor="accent5" w:themeShade="BF"/>
          <w:sz w:val="18"/>
          <w:szCs w:val="18"/>
          <w:lang w:eastAsia="zh-CN"/>
        </w:rPr>
        <w:t xml:space="preserve">Notes: </w:t>
      </w:r>
      <w:r w:rsidR="003903FE" w:rsidRPr="00A30449">
        <w:rPr>
          <w:rFonts w:ascii="Helvetica" w:eastAsia="Times New Roman" w:hAnsi="Helvetica" w:cs="Helvetica"/>
          <w:color w:val="2E74B5" w:themeColor="accent5" w:themeShade="BF"/>
          <w:sz w:val="18"/>
          <w:szCs w:val="18"/>
          <w:lang w:eastAsia="zh-CN"/>
        </w:rPr>
        <w:t>estimates adjust for s</w:t>
      </w:r>
      <w:r w:rsidR="003903FE" w:rsidRPr="00A30449">
        <w:rPr>
          <w:rFonts w:ascii="Helvetica" w:eastAsia="Times New Roman" w:hAnsi="Helvetica" w:cs="Helvetica"/>
          <w:color w:val="2E74B5" w:themeColor="accent5" w:themeShade="BF"/>
          <w:sz w:val="18"/>
          <w:szCs w:val="18"/>
          <w:lang w:eastAsia="zh-CN"/>
        </w:rPr>
        <w:t xml:space="preserve">chool enrollment, </w:t>
      </w:r>
      <w:r w:rsidR="003903FE" w:rsidRPr="00A30449">
        <w:rPr>
          <w:rFonts w:ascii="Helvetica" w:eastAsia="Times New Roman" w:hAnsi="Helvetica" w:cs="Helvetica"/>
          <w:color w:val="2E74B5" w:themeColor="accent5" w:themeShade="BF"/>
          <w:sz w:val="18"/>
          <w:szCs w:val="18"/>
          <w:lang w:eastAsia="zh-CN"/>
        </w:rPr>
        <w:t xml:space="preserve">median </w:t>
      </w:r>
      <w:proofErr w:type="gramStart"/>
      <w:r w:rsidR="003903FE" w:rsidRPr="00A30449">
        <w:rPr>
          <w:rFonts w:ascii="Helvetica" w:eastAsia="Times New Roman" w:hAnsi="Helvetica" w:cs="Helvetica"/>
          <w:color w:val="2E74B5" w:themeColor="accent5" w:themeShade="BF"/>
          <w:sz w:val="18"/>
          <w:szCs w:val="18"/>
          <w:lang w:eastAsia="zh-CN"/>
        </w:rPr>
        <w:t>income,</w:t>
      </w:r>
      <w:proofErr w:type="gramEnd"/>
      <w:r w:rsidR="003903FE" w:rsidRPr="00A30449">
        <w:rPr>
          <w:rFonts w:ascii="Helvetica" w:eastAsia="Times New Roman" w:hAnsi="Helvetica" w:cs="Helvetica"/>
          <w:color w:val="2E74B5" w:themeColor="accent5" w:themeShade="BF"/>
          <w:sz w:val="18"/>
          <w:szCs w:val="18"/>
          <w:lang w:eastAsia="zh-CN"/>
        </w:rPr>
        <w:t xml:space="preserve"> SNAP-receipt rate, unemployment rate, and composite </w:t>
      </w:r>
      <w:bookmarkStart w:id="0" w:name="_GoBack"/>
      <w:bookmarkEnd w:id="0"/>
      <w:r w:rsidR="003903FE" w:rsidRPr="00A30449">
        <w:rPr>
          <w:rFonts w:ascii="Helvetica" w:eastAsia="Times New Roman" w:hAnsi="Helvetica" w:cs="Helvetica"/>
          <w:color w:val="2E74B5" w:themeColor="accent5" w:themeShade="BF"/>
          <w:sz w:val="18"/>
          <w:szCs w:val="18"/>
          <w:lang w:eastAsia="zh-CN"/>
        </w:rPr>
        <w:t>SES score</w:t>
      </w:r>
    </w:p>
    <w:p w14:paraId="0E969D61" w14:textId="77777777" w:rsidR="00CB04AA" w:rsidRDefault="00CB04A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p>
    <w:sectPr w:rsidR="00CB04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E2426" w14:textId="77777777" w:rsidR="00263F43" w:rsidRDefault="00263F43" w:rsidP="00697DC9">
      <w:r>
        <w:separator/>
      </w:r>
    </w:p>
  </w:endnote>
  <w:endnote w:type="continuationSeparator" w:id="0">
    <w:p w14:paraId="1FE01AE3" w14:textId="77777777" w:rsidR="00263F43" w:rsidRDefault="00263F43"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C8848" w14:textId="77777777" w:rsidR="00263F43" w:rsidRDefault="00263F43" w:rsidP="00697DC9">
      <w:r>
        <w:separator/>
      </w:r>
    </w:p>
  </w:footnote>
  <w:footnote w:type="continuationSeparator" w:id="0">
    <w:p w14:paraId="5ECCB76B" w14:textId="77777777" w:rsidR="00263F43" w:rsidRDefault="00263F43"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5BC95585" w:rsidR="00697DC9" w:rsidRDefault="00697DC9">
        <w:pPr>
          <w:pStyle w:val="Header"/>
          <w:jc w:val="right"/>
        </w:pPr>
        <w:r>
          <w:fldChar w:fldCharType="begin"/>
        </w:r>
        <w:r>
          <w:instrText xml:space="preserve"> PAGE   \* MERGEFORMAT </w:instrText>
        </w:r>
        <w:r>
          <w:fldChar w:fldCharType="separate"/>
        </w:r>
        <w:r w:rsidR="00A30449">
          <w:rPr>
            <w:noProof/>
          </w:rPr>
          <w:t>5</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5031E"/>
    <w:rsid w:val="000631EB"/>
    <w:rsid w:val="00073D05"/>
    <w:rsid w:val="00091847"/>
    <w:rsid w:val="000A1220"/>
    <w:rsid w:val="000D4AFB"/>
    <w:rsid w:val="000D72BA"/>
    <w:rsid w:val="000E71B1"/>
    <w:rsid w:val="000F2C6C"/>
    <w:rsid w:val="000F72A4"/>
    <w:rsid w:val="001235AC"/>
    <w:rsid w:val="00143679"/>
    <w:rsid w:val="00173E92"/>
    <w:rsid w:val="00177363"/>
    <w:rsid w:val="00181B15"/>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83791"/>
    <w:rsid w:val="004B3F97"/>
    <w:rsid w:val="004B6716"/>
    <w:rsid w:val="004C3EA5"/>
    <w:rsid w:val="004C60E1"/>
    <w:rsid w:val="004C7BA4"/>
    <w:rsid w:val="00523110"/>
    <w:rsid w:val="005429D4"/>
    <w:rsid w:val="00561120"/>
    <w:rsid w:val="005762E9"/>
    <w:rsid w:val="00582329"/>
    <w:rsid w:val="005A6572"/>
    <w:rsid w:val="005F1D57"/>
    <w:rsid w:val="00644717"/>
    <w:rsid w:val="00646DCB"/>
    <w:rsid w:val="0064733F"/>
    <w:rsid w:val="006474F4"/>
    <w:rsid w:val="006822D7"/>
    <w:rsid w:val="00697DC9"/>
    <w:rsid w:val="006D1F3F"/>
    <w:rsid w:val="006D6B09"/>
    <w:rsid w:val="006E65F5"/>
    <w:rsid w:val="00760A5A"/>
    <w:rsid w:val="00773A19"/>
    <w:rsid w:val="00782F43"/>
    <w:rsid w:val="007B193A"/>
    <w:rsid w:val="007B460C"/>
    <w:rsid w:val="007E59D8"/>
    <w:rsid w:val="007F058B"/>
    <w:rsid w:val="00853867"/>
    <w:rsid w:val="008A45B4"/>
    <w:rsid w:val="00936FA6"/>
    <w:rsid w:val="00980F9C"/>
    <w:rsid w:val="009933F5"/>
    <w:rsid w:val="009C519A"/>
    <w:rsid w:val="009F75D9"/>
    <w:rsid w:val="00A05827"/>
    <w:rsid w:val="00A25F71"/>
    <w:rsid w:val="00A30449"/>
    <w:rsid w:val="00A555C8"/>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D14DD6"/>
    <w:rsid w:val="00D35352"/>
    <w:rsid w:val="00DA1373"/>
    <w:rsid w:val="00DA393F"/>
    <w:rsid w:val="00DA664B"/>
    <w:rsid w:val="00DC6026"/>
    <w:rsid w:val="00DD2E89"/>
    <w:rsid w:val="00DD64DB"/>
    <w:rsid w:val="00E01035"/>
    <w:rsid w:val="00E2208B"/>
    <w:rsid w:val="00E23D0C"/>
    <w:rsid w:val="00E277EA"/>
    <w:rsid w:val="00E52357"/>
    <w:rsid w:val="00E80D01"/>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6D"/>
    <w:rsid w:val="00550F26"/>
    <w:rsid w:val="00734A95"/>
    <w:rsid w:val="007D794B"/>
    <w:rsid w:val="00C2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F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7296</TotalTime>
  <Pages>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10</cp:revision>
  <dcterms:created xsi:type="dcterms:W3CDTF">2023-02-16T18:23:00Z</dcterms:created>
  <dcterms:modified xsi:type="dcterms:W3CDTF">2023-02-21T20:04:00Z</dcterms:modified>
</cp:coreProperties>
</file>