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591A9" w14:textId="339C1C53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EDUC 64</w:t>
      </w:r>
      <w:r w:rsidR="000F72A4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367537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2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1DD734BA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CB04AA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Do schools that educate a larger proportion of students with financial need spend more per student on their education?</w:t>
      </w:r>
    </w:p>
    <w:p w14:paraId="093E7AB7" w14:textId="5874F513" w:rsidR="00DD64DB" w:rsidRDefault="00DD64DB" w:rsidP="00CB04A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1.1. </w:t>
      </w:r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Review the variables you have at your disposal and select a set of substantively sensible continuous covariates that might explain schools’ per-pupil expenditure and help clarify the relationship between </w:t>
      </w:r>
      <w:proofErr w:type="spellStart"/>
      <w:r w:rsidR="00CB04AA" w:rsidRPr="00CB04AA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ppe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</w:t>
      </w:r>
      <w:proofErr w:type="spellStart"/>
      <w:r w:rsidR="00CB04AA" w:rsidRPr="00CB04AA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frpl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 Note: make sure to exclude the identifiers and the locale and level variables. (1 point)</w:t>
      </w:r>
    </w:p>
    <w:p w14:paraId="4332E12C" w14:textId="4BCA0514" w:rsidR="00091847" w:rsidRPr="00143679" w:rsidRDefault="00DD64DB" w:rsidP="00CB04A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 </w:t>
      </w:r>
    </w:p>
    <w:p w14:paraId="2D9B0ACB" w14:textId="7B8A3A89" w:rsidR="00DD64DB" w:rsidRDefault="00DD64DB" w:rsidP="0056112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1.2. </w:t>
      </w:r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Construct a correlation matrix and/or correlation </w:t>
      </w:r>
      <w:proofErr w:type="spellStart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heatmap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assess for potential </w:t>
      </w:r>
      <w:proofErr w:type="spellStart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multicollinearity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issues in your selection of covariates and use it to decide which covariates you will select for your postulated model. (2 points)</w:t>
      </w:r>
    </w:p>
    <w:p w14:paraId="7A057C0D" w14:textId="085EC8AA" w:rsidR="00A8416C" w:rsidRDefault="00A8416C" w:rsidP="00561120">
      <w:pPr>
        <w:shd w:val="clear" w:color="auto" w:fill="FFFFFF"/>
        <w:spacing w:after="150"/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  <w:t>Table 1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0"/>
        <w:gridCol w:w="753"/>
        <w:gridCol w:w="665"/>
        <w:gridCol w:w="993"/>
        <w:gridCol w:w="1299"/>
        <w:gridCol w:w="1257"/>
        <w:gridCol w:w="1278"/>
        <w:gridCol w:w="1109"/>
        <w:gridCol w:w="464"/>
      </w:tblGrid>
      <w:tr w:rsidR="00A8416C" w:rsidRPr="00A8416C" w14:paraId="6BDF55E9" w14:textId="77777777" w:rsidTr="00A8416C">
        <w:trPr>
          <w:tblHeader/>
          <w:jc w:val="center"/>
        </w:trPr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FD3D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AAA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ppe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FF1C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enroll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CFD5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sesavgall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DF31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lninc50avgall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393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baplusavgall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A15C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unempavgall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30F8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snapavgall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7F53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19"/>
                <w:szCs w:val="19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19"/>
                <w:szCs w:val="19"/>
              </w:rPr>
              <w:t>frpl</w:t>
            </w:r>
            <w:proofErr w:type="spellEnd"/>
          </w:p>
        </w:tc>
      </w:tr>
      <w:tr w:rsidR="00A8416C" w:rsidRPr="00A8416C" w14:paraId="4A8E7BA5" w14:textId="77777777" w:rsidTr="00A8416C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C5C6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ppe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402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0DED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121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EF44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DC6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D11C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E9A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7445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7B717C82" w14:textId="77777777" w:rsidTr="00A8416C">
        <w:trPr>
          <w:jc w:val="center"/>
        </w:trPr>
        <w:tc>
          <w:tcPr>
            <w:tcW w:w="1440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3717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enroll</w:t>
            </w:r>
          </w:p>
        </w:tc>
        <w:tc>
          <w:tcPr>
            <w:tcW w:w="753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588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-.078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1CF7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E9D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0E6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EE5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81A4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1CD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0B2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7254E5F4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8C39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sesavgall</w:t>
            </w:r>
            <w:proofErr w:type="spellEnd"/>
          </w:p>
        </w:tc>
        <w:tc>
          <w:tcPr>
            <w:tcW w:w="753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506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-.053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711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.137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479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54D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EB54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FD0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18E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BB8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1F1D74B1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B448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lninc50avgall</w:t>
            </w:r>
          </w:p>
        </w:tc>
        <w:tc>
          <w:tcPr>
            <w:tcW w:w="753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04B3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-.146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18F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.202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E3E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.887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D2A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6AA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2033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F95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CDB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1C9CFE18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7F45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baplusavgall</w:t>
            </w:r>
            <w:proofErr w:type="spellEnd"/>
          </w:p>
        </w:tc>
        <w:tc>
          <w:tcPr>
            <w:tcW w:w="753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532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.025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FE3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.222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931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.694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FD1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.588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BD9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257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0C24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869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1EA56652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9604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unempavgall</w:t>
            </w:r>
            <w:proofErr w:type="spellEnd"/>
          </w:p>
        </w:tc>
        <w:tc>
          <w:tcPr>
            <w:tcW w:w="753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F33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-.016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588D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-.050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20E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-.793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AF6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-.586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3965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-.457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A0E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5CC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84E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384747F2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12AF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snapavgall</w:t>
            </w:r>
            <w:proofErr w:type="spellEnd"/>
          </w:p>
        </w:tc>
        <w:tc>
          <w:tcPr>
            <w:tcW w:w="753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949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.017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8C7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-.081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980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-.957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26BF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-.804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32B3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-.587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B12E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.754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F560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182D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A8416C" w:rsidRPr="00A8416C" w14:paraId="3ABCDB84" w14:textId="77777777" w:rsidTr="00A8416C">
        <w:trPr>
          <w:jc w:val="center"/>
        </w:trPr>
        <w:tc>
          <w:tcPr>
            <w:tcW w:w="1440" w:type="dxa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E156" w14:textId="77777777" w:rsidR="00A8416C" w:rsidRPr="00A8416C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frpl</w:t>
            </w:r>
            <w:proofErr w:type="spellEnd"/>
          </w:p>
        </w:tc>
        <w:tc>
          <w:tcPr>
            <w:tcW w:w="753" w:type="dxa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7297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.184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D63D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-.129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8B4D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-.529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B1BB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-.474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4BF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-.419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43E2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.352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D4B9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.515</w:t>
            </w:r>
          </w:p>
        </w:tc>
        <w:tc>
          <w:tcPr>
            <w:tcW w:w="0" w:type="auto"/>
            <w:tcBorders>
              <w:top w:val="none" w:sz="0" w:space="0" w:color="000000"/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89B6" w14:textId="77777777" w:rsidR="00A8416C" w:rsidRPr="00A8416C" w:rsidRDefault="00A8416C" w:rsidP="00A841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A8416C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</w:t>
            </w:r>
          </w:p>
        </w:tc>
      </w:tr>
    </w:tbl>
    <w:p w14:paraId="3744C49A" w14:textId="77777777" w:rsidR="00A8416C" w:rsidRDefault="00A8416C" w:rsidP="00561120">
      <w:pPr>
        <w:shd w:val="clear" w:color="auto" w:fill="FFFFFF"/>
        <w:spacing w:after="150"/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</w:pPr>
    </w:p>
    <w:p w14:paraId="6F138F35" w14:textId="10DC99D0" w:rsidR="00561120" w:rsidRPr="00561120" w:rsidRDefault="00561120" w:rsidP="00561120">
      <w:pPr>
        <w:shd w:val="clear" w:color="auto" w:fill="FFFFFF"/>
        <w:spacing w:after="150"/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  <w:t>Figure 1</w:t>
      </w:r>
    </w:p>
    <w:p w14:paraId="04E11E5D" w14:textId="3E14CCD6" w:rsidR="00561120" w:rsidRDefault="00561120" w:rsidP="000F72A4">
      <w:pPr>
        <w:shd w:val="clear" w:color="auto" w:fill="FFFFFF"/>
        <w:spacing w:after="150"/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</w:pPr>
      <w:r w:rsidRPr="00561120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>Relationship between school-level per-pupil expenditure in U.S. dollars and the proportion of students receiving free- or reduced-price lunch</w:t>
      </w:r>
      <w:r w:rsidR="00980F9C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 xml:space="preserve"> for Oregon public schools 2018-19</w:t>
      </w:r>
      <w:r w:rsidRPr="00561120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>.</w:t>
      </w:r>
    </w:p>
    <w:p w14:paraId="3F02F719" w14:textId="1A188256" w:rsidR="00A8416C" w:rsidRDefault="00A8416C" w:rsidP="00A8416C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i/>
          <w:noProof/>
          <w:color w:val="2E74B5" w:themeColor="accent5" w:themeShade="BF"/>
          <w:sz w:val="21"/>
          <w:szCs w:val="21"/>
        </w:rPr>
        <w:lastRenderedPageBreak/>
        <w:drawing>
          <wp:inline distT="0" distB="0" distL="0" distR="0" wp14:anchorId="394CE686" wp14:editId="4B6644E2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3_heat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C092" w14:textId="5F4CDA0E" w:rsidR="00DD64DB" w:rsidRDefault="00DD64DB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1.3. </w:t>
      </w:r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Write a formal linear model that describes the relationship between school-level per-pupil expenditure and the school-level average receipt of free- or reduced-price lunch, adjusting for the covariates you have selected (at least one required). Interpret each of the terms in this model. (1 point)</w:t>
      </w:r>
    </w:p>
    <w:p w14:paraId="4913D9F5" w14:textId="279DA9F4" w:rsidR="00DD64DB" w:rsidRDefault="00DD64DB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1.4. </w:t>
      </w:r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State your null hypothesis about the relationship between per-pupil expenditure and the proportion of students receiving free- or reduced-price lunch, accounting for the covariates in your model. (1 point)</w:t>
      </w:r>
    </w:p>
    <w:p w14:paraId="7B5AB1CC" w14:textId="63461F58" w:rsidR="00561120" w:rsidRPr="00980F9C" w:rsidRDefault="00CB04AA" w:rsidP="00DD64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This </w:t>
      </w:r>
      <w:r w:rsidR="00073D05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</w:p>
    <w:p w14:paraId="6A43DC70" w14:textId="79039F6D" w:rsidR="00CB04AA" w:rsidRDefault="00DD64DB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1.5. </w:t>
      </w:r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Formally test your hypothesis using an Ordinary Least Squares estimation strategy. Report a set of results in a formatted table in which you compare the bivariate relationship between </w:t>
      </w:r>
      <w:proofErr w:type="spellStart"/>
      <w:r w:rsidR="00CB04AA" w:rsidRPr="00CB04AA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ppe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</w:t>
      </w:r>
      <w:proofErr w:type="spellStart"/>
      <w:r w:rsidR="00CB04AA" w:rsidRPr="00CB04AA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frpl</w:t>
      </w:r>
      <w:proofErr w:type="spellEnd"/>
      <w:r w:rsidR="00CB04AA"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with the multivariate relationship you have just estimated. (2 points)</w:t>
      </w:r>
    </w:p>
    <w:p w14:paraId="2F0BFCB3" w14:textId="77777777" w:rsidR="00A8416C" w:rsidRDefault="00A8416C">
      <w:pPr>
        <w:spacing w:after="160" w:line="259" w:lineRule="auto"/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  <w:br w:type="page"/>
      </w:r>
    </w:p>
    <w:p w14:paraId="1B081295" w14:textId="722275BE" w:rsidR="00A8416C" w:rsidRPr="00A8416C" w:rsidRDefault="00A8416C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</w:pPr>
      <w:r w:rsidRPr="00A8416C">
        <w:rPr>
          <w:rFonts w:ascii="Helvetica" w:eastAsia="Times New Roman" w:hAnsi="Helvetica" w:cs="Helvetica"/>
          <w:b/>
          <w:color w:val="2E74B5" w:themeColor="accent5" w:themeShade="BF"/>
          <w:sz w:val="21"/>
          <w:szCs w:val="21"/>
          <w:lang w:eastAsia="zh-CN"/>
        </w:rPr>
        <w:lastRenderedPageBreak/>
        <w:t>Table 2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86"/>
        <w:gridCol w:w="1618"/>
        <w:gridCol w:w="1618"/>
        <w:gridCol w:w="1618"/>
        <w:gridCol w:w="1618"/>
      </w:tblGrid>
      <w:tr w:rsidR="00483791" w:rsidRPr="00483791" w14:paraId="24DC798A" w14:textId="77777777" w:rsidTr="00483791">
        <w:trPr>
          <w:tblHeader/>
          <w:jc w:val="center"/>
        </w:trPr>
        <w:tc>
          <w:tcPr>
            <w:tcW w:w="2486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D5D7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A1D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EEB5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464E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1326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(4)</w:t>
            </w:r>
          </w:p>
        </w:tc>
      </w:tr>
      <w:tr w:rsidR="00483791" w:rsidRPr="00483791" w14:paraId="29AE58B8" w14:textId="77777777" w:rsidTr="00483791">
        <w:trPr>
          <w:jc w:val="center"/>
        </w:trPr>
        <w:tc>
          <w:tcPr>
            <w:tcW w:w="248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69B7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6F5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12,226.90***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337B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12,592.77***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B05A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82,729.69**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4F27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102,327.73***</w:t>
            </w:r>
          </w:p>
        </w:tc>
      </w:tr>
      <w:tr w:rsidR="00483791" w:rsidRPr="00483791" w14:paraId="28AB6C1D" w14:textId="77777777" w:rsidTr="00483791">
        <w:trPr>
          <w:jc w:val="center"/>
        </w:trPr>
        <w:tc>
          <w:tcPr>
            <w:tcW w:w="2486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649C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7F6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(271.68)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6363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(392.08)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9AD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(25,293.20)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1333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(18,563.75)</w:t>
            </w:r>
          </w:p>
        </w:tc>
      </w:tr>
      <w:tr w:rsidR="00483791" w:rsidRPr="00483791" w14:paraId="3E0DDC54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4D2E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Receiving FRPL (0-1)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C3D8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2,634.33***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D8B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2,533.13***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99A6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3,233.37***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5A9C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3,285.95***</w:t>
            </w:r>
          </w:p>
        </w:tc>
      </w:tr>
      <w:tr w:rsidR="00483791" w:rsidRPr="00483791" w14:paraId="75E66FAC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4B32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9E58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(427.86)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865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(437.35)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62F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(525.40)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AA7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(524.57)</w:t>
            </w:r>
          </w:p>
        </w:tc>
      </w:tr>
      <w:tr w:rsidR="00483791" w:rsidRPr="00483791" w14:paraId="35E95A46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19D7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Total enrollment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066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5BB7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-0.66+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4655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-0.44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1653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-0.42</w:t>
            </w:r>
          </w:p>
        </w:tc>
      </w:tr>
      <w:tr w:rsidR="00483791" w:rsidRPr="00483791" w14:paraId="613CD8A4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0D77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667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EEEC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(0.37)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DD4E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(0.36)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BFB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(0.36)</w:t>
            </w:r>
          </w:p>
        </w:tc>
      </w:tr>
      <w:tr w:rsidR="00483791" w:rsidRPr="00483791" w14:paraId="05900CDB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08A1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Median income (log)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EC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157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8E1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-5,917.33*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EF6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-8,045.17***</w:t>
            </w:r>
          </w:p>
        </w:tc>
      </w:tr>
      <w:tr w:rsidR="00483791" w:rsidRPr="00483791" w14:paraId="60901CE6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289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655A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27C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03D6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(2,423.86)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F1B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(1,616.15)</w:t>
            </w:r>
          </w:p>
        </w:tc>
      </w:tr>
      <w:tr w:rsidR="00483791" w:rsidRPr="00483791" w14:paraId="38C462EE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8377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BA+ holders (0-1)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32E4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135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F70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7,258.26***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760C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5,633.75***</w:t>
            </w:r>
          </w:p>
        </w:tc>
      </w:tr>
      <w:tr w:rsidR="00483791" w:rsidRPr="00483791" w14:paraId="3CEF1CCC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239E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5876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8E9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97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(1,593.85)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C1C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(1,042.93)</w:t>
            </w:r>
          </w:p>
        </w:tc>
      </w:tr>
      <w:tr w:rsidR="00483791" w:rsidRPr="00483791" w14:paraId="034B2C3A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88C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Unemployment rate (0-1)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15EA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90CC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8CF8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-26,442.88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DC0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-7,324.17</w:t>
            </w:r>
          </w:p>
        </w:tc>
      </w:tr>
      <w:tr w:rsidR="00483791" w:rsidRPr="00483791" w14:paraId="1BFBAB77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5035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08BB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A1B5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8A4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(20,440.74)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74E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(13,929.48)</w:t>
            </w:r>
          </w:p>
        </w:tc>
      </w:tr>
      <w:tr w:rsidR="00483791" w:rsidRPr="00483791" w14:paraId="418435B2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B1E6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SNAP receipt rate (0-1)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993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034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F0B8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-42,052.18***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9D94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-26,672.34***</w:t>
            </w:r>
          </w:p>
        </w:tc>
      </w:tr>
      <w:tr w:rsidR="00483791" w:rsidRPr="00483791" w14:paraId="6F238DE0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BBF8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C573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BB0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A9F7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(12,535.77)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671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(7,907.01)</w:t>
            </w:r>
          </w:p>
        </w:tc>
      </w:tr>
      <w:tr w:rsidR="00483791" w:rsidRPr="00483791" w14:paraId="2BDAD5FB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CC00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SES composite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FF2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7ABD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981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-2,598.84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D9F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</w:tr>
      <w:tr w:rsidR="00483791" w:rsidRPr="00483791" w14:paraId="249931A8" w14:textId="77777777" w:rsidTr="00483791">
        <w:trPr>
          <w:jc w:val="center"/>
        </w:trPr>
        <w:tc>
          <w:tcPr>
            <w:tcW w:w="2486" w:type="dxa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D973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CD64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738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1791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(1,916.37)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11A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</w:p>
        </w:tc>
      </w:tr>
      <w:tr w:rsidR="00483791" w:rsidRPr="00483791" w14:paraId="6980FE0F" w14:textId="77777777" w:rsidTr="009C519A">
        <w:trPr>
          <w:jc w:val="center"/>
        </w:trPr>
        <w:tc>
          <w:tcPr>
            <w:tcW w:w="248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ADA9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proofErr w:type="spellStart"/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Num.Obs</w:t>
            </w:r>
            <w:proofErr w:type="spellEnd"/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E5A3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1193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95BA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1193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CF9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1193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D270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1193</w:t>
            </w:r>
          </w:p>
        </w:tc>
      </w:tr>
      <w:tr w:rsidR="00483791" w:rsidRPr="00483791" w14:paraId="30B27593" w14:textId="77777777" w:rsidTr="009C519A">
        <w:trPr>
          <w:jc w:val="center"/>
        </w:trPr>
        <w:tc>
          <w:tcPr>
            <w:tcW w:w="2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6A75" w14:textId="77777777" w:rsidR="00A8416C" w:rsidRPr="00483791" w:rsidRDefault="00A8416C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R2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B849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0.034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A1AF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0.037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9642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0.102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3A17" w14:textId="77777777" w:rsidR="00A8416C" w:rsidRPr="00483791" w:rsidRDefault="00A8416C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0.100</w:t>
            </w:r>
          </w:p>
        </w:tc>
      </w:tr>
      <w:tr w:rsidR="009C519A" w:rsidRPr="00483791" w14:paraId="14091308" w14:textId="77777777" w:rsidTr="009C519A">
        <w:trPr>
          <w:jc w:val="center"/>
        </w:trPr>
        <w:tc>
          <w:tcPr>
            <w:tcW w:w="2486" w:type="dxa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2685" w14:textId="5BBF3A79" w:rsidR="009C519A" w:rsidRPr="00483791" w:rsidRDefault="009C519A" w:rsidP="00EC5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</w:pPr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F-statistic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C31D" w14:textId="406FE90A" w:rsidR="009C519A" w:rsidRPr="00483791" w:rsidRDefault="009C519A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</w:pPr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41.85 (</w:t>
            </w:r>
            <w:proofErr w:type="spellStart"/>
            <w:r w:rsidRPr="009C519A">
              <w:rPr>
                <w:rFonts w:ascii="Helvetica" w:eastAsia="Arial" w:hAnsi="Helvetica" w:cs="Helvetica"/>
                <w:i/>
                <w:color w:val="2E74B5" w:themeColor="accent5" w:themeShade="BF"/>
                <w:sz w:val="20"/>
                <w:szCs w:val="20"/>
              </w:rPr>
              <w:t>df</w:t>
            </w:r>
            <w:proofErr w:type="spellEnd"/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=1191)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00AF" w14:textId="26AEAA7C" w:rsidR="009C519A" w:rsidRPr="00483791" w:rsidRDefault="009C519A" w:rsidP="009C51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</w:pPr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22.81 (</w:t>
            </w:r>
            <w:proofErr w:type="spellStart"/>
            <w:r w:rsidRPr="009C519A">
              <w:rPr>
                <w:rFonts w:ascii="Helvetica" w:eastAsia="Arial" w:hAnsi="Helvetica" w:cs="Helvetica"/>
                <w:i/>
                <w:color w:val="2E74B5" w:themeColor="accent5" w:themeShade="BF"/>
                <w:sz w:val="20"/>
                <w:szCs w:val="20"/>
              </w:rPr>
              <w:t>df</w:t>
            </w:r>
            <w:proofErr w:type="spellEnd"/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=1190)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088C" w14:textId="09910215" w:rsidR="009C519A" w:rsidRPr="00483791" w:rsidRDefault="009C519A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</w:pPr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19.20 (</w:t>
            </w:r>
            <w:proofErr w:type="spellStart"/>
            <w:r w:rsidRPr="009C519A">
              <w:rPr>
                <w:rFonts w:ascii="Helvetica" w:eastAsia="Arial" w:hAnsi="Helvetica" w:cs="Helvetica"/>
                <w:i/>
                <w:color w:val="2E74B5" w:themeColor="accent5" w:themeShade="BF"/>
                <w:sz w:val="20"/>
                <w:szCs w:val="20"/>
              </w:rPr>
              <w:t>df</w:t>
            </w:r>
            <w:proofErr w:type="spellEnd"/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=1185)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CDEE" w14:textId="5BB3E3CC" w:rsidR="009C519A" w:rsidRPr="00483791" w:rsidRDefault="009C519A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</w:pPr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21.94 (</w:t>
            </w:r>
            <w:proofErr w:type="spellStart"/>
            <w:r w:rsidRPr="009C519A">
              <w:rPr>
                <w:rFonts w:ascii="Helvetica" w:eastAsia="Arial" w:hAnsi="Helvetica" w:cs="Helvetica"/>
                <w:i/>
                <w:color w:val="2E74B5" w:themeColor="accent5" w:themeShade="BF"/>
                <w:sz w:val="20"/>
                <w:szCs w:val="20"/>
              </w:rPr>
              <w:t>df</w:t>
            </w:r>
            <w:proofErr w:type="spellEnd"/>
            <w:r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=1186)</w:t>
            </w:r>
          </w:p>
        </w:tc>
      </w:tr>
      <w:tr w:rsidR="00483791" w:rsidRPr="00483791" w14:paraId="688D59E3" w14:textId="77777777" w:rsidTr="00483791">
        <w:trPr>
          <w:jc w:val="center"/>
        </w:trPr>
        <w:tc>
          <w:tcPr>
            <w:tcW w:w="8820" w:type="dxa"/>
            <w:gridSpan w:val="5"/>
            <w:tcBorders>
              <w:top w:val="doub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4D90" w14:textId="56BD4C26" w:rsidR="00A8416C" w:rsidRPr="00483791" w:rsidRDefault="00483791" w:rsidP="004837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Helvetica" w:hAnsi="Helvetica" w:cs="Helvetica"/>
                <w:color w:val="2E74B5" w:themeColor="accent5" w:themeShade="BF"/>
                <w:sz w:val="20"/>
                <w:szCs w:val="20"/>
              </w:rPr>
            </w:pPr>
            <w:r w:rsidRPr="00483791">
              <w:rPr>
                <w:rFonts w:ascii="Helvetica" w:eastAsia="Arial" w:hAnsi="Helvetica" w:cs="Helvetica"/>
                <w:i/>
                <w:color w:val="2E74B5" w:themeColor="accent5" w:themeShade="BF"/>
                <w:sz w:val="20"/>
                <w:szCs w:val="20"/>
              </w:rPr>
              <w:t>Notes:</w:t>
            </w: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 xml:space="preserve"> </w:t>
            </w:r>
            <w:r w:rsidR="00A8416C"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+ p &lt; 0.1, * p &lt; 0.05, ** p &lt; 0.01, *** p &lt; 0.001</w:t>
            </w: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 xml:space="preserve">. </w:t>
            </w:r>
            <w:r w:rsidRPr="00483791">
              <w:rPr>
                <w:rFonts w:ascii="Helvetica" w:eastAsia="Arial" w:hAnsi="Helvetica" w:cs="Helvetica"/>
                <w:color w:val="2E74B5" w:themeColor="accent5" w:themeShade="BF"/>
                <w:sz w:val="20"/>
                <w:szCs w:val="20"/>
              </w:rPr>
              <w:t>Cells report coefficients and heteroscedastic-robust standard errors in parentheses. Each observation is one school.</w:t>
            </w:r>
          </w:p>
        </w:tc>
      </w:tr>
    </w:tbl>
    <w:p w14:paraId="41D41091" w14:textId="5458A2F3" w:rsidR="00A8416C" w:rsidRDefault="00A8416C">
      <w:pPr>
        <w:spacing w:after="160" w:line="259" w:lineRule="auto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</w:p>
    <w:p w14:paraId="23B2B175" w14:textId="31165BFF" w:rsidR="00091847" w:rsidRDefault="00073D05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Generally, we find our OLS assumption</w:t>
      </w:r>
      <w:r w:rsidR="000E71B1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 to be roughly—though not perfectly—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met in this context. We can</w:t>
      </w:r>
    </w:p>
    <w:p w14:paraId="0A78136E" w14:textId="7EF0A023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6</w:t>
      </w: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Interpret the results of your test in 1-2 sentences. (2 points)</w:t>
      </w:r>
    </w:p>
    <w:p w14:paraId="72D49610" w14:textId="77777777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Generally, we find our OLS assumptions to be roughly—though not perfectly—met in this context. We can</w:t>
      </w:r>
    </w:p>
    <w:p w14:paraId="5D1FB271" w14:textId="02F27FC4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7</w:t>
      </w: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Pr="00CB04AA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Assess the quality of your model fit and make appropriate inferences about your overall model, using relevant statistics. (1 point)</w:t>
      </w:r>
    </w:p>
    <w:p w14:paraId="240D71D8" w14:textId="77777777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lastRenderedPageBreak/>
        <w:t>Generally, we find our OLS assumptions to be roughly—though not perfectly—met in this context. We can</w:t>
      </w:r>
    </w:p>
    <w:p w14:paraId="4D656AF4" w14:textId="4300D337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7</w:t>
      </w:r>
      <w:r w:rsidRPr="00DD64DB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Imagine you are writing a piece for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The Oregonian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detailing whether schools with greater levels of student financial need receive more money. Create a plot that illustrates the multivariate-adjusted relationship between the proportion of free- and reduced-price lunch recipients and per-pupil expenditure and prototypical values of the other variables in your model. Present the plot and a short paragraph reporting the results of your analysis to your readers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(2 point)</w:t>
      </w:r>
    </w:p>
    <w:p w14:paraId="46C4F240" w14:textId="77777777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Generally, we find our OLS assumptions to be roughly—though not perfectly—met in this context. We can</w:t>
      </w:r>
    </w:p>
    <w:p w14:paraId="703C5BC4" w14:textId="77777777" w:rsidR="00CB04AA" w:rsidRDefault="00CB04AA" w:rsidP="00CB04A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0E969D61" w14:textId="77777777" w:rsidR="00CB04AA" w:rsidRDefault="00CB04AA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</w:p>
    <w:sectPr w:rsidR="00CB04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289F8" w14:textId="77777777" w:rsidR="00D94AE1" w:rsidRDefault="00D94AE1" w:rsidP="00697DC9">
      <w:r>
        <w:separator/>
      </w:r>
    </w:p>
  </w:endnote>
  <w:endnote w:type="continuationSeparator" w:id="0">
    <w:p w14:paraId="63DFE4D2" w14:textId="77777777" w:rsidR="00D94AE1" w:rsidRDefault="00D94AE1" w:rsidP="0069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27406" w14:textId="77777777" w:rsidR="00D94AE1" w:rsidRDefault="00D94AE1" w:rsidP="00697DC9">
      <w:r>
        <w:separator/>
      </w:r>
    </w:p>
  </w:footnote>
  <w:footnote w:type="continuationSeparator" w:id="0">
    <w:p w14:paraId="66632FA1" w14:textId="77777777" w:rsidR="00D94AE1" w:rsidRDefault="00D94AE1" w:rsidP="0069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165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4720B7" w14:textId="1881CE3F" w:rsidR="00697DC9" w:rsidRDefault="00697D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C812" w14:textId="77777777" w:rsidR="00697DC9" w:rsidRDefault="00697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A33"/>
    <w:multiLevelType w:val="multilevel"/>
    <w:tmpl w:val="023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81E"/>
    <w:multiLevelType w:val="multilevel"/>
    <w:tmpl w:val="4A0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06"/>
    <w:multiLevelType w:val="hybridMultilevel"/>
    <w:tmpl w:val="D1D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613D8"/>
    <w:multiLevelType w:val="multilevel"/>
    <w:tmpl w:val="DD2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245A40"/>
    <w:multiLevelType w:val="multilevel"/>
    <w:tmpl w:val="1C3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2"/>
    <w:rsid w:val="000631EB"/>
    <w:rsid w:val="00073D05"/>
    <w:rsid w:val="00091847"/>
    <w:rsid w:val="000A1220"/>
    <w:rsid w:val="000D4AFB"/>
    <w:rsid w:val="000D72BA"/>
    <w:rsid w:val="000E71B1"/>
    <w:rsid w:val="000F2C6C"/>
    <w:rsid w:val="000F72A4"/>
    <w:rsid w:val="001235AC"/>
    <w:rsid w:val="00143679"/>
    <w:rsid w:val="00173E92"/>
    <w:rsid w:val="00177363"/>
    <w:rsid w:val="00181B15"/>
    <w:rsid w:val="00200803"/>
    <w:rsid w:val="00273BA3"/>
    <w:rsid w:val="002774CF"/>
    <w:rsid w:val="002B4600"/>
    <w:rsid w:val="002D7DC5"/>
    <w:rsid w:val="002F7403"/>
    <w:rsid w:val="00333AC1"/>
    <w:rsid w:val="00356108"/>
    <w:rsid w:val="00357060"/>
    <w:rsid w:val="00367537"/>
    <w:rsid w:val="00375689"/>
    <w:rsid w:val="003C774E"/>
    <w:rsid w:val="003E334F"/>
    <w:rsid w:val="00437423"/>
    <w:rsid w:val="0044342C"/>
    <w:rsid w:val="00443E97"/>
    <w:rsid w:val="00483791"/>
    <w:rsid w:val="004B3F97"/>
    <w:rsid w:val="004B6716"/>
    <w:rsid w:val="004C3EA5"/>
    <w:rsid w:val="004C60E1"/>
    <w:rsid w:val="004C7BA4"/>
    <w:rsid w:val="00523110"/>
    <w:rsid w:val="005429D4"/>
    <w:rsid w:val="00561120"/>
    <w:rsid w:val="005762E9"/>
    <w:rsid w:val="00582329"/>
    <w:rsid w:val="005A6572"/>
    <w:rsid w:val="005F1D57"/>
    <w:rsid w:val="00644717"/>
    <w:rsid w:val="00646DCB"/>
    <w:rsid w:val="0064733F"/>
    <w:rsid w:val="006474F4"/>
    <w:rsid w:val="006822D7"/>
    <w:rsid w:val="00697DC9"/>
    <w:rsid w:val="006D1F3F"/>
    <w:rsid w:val="006D6B09"/>
    <w:rsid w:val="006E65F5"/>
    <w:rsid w:val="00760A5A"/>
    <w:rsid w:val="00773A19"/>
    <w:rsid w:val="00782F43"/>
    <w:rsid w:val="007B193A"/>
    <w:rsid w:val="007B460C"/>
    <w:rsid w:val="007E59D8"/>
    <w:rsid w:val="007F058B"/>
    <w:rsid w:val="00853867"/>
    <w:rsid w:val="008A45B4"/>
    <w:rsid w:val="00936FA6"/>
    <w:rsid w:val="00980F9C"/>
    <w:rsid w:val="009933F5"/>
    <w:rsid w:val="009C519A"/>
    <w:rsid w:val="009F75D9"/>
    <w:rsid w:val="00A25F71"/>
    <w:rsid w:val="00A555C8"/>
    <w:rsid w:val="00A8416C"/>
    <w:rsid w:val="00A860BF"/>
    <w:rsid w:val="00AC301C"/>
    <w:rsid w:val="00B65A41"/>
    <w:rsid w:val="00B7094C"/>
    <w:rsid w:val="00B87A19"/>
    <w:rsid w:val="00BC21FC"/>
    <w:rsid w:val="00C34A1D"/>
    <w:rsid w:val="00C5098A"/>
    <w:rsid w:val="00C719C6"/>
    <w:rsid w:val="00C80051"/>
    <w:rsid w:val="00CA7FDB"/>
    <w:rsid w:val="00CB04AA"/>
    <w:rsid w:val="00D14DD6"/>
    <w:rsid w:val="00D35352"/>
    <w:rsid w:val="00D94AE1"/>
    <w:rsid w:val="00DA1373"/>
    <w:rsid w:val="00DA393F"/>
    <w:rsid w:val="00DA664B"/>
    <w:rsid w:val="00DC6026"/>
    <w:rsid w:val="00DD64DB"/>
    <w:rsid w:val="00E2208B"/>
    <w:rsid w:val="00E277EA"/>
    <w:rsid w:val="00E52357"/>
    <w:rsid w:val="00E80D01"/>
    <w:rsid w:val="00ED6C66"/>
    <w:rsid w:val="00F03C5A"/>
    <w:rsid w:val="00FA1BE4"/>
    <w:rsid w:val="00FB270F"/>
    <w:rsid w:val="00FC7BE8"/>
    <w:rsid w:val="00FD20BD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91847"/>
  </w:style>
  <w:style w:type="character" w:customStyle="1" w:styleId="mjxassistivemathml">
    <w:name w:val="mjx_assistive_mathml"/>
    <w:basedOn w:val="DefaultParagraphFont"/>
    <w:rsid w:val="00091847"/>
  </w:style>
  <w:style w:type="paragraph" w:styleId="Header">
    <w:name w:val="header"/>
    <w:basedOn w:val="Normal"/>
    <w:link w:val="Head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C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DC9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61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4</cp:revision>
  <dcterms:created xsi:type="dcterms:W3CDTF">2023-02-16T18:23:00Z</dcterms:created>
  <dcterms:modified xsi:type="dcterms:W3CDTF">2023-02-16T21:47:00Z</dcterms:modified>
</cp:coreProperties>
</file>