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12,592.77***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82,729.69**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102,327.73***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(25,293.20)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(18,563.75)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FRPL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3,285.95***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(524.57)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income 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-5,917.33*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-8,045.17***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(2,423.86)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(1,616.15)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BA+ holders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7,258.26***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5,633.75***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(1,593.85)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(1,042.93)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-26,442.88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-7,324.17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(20,440.74)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(13,929.48)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 receipt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-42,052.18***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-26,672.34***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(12,535.77)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(7,907.01)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 composite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-2,598.84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(1,916.37)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Cells report coefficients and heteroscedastic-robust standard errors in parentheses. Each observation is one school.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2023-02-21T11:47:11Z</dcterms:modified>
  <cp:category/>
</cp:coreProperties>
</file>