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12,592.77***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82,729.69**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102,327.73***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(392.08)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(25,293.20)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(18,563.75)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FRPL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3,233.37***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3,285.95***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(525.40)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(524.57)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income (log)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-5,917.33*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-8,045.17***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(2,423.86)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(1,616.15)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BA+ holders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7,258.26***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5,633.75***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(1,593.85)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(1,042.93)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-26,442.88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-7,324.17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(20,440.74)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(13,929.48)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 receipt rate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-42,052.18***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-26,672.34***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(12,535.77)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(7,907.01)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 composite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-2,598.84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(1,916.37)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Cells report coefficients and heteroscedastic-robust standard errors in parentheses. Each observation is one school.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2023-02-16T11:11:42Z</dcterms:modified>
  <cp:category/>
</cp:coreProperties>
</file>