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12226.90***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14525.34***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(1399.65)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receiving FRPL (0/1)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2634.33***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3337.70***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(427.86)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(543.93)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&lt;b&gt;Covariates?&lt;/b&gt;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&lt;b&gt;No&lt;/b&gt;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&lt;b&gt;Yes&lt;/b&gt;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Cells report coefficients and heteroscedastic-robust standard errors in parentheses. Each observation is one school. Covariates in Model 2 are grade-band level of school, total enrollment, geographic locale, avg. SES status, unemployment rate, and four-year college degree holding rate.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2023-03-07T14:11:52Z</dcterms:modified>
  <cp:category/>
</cp:coreProperties>
</file>