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591A9" w14:textId="3ED70DC3"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A645A0">
        <w:rPr>
          <w:rFonts w:ascii="Helvetica" w:eastAsia="Times New Roman" w:hAnsi="Helvetica" w:cs="Helvetica"/>
          <w:color w:val="333333"/>
          <w:sz w:val="36"/>
          <w:szCs w:val="36"/>
          <w:lang w:eastAsia="zh-CN"/>
        </w:rPr>
        <w:t>4</w:t>
      </w:r>
      <w:r>
        <w:rPr>
          <w:rFonts w:ascii="Helvetica" w:eastAsia="Times New Roman" w:hAnsi="Helvetica" w:cs="Helvetica"/>
          <w:color w:val="333333"/>
          <w:sz w:val="36"/>
          <w:szCs w:val="36"/>
          <w:lang w:eastAsia="zh-CN"/>
        </w:rPr>
        <w:t xml:space="preserve"> Key</w:t>
      </w:r>
    </w:p>
    <w:p w14:paraId="64D1D270" w14:textId="7A64758F"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A645A0">
        <w:rPr>
          <w:rFonts w:ascii="inherit" w:eastAsia="Times New Roman" w:hAnsi="inherit" w:cs="Helvetica"/>
          <w:color w:val="333333"/>
          <w:sz w:val="27"/>
          <w:szCs w:val="27"/>
          <w:lang w:eastAsia="zh-CN"/>
        </w:rPr>
        <w:t>Descriptive statistics</w:t>
      </w:r>
    </w:p>
    <w:p w14:paraId="40A936E4" w14:textId="316C5B30" w:rsidR="006264D3" w:rsidRDefault="006264D3" w:rsidP="00CB04AA">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1.1 Summarize the two categorical variables in your data set (</w:t>
      </w:r>
      <w:r w:rsidRPr="006264D3">
        <w:rPr>
          <w:rStyle w:val="mi"/>
          <w:rFonts w:ascii="MathJax_Math-italic" w:hAnsi="MathJax_Math-italic" w:cs="Helvetica"/>
          <w:i/>
          <w:color w:val="333333"/>
          <w:sz w:val="25"/>
          <w:szCs w:val="25"/>
          <w:bdr w:val="none" w:sz="0" w:space="0" w:color="auto" w:frame="1"/>
          <w:shd w:val="clear" w:color="auto" w:fill="FFFFFF"/>
        </w:rPr>
        <w:t>level</w:t>
      </w:r>
      <w:r>
        <w:rPr>
          <w:rFonts w:ascii="Helvetica" w:hAnsi="Helvetica" w:cs="Helvetica"/>
          <w:color w:val="333333"/>
          <w:sz w:val="21"/>
          <w:szCs w:val="21"/>
          <w:shd w:val="clear" w:color="auto" w:fill="FFFFFF"/>
        </w:rPr>
        <w:t> and </w:t>
      </w:r>
      <w:r w:rsidRPr="006264D3">
        <w:rPr>
          <w:rStyle w:val="mi"/>
          <w:rFonts w:ascii="MathJax_Math-italic" w:hAnsi="MathJax_Math-italic" w:cs="Helvetica"/>
          <w:i/>
          <w:color w:val="333333"/>
          <w:sz w:val="25"/>
          <w:szCs w:val="25"/>
          <w:bdr w:val="none" w:sz="0" w:space="0" w:color="auto" w:frame="1"/>
          <w:shd w:val="clear" w:color="auto" w:fill="FFFFFF"/>
        </w:rPr>
        <w:t>locale</w:t>
      </w:r>
      <w:r>
        <w:rPr>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(1 point)</w:t>
      </w:r>
    </w:p>
    <w:p w14:paraId="4332E12C" w14:textId="67602BCA" w:rsidR="00091847" w:rsidRPr="006264D3" w:rsidRDefault="006264D3" w:rsidP="00CB04AA">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 xml:space="preserve">In the National Education Resource Database on Schools (NERD$), there are two categorical variables: </w:t>
      </w:r>
      <w:r>
        <w:rPr>
          <w:rFonts w:ascii="Helvetica" w:eastAsia="Times New Roman" w:hAnsi="Helvetica" w:cs="Helvetica"/>
          <w:i/>
          <w:color w:val="2E74B5" w:themeColor="accent5" w:themeShade="BF"/>
          <w:sz w:val="21"/>
          <w:szCs w:val="21"/>
          <w:lang w:eastAsia="zh-CN"/>
        </w:rPr>
        <w:t>level</w:t>
      </w:r>
      <w:r w:rsidRPr="006264D3">
        <w:rPr>
          <w:rFonts w:ascii="Helvetica" w:eastAsia="Times New Roman" w:hAnsi="Helvetica" w:cs="Helvetica"/>
          <w:color w:val="2E74B5" w:themeColor="accent5" w:themeShade="BF"/>
          <w:sz w:val="21"/>
          <w:szCs w:val="21"/>
          <w:lang w:eastAsia="zh-CN"/>
        </w:rPr>
        <w:t>, which defines</w:t>
      </w:r>
      <w:r>
        <w:rPr>
          <w:rFonts w:ascii="Helvetica" w:eastAsia="Times New Roman" w:hAnsi="Helvetica" w:cs="Helvetica"/>
          <w:color w:val="2E74B5" w:themeColor="accent5" w:themeShade="BF"/>
          <w:sz w:val="21"/>
          <w:szCs w:val="21"/>
          <w:lang w:eastAsia="zh-CN"/>
        </w:rPr>
        <w:t xml:space="preserve"> the grade-band level of schooling for each school and </w:t>
      </w:r>
      <w:r>
        <w:rPr>
          <w:rFonts w:ascii="Helvetica" w:eastAsia="Times New Roman" w:hAnsi="Helvetica" w:cs="Helvetica"/>
          <w:i/>
          <w:color w:val="2E74B5" w:themeColor="accent5" w:themeShade="BF"/>
          <w:sz w:val="21"/>
          <w:szCs w:val="21"/>
          <w:lang w:eastAsia="zh-CN"/>
        </w:rPr>
        <w:t>locale,</w:t>
      </w:r>
      <w:r>
        <w:rPr>
          <w:rFonts w:ascii="Helvetica" w:eastAsia="Times New Roman" w:hAnsi="Helvetica" w:cs="Helvetica"/>
          <w:color w:val="2E74B5" w:themeColor="accent5" w:themeShade="BF"/>
          <w:sz w:val="21"/>
          <w:szCs w:val="21"/>
          <w:lang w:eastAsia="zh-CN"/>
        </w:rPr>
        <w:t xml:space="preserve"> which measures the Census-based location of schools attended by a majority of its students: Urban, Rural, Suburban or Town. As we show in Table 1, in our data, </w:t>
      </w:r>
      <w:r w:rsidR="00D127C1">
        <w:rPr>
          <w:rFonts w:ascii="Helvetica" w:eastAsia="Times New Roman" w:hAnsi="Helvetica" w:cs="Helvetica"/>
          <w:color w:val="2E74B5" w:themeColor="accent5" w:themeShade="BF"/>
          <w:sz w:val="21"/>
          <w:szCs w:val="21"/>
          <w:lang w:eastAsia="zh-CN"/>
        </w:rPr>
        <w:t>roughly half of the schools are elementary with another quarter divided between middle- and high-school levels, each. A very few (</w:t>
      </w:r>
      <w:proofErr w:type="gramStart"/>
      <w:r w:rsidR="00D127C1">
        <w:rPr>
          <w:rFonts w:ascii="Helvetica" w:eastAsia="Times New Roman" w:hAnsi="Helvetica" w:cs="Helvetica"/>
          <w:color w:val="2E74B5" w:themeColor="accent5" w:themeShade="BF"/>
          <w:sz w:val="21"/>
          <w:szCs w:val="21"/>
          <w:lang w:eastAsia="zh-CN"/>
        </w:rPr>
        <w:t>6</w:t>
      </w:r>
      <w:proofErr w:type="gramEnd"/>
      <w:r w:rsidR="00D127C1">
        <w:rPr>
          <w:rFonts w:ascii="Helvetica" w:eastAsia="Times New Roman" w:hAnsi="Helvetica" w:cs="Helvetica"/>
          <w:color w:val="2E74B5" w:themeColor="accent5" w:themeShade="BF"/>
          <w:sz w:val="21"/>
          <w:szCs w:val="21"/>
          <w:lang w:eastAsia="zh-CN"/>
        </w:rPr>
        <w:t xml:space="preserve"> schools) are at the level of early education. The plurality of schools (34.3 percent) are in urban settings, with others in town (28.2 percent), suburban (22.7 percent), and rural (14.8 percent) locales.</w:t>
      </w:r>
    </w:p>
    <w:p w14:paraId="6B194312" w14:textId="66C42332" w:rsidR="00B73966" w:rsidRPr="006264D3" w:rsidRDefault="006264D3" w:rsidP="00561120">
      <w:pPr>
        <w:shd w:val="clear" w:color="auto" w:fill="FFFFFF"/>
        <w:spacing w:after="150"/>
        <w:rPr>
          <w:rFonts w:ascii="Helvetica" w:eastAsia="Times New Roman" w:hAnsi="Helvetica" w:cs="Helvetica"/>
          <w:b/>
          <w:color w:val="2E74B5" w:themeColor="accent5" w:themeShade="BF"/>
          <w:sz w:val="21"/>
          <w:szCs w:val="21"/>
          <w:lang w:eastAsia="zh-CN"/>
        </w:rPr>
      </w:pPr>
      <w:r w:rsidRPr="006264D3">
        <w:rPr>
          <w:rFonts w:ascii="Helvetica" w:eastAsia="Times New Roman" w:hAnsi="Helvetica" w:cs="Helvetica"/>
          <w:b/>
          <w:color w:val="2E74B5" w:themeColor="accent5" w:themeShade="BF"/>
          <w:sz w:val="21"/>
          <w:szCs w:val="21"/>
          <w:lang w:eastAsia="zh-CN"/>
        </w:rPr>
        <w:t>T</w:t>
      </w:r>
      <w:r w:rsidR="00B73966" w:rsidRPr="006264D3">
        <w:rPr>
          <w:rFonts w:ascii="Helvetica" w:eastAsia="Times New Roman" w:hAnsi="Helvetica" w:cs="Helvetica"/>
          <w:b/>
          <w:color w:val="2E74B5" w:themeColor="accent5" w:themeShade="BF"/>
          <w:sz w:val="21"/>
          <w:szCs w:val="21"/>
          <w:lang w:eastAsia="zh-CN"/>
        </w:rPr>
        <w:t>abl</w:t>
      </w:r>
      <w:r w:rsidRPr="006264D3">
        <w:rPr>
          <w:rFonts w:ascii="Helvetica" w:eastAsia="Times New Roman" w:hAnsi="Helvetica" w:cs="Helvetica"/>
          <w:b/>
          <w:color w:val="2E74B5" w:themeColor="accent5" w:themeShade="BF"/>
          <w:sz w:val="21"/>
          <w:szCs w:val="21"/>
          <w:lang w:eastAsia="zh-CN"/>
        </w:rPr>
        <w:t>e 1</w:t>
      </w:r>
    </w:p>
    <w:p w14:paraId="0D872F27" w14:textId="29EA1ED1" w:rsidR="006264D3" w:rsidRDefault="006264D3"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Descriptive statistics of the </w:t>
      </w:r>
      <w:r w:rsidR="00D127C1">
        <w:rPr>
          <w:rFonts w:ascii="Helvetica" w:eastAsia="Times New Roman" w:hAnsi="Helvetica" w:cs="Helvetica"/>
          <w:color w:val="2E74B5" w:themeColor="accent5" w:themeShade="BF"/>
          <w:sz w:val="21"/>
          <w:szCs w:val="21"/>
          <w:lang w:eastAsia="zh-CN"/>
        </w:rPr>
        <w:t xml:space="preserve">grade-band levels and geographic locales </w:t>
      </w:r>
      <w:r>
        <w:rPr>
          <w:rFonts w:ascii="Helvetica" w:eastAsia="Times New Roman" w:hAnsi="Helvetica" w:cs="Helvetica"/>
          <w:color w:val="2E74B5" w:themeColor="accent5" w:themeShade="BF"/>
          <w:sz w:val="21"/>
          <w:szCs w:val="21"/>
          <w:lang w:eastAsia="zh-CN"/>
        </w:rPr>
        <w:t>of Oregon public schools, 2018-19.</w:t>
      </w:r>
    </w:p>
    <w:tbl>
      <w:tblPr>
        <w:tblW w:w="0" w:type="auto"/>
        <w:jc w:val="center"/>
        <w:tblLayout w:type="fixed"/>
        <w:tblLook w:val="0420" w:firstRow="1" w:lastRow="0" w:firstColumn="0" w:lastColumn="0" w:noHBand="0" w:noVBand="1"/>
      </w:tblPr>
      <w:tblGrid>
        <w:gridCol w:w="1980"/>
        <w:gridCol w:w="1440"/>
        <w:gridCol w:w="1080"/>
        <w:gridCol w:w="1080"/>
      </w:tblGrid>
      <w:tr w:rsidR="006264D3" w:rsidRPr="006264D3" w14:paraId="1C638EFE" w14:textId="77777777" w:rsidTr="006264D3">
        <w:trPr>
          <w:tblHeader/>
          <w:jc w:val="center"/>
        </w:trPr>
        <w:tc>
          <w:tcPr>
            <w:tcW w:w="19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8B636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71297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 xml:space="preserve">  </w:t>
            </w:r>
          </w:p>
        </w:tc>
        <w:tc>
          <w:tcPr>
            <w:tcW w:w="10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511CF8"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N</w:t>
            </w:r>
          </w:p>
        </w:tc>
        <w:tc>
          <w:tcPr>
            <w:tcW w:w="10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D0FC14"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w:t>
            </w:r>
          </w:p>
        </w:tc>
      </w:tr>
      <w:tr w:rsidR="006264D3" w:rsidRPr="006264D3" w14:paraId="5B882A70" w14:textId="77777777" w:rsidTr="006264D3">
        <w:trPr>
          <w:jc w:val="center"/>
        </w:trPr>
        <w:tc>
          <w:tcPr>
            <w:tcW w:w="19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16657" w14:textId="0F0AC270"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 xml:space="preserve">Grade-band </w:t>
            </w:r>
            <w:r>
              <w:rPr>
                <w:rFonts w:ascii="Arial" w:eastAsia="Arial" w:hAnsi="Arial" w:cs="Arial"/>
                <w:color w:val="2E74B5" w:themeColor="accent5" w:themeShade="BF"/>
              </w:rPr>
              <w:t>l</w:t>
            </w:r>
            <w:r w:rsidRPr="006264D3">
              <w:rPr>
                <w:rFonts w:ascii="Arial" w:eastAsia="Arial" w:hAnsi="Arial" w:cs="Arial"/>
                <w:color w:val="2E74B5" w:themeColor="accent5" w:themeShade="BF"/>
              </w:rPr>
              <w:t>evel</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FD6B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Early Ed</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C424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69E6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0.5</w:t>
            </w:r>
          </w:p>
        </w:tc>
      </w:tr>
      <w:tr w:rsidR="006264D3" w:rsidRPr="006264D3" w14:paraId="103F574C"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0F40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EE5F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Elementary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453C"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0436"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49.0</w:t>
            </w:r>
          </w:p>
        </w:tc>
      </w:tr>
      <w:tr w:rsidR="006264D3" w:rsidRPr="006264D3" w14:paraId="2D9848E0"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4C39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6966"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High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5689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9358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25.7</w:t>
            </w:r>
          </w:p>
        </w:tc>
      </w:tr>
      <w:tr w:rsidR="006264D3" w:rsidRPr="006264D3" w14:paraId="1E9600D2"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8D5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40B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Middle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C7A9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A3D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24.7</w:t>
            </w:r>
          </w:p>
        </w:tc>
      </w:tr>
      <w:tr w:rsidR="006264D3" w:rsidRPr="006264D3" w14:paraId="4829FB57"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A4038"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Geographic locale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E8C9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Rural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389F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19DA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14.8</w:t>
            </w:r>
          </w:p>
        </w:tc>
      </w:tr>
      <w:tr w:rsidR="006264D3" w:rsidRPr="006264D3" w14:paraId="01B3A576"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133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92FC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Suburb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B554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3C9D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22.7</w:t>
            </w:r>
          </w:p>
        </w:tc>
      </w:tr>
      <w:tr w:rsidR="006264D3" w:rsidRPr="006264D3" w14:paraId="25B3FF88"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F5D9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F6E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Town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B6F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80065"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28.2</w:t>
            </w:r>
          </w:p>
        </w:tc>
      </w:tr>
      <w:tr w:rsidR="006264D3" w:rsidRPr="006264D3" w14:paraId="6EDB132A" w14:textId="77777777" w:rsidTr="006264D3">
        <w:trPr>
          <w:jc w:val="center"/>
        </w:trPr>
        <w:tc>
          <w:tcPr>
            <w:tcW w:w="19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55EB9E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1E0EC74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Urban</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37FFF25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409</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101D87C"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34.3</w:t>
            </w:r>
          </w:p>
        </w:tc>
      </w:tr>
      <w:tr w:rsidR="006264D3" w:rsidRPr="006264D3" w14:paraId="17F6E418" w14:textId="77777777" w:rsidTr="006264D3">
        <w:trPr>
          <w:jc w:val="center"/>
        </w:trPr>
        <w:tc>
          <w:tcPr>
            <w:tcW w:w="19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210AF474" w14:textId="38B1454E"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rPr>
            </w:pPr>
            <w:r w:rsidRPr="006264D3">
              <w:rPr>
                <w:rFonts w:ascii="Arial" w:hAnsi="Arial" w:cs="Arial"/>
                <w:color w:val="2E74B5" w:themeColor="accent5" w:themeShade="BF"/>
              </w:rPr>
              <w:t>Total</w:t>
            </w:r>
          </w:p>
        </w:tc>
        <w:tc>
          <w:tcPr>
            <w:tcW w:w="144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3C50DA4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p>
        </w:tc>
        <w:tc>
          <w:tcPr>
            <w:tcW w:w="10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04D2FBB0" w14:textId="71E96C9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r>
              <w:rPr>
                <w:rFonts w:ascii="Arial" w:eastAsia="Arial" w:hAnsi="Arial" w:cs="Arial"/>
                <w:color w:val="2E74B5" w:themeColor="accent5" w:themeShade="BF"/>
              </w:rPr>
              <w:t>1193</w:t>
            </w:r>
          </w:p>
        </w:tc>
        <w:tc>
          <w:tcPr>
            <w:tcW w:w="10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2D0E4842" w14:textId="4E8BD43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r>
              <w:rPr>
                <w:rFonts w:ascii="Arial" w:eastAsia="Arial" w:hAnsi="Arial" w:cs="Arial"/>
                <w:color w:val="2E74B5" w:themeColor="accent5" w:themeShade="BF"/>
              </w:rPr>
              <w:t>100.0</w:t>
            </w:r>
          </w:p>
        </w:tc>
      </w:tr>
    </w:tbl>
    <w:p w14:paraId="19710460" w14:textId="1412B5E2" w:rsidR="006264D3" w:rsidRDefault="006264D3" w:rsidP="00561120">
      <w:pPr>
        <w:shd w:val="clear" w:color="auto" w:fill="FFFFFF"/>
        <w:spacing w:after="150"/>
        <w:rPr>
          <w:rFonts w:ascii="Helvetica" w:eastAsia="Times New Roman" w:hAnsi="Helvetica" w:cs="Helvetica"/>
          <w:color w:val="2E74B5" w:themeColor="accent5" w:themeShade="BF"/>
          <w:sz w:val="21"/>
          <w:szCs w:val="21"/>
          <w:lang w:eastAsia="zh-CN"/>
        </w:rPr>
      </w:pPr>
    </w:p>
    <w:p w14:paraId="2CD85700" w14:textId="2609F110" w:rsidR="006264D3" w:rsidRPr="006264D3" w:rsidRDefault="006264D3"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hAnsi="Helvetica" w:cs="Helvetica"/>
          <w:color w:val="333333"/>
          <w:sz w:val="21"/>
          <w:szCs w:val="21"/>
          <w:shd w:val="clear" w:color="auto" w:fill="FFFFFF"/>
        </w:rPr>
        <w:t>.2 Create one figure describing how per-pupil expenditures differs across different levels of schooling and another figure showing how per-pupil expenditures differ by schooling locale. Interpret these figures. </w:t>
      </w:r>
      <w:r>
        <w:rPr>
          <w:rStyle w:val="Strong"/>
          <w:rFonts w:ascii="Helvetica" w:hAnsi="Helvetica" w:cs="Helvetica"/>
          <w:color w:val="333333"/>
          <w:sz w:val="21"/>
          <w:szCs w:val="21"/>
          <w:shd w:val="clear" w:color="auto" w:fill="FFFFFF"/>
        </w:rPr>
        <w:t>(2 points)</w:t>
      </w:r>
    </w:p>
    <w:p w14:paraId="4D9EE3DD" w14:textId="687CC59E" w:rsidR="00D127C1" w:rsidRPr="00D127C1" w:rsidRDefault="00D127C1"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In Figure 1, we highlight that there is meaningful variation in per-pupil expenditure both within- and between-grade level (Panel A) and locale (Panel B). In particular, high schools seem to have both higher median expenditure as well as a higher absolute range</w:t>
      </w:r>
      <w:r w:rsidR="00CC5310">
        <w:rPr>
          <w:rFonts w:ascii="Helvetica" w:eastAsia="Times New Roman" w:hAnsi="Helvetica" w:cs="Helvetica"/>
          <w:color w:val="2E74B5" w:themeColor="accent5" w:themeShade="BF"/>
          <w:sz w:val="21"/>
          <w:szCs w:val="21"/>
          <w:lang w:eastAsia="zh-CN"/>
        </w:rPr>
        <w:t xml:space="preserve"> and a larger standard deviation ($6,331)</w:t>
      </w:r>
      <w:r>
        <w:rPr>
          <w:rFonts w:ascii="Helvetica" w:eastAsia="Times New Roman" w:hAnsi="Helvetica" w:cs="Helvetica"/>
          <w:color w:val="2E74B5" w:themeColor="accent5" w:themeShade="BF"/>
          <w:sz w:val="21"/>
          <w:szCs w:val="21"/>
          <w:lang w:eastAsia="zh-CN"/>
        </w:rPr>
        <w:t xml:space="preserve">. </w:t>
      </w:r>
      <w:r w:rsidR="00CC5310">
        <w:rPr>
          <w:rFonts w:ascii="Helvetica" w:eastAsia="Times New Roman" w:hAnsi="Helvetica" w:cs="Helvetica"/>
          <w:color w:val="2E74B5" w:themeColor="accent5" w:themeShade="BF"/>
          <w:sz w:val="21"/>
          <w:szCs w:val="21"/>
          <w:lang w:eastAsia="zh-CN"/>
        </w:rPr>
        <w:t>The mean expenditure at the high-school level is $15,202, compared to only $12,518 at the middle-school level. In Panel B, we demonstrate that rural schools spend more ($16,219) per-pupil, on average, than other geographic locations, which all spend roughly the same median amount, though again there is substantial variability within each location, with standard deviations in PPE between $3,000 and $6,000.</w:t>
      </w:r>
    </w:p>
    <w:p w14:paraId="6F138F35" w14:textId="44B778B7"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1</w:t>
      </w:r>
    </w:p>
    <w:p w14:paraId="04E11E5D" w14:textId="1C0A825B" w:rsidR="00561120" w:rsidRDefault="00D127C1" w:rsidP="000F72A4">
      <w:pPr>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Violin plot of per-pupil expenditure by grade-band level and geographic locale of Oregon public schools, 2018-19</w:t>
      </w:r>
    </w:p>
    <w:p w14:paraId="3F02F719" w14:textId="78E83882" w:rsidR="00A8416C" w:rsidRDefault="006264D3" w:rsidP="00A8416C">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59B677B2" wp14:editId="4CC464E3">
            <wp:extent cx="2926080" cy="191539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_4_descr_lev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0" cy="1915395"/>
                    </a:xfrm>
                    <a:prstGeom prst="rect">
                      <a:avLst/>
                    </a:prstGeom>
                  </pic:spPr>
                </pic:pic>
              </a:graphicData>
            </a:graphic>
          </wp:inline>
        </w:drawing>
      </w:r>
      <w:r>
        <w:rPr>
          <w:rFonts w:ascii="Helvetica" w:eastAsia="Times New Roman" w:hAnsi="Helvetica" w:cs="Helvetica"/>
          <w:i/>
          <w:noProof/>
          <w:color w:val="2E74B5" w:themeColor="accent5" w:themeShade="BF"/>
          <w:sz w:val="21"/>
          <w:szCs w:val="21"/>
        </w:rPr>
        <w:drawing>
          <wp:inline distT="0" distB="0" distL="0" distR="0" wp14:anchorId="39D6EF1E" wp14:editId="01C1C60F">
            <wp:extent cx="2926080" cy="19153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_4_descr_lo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1915395"/>
                    </a:xfrm>
                    <a:prstGeom prst="rect">
                      <a:avLst/>
                    </a:prstGeom>
                  </pic:spPr>
                </pic:pic>
              </a:graphicData>
            </a:graphic>
          </wp:inline>
        </w:drawing>
      </w:r>
    </w:p>
    <w:p w14:paraId="7FCCD7C5" w14:textId="4BCCC1DD" w:rsidR="006264D3" w:rsidRPr="006264D3" w:rsidRDefault="006264D3" w:rsidP="006264D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ab/>
        <w:t xml:space="preserve">       </w:t>
      </w:r>
      <w:r w:rsidRPr="006264D3">
        <w:rPr>
          <w:rFonts w:ascii="Helvetica" w:eastAsia="Times New Roman" w:hAnsi="Helvetica" w:cs="Helvetica"/>
          <w:color w:val="2E74B5" w:themeColor="accent5" w:themeShade="BF"/>
          <w:sz w:val="21"/>
          <w:szCs w:val="21"/>
          <w:lang w:eastAsia="zh-CN"/>
        </w:rPr>
        <w:t>(a)</w:t>
      </w:r>
      <w:r>
        <w:rPr>
          <w:rFonts w:ascii="Helvetica" w:eastAsia="Times New Roman" w:hAnsi="Helvetica" w:cs="Helvetica"/>
          <w:color w:val="2E74B5" w:themeColor="accent5" w:themeShade="BF"/>
          <w:sz w:val="21"/>
          <w:szCs w:val="21"/>
          <w:lang w:eastAsia="zh-CN"/>
        </w:rPr>
        <w:t xml:space="preserve"> Grade-band level</w:t>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t>(b) Geographic locale</w:t>
      </w:r>
    </w:p>
    <w:p w14:paraId="2E67BE92" w14:textId="77777777" w:rsidR="007D5AF7" w:rsidRDefault="007D5AF7" w:rsidP="006264D3">
      <w:pPr>
        <w:shd w:val="clear" w:color="auto" w:fill="FFFFFF"/>
        <w:spacing w:before="150" w:after="150"/>
        <w:outlineLvl w:val="3"/>
        <w:rPr>
          <w:rFonts w:ascii="inherit" w:eastAsia="Times New Roman" w:hAnsi="inherit" w:cs="Helvetica"/>
          <w:color w:val="333333"/>
          <w:sz w:val="27"/>
          <w:szCs w:val="27"/>
          <w:lang w:eastAsia="zh-CN"/>
        </w:rPr>
      </w:pPr>
    </w:p>
    <w:p w14:paraId="75AE14DB" w14:textId="1D21A29A" w:rsidR="006264D3" w:rsidRPr="00437423" w:rsidRDefault="006264D3" w:rsidP="006264D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2</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Do schools that serve different educational grade-band levels spend differing amounts on their students?</w:t>
      </w:r>
    </w:p>
    <w:p w14:paraId="54CE32E7" w14:textId="16635F44" w:rsidR="006264D3" w:rsidRDefault="006264D3" w:rsidP="008A45B4">
      <w:pPr>
        <w:shd w:val="clear" w:color="auto" w:fill="FFFFFF"/>
        <w:spacing w:after="150"/>
        <w:rPr>
          <w:rStyle w:val="Strong"/>
          <w:rFonts w:ascii="Helvetica" w:hAnsi="Helvetica" w:cs="Helvetica"/>
          <w:color w:val="333333"/>
          <w:sz w:val="21"/>
          <w:szCs w:val="21"/>
          <w:shd w:val="clear" w:color="auto" w:fill="FFFFFF"/>
        </w:rPr>
      </w:pPr>
      <w:r>
        <w:rPr>
          <w:rFonts w:ascii="Helvetica" w:eastAsia="Times New Roman" w:hAnsi="Helvetica" w:cs="Helvetica"/>
          <w:color w:val="333333"/>
          <w:sz w:val="21"/>
          <w:szCs w:val="21"/>
          <w:lang w:eastAsia="zh-CN"/>
        </w:rPr>
        <w:t xml:space="preserve">2.1 </w:t>
      </w:r>
      <w:r>
        <w:rPr>
          <w:rFonts w:ascii="Helvetica" w:hAnsi="Helvetica" w:cs="Helvetica"/>
          <w:color w:val="333333"/>
          <w:sz w:val="21"/>
          <w:szCs w:val="21"/>
          <w:shd w:val="clear" w:color="auto" w:fill="FFFFFF"/>
        </w:rPr>
        <w:t>State your null hypothesis regarding the above research question. </w:t>
      </w:r>
      <w:r>
        <w:rPr>
          <w:rStyle w:val="Strong"/>
          <w:rFonts w:ascii="Helvetica" w:hAnsi="Helvetica" w:cs="Helvetica"/>
          <w:color w:val="333333"/>
          <w:sz w:val="21"/>
          <w:szCs w:val="21"/>
          <w:shd w:val="clear" w:color="auto" w:fill="FFFFFF"/>
        </w:rPr>
        <w:t>(1 point)</w:t>
      </w:r>
    </w:p>
    <w:p w14:paraId="7D4A612E" w14:textId="7FD2E00E" w:rsidR="00CC5310" w:rsidRPr="00CC5310" w:rsidRDefault="00CC5310" w:rsidP="008A45B4">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In the population of Oregon public schools, there is no difference in the average per-pupil expenditure for early education, elementary, middle and high schools </w:t>
      </w:r>
    </w:p>
    <w:p w14:paraId="616DA1BA"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2.2 Test your null hypothesis using the statistical test that most directly </w:t>
      </w:r>
      <w:r>
        <w:rPr>
          <w:rStyle w:val="Emphasis"/>
          <w:rFonts w:ascii="Helvetica" w:hAnsi="Helvetica" w:cs="Helvetica"/>
          <w:color w:val="333333"/>
          <w:sz w:val="21"/>
          <w:szCs w:val="21"/>
          <w:shd w:val="clear" w:color="auto" w:fill="FFFFFF"/>
        </w:rPr>
        <w:t>and efficiently</w:t>
      </w:r>
      <w:r>
        <w:rPr>
          <w:rFonts w:ascii="Helvetica" w:hAnsi="Helvetica" w:cs="Helvetica"/>
          <w:color w:val="333333"/>
          <w:sz w:val="21"/>
          <w:szCs w:val="21"/>
          <w:shd w:val="clear" w:color="auto" w:fill="FFFFFF"/>
        </w:rPr>
        <w:t> answers the above research question. Interpret the results of this test. </w:t>
      </w:r>
      <w:r>
        <w:rPr>
          <w:rStyle w:val="Strong"/>
          <w:rFonts w:ascii="Helvetica" w:hAnsi="Helvetica" w:cs="Helvetica"/>
          <w:color w:val="333333"/>
          <w:sz w:val="21"/>
          <w:szCs w:val="21"/>
          <w:shd w:val="clear" w:color="auto" w:fill="FFFFFF"/>
        </w:rPr>
        <w:t>(2 points)</w:t>
      </w:r>
    </w:p>
    <w:p w14:paraId="7B5AB1CC" w14:textId="604D5951" w:rsidR="00561120" w:rsidRPr="00CC5310" w:rsidRDefault="00CC5310" w:rsidP="006264D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We test our null-hypothesis that the mean per-pupil expenditure across all schooling levels is equivalent</w:t>
      </w:r>
      <w:r w:rsidR="00E23D0C">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(H</w:t>
      </w:r>
      <w:r w:rsidRPr="00CC5310">
        <w:rPr>
          <w:rFonts w:ascii="Helvetica" w:eastAsia="Times New Roman" w:hAnsi="Helvetica" w:cs="Helvetica"/>
          <w:color w:val="2E74B5" w:themeColor="accent5" w:themeShade="BF"/>
          <w:sz w:val="21"/>
          <w:szCs w:val="21"/>
          <w:vertAlign w:val="subscript"/>
          <w:lang w:eastAsia="zh-CN"/>
        </w:rPr>
        <w:t>0</w:t>
      </w:r>
      <w:r>
        <w:rPr>
          <w:rFonts w:ascii="Helvetica" w:eastAsia="Times New Roman" w:hAnsi="Helvetica" w:cs="Helvetica"/>
          <w:color w:val="2E74B5" w:themeColor="accent5" w:themeShade="BF"/>
          <w:sz w:val="21"/>
          <w:szCs w:val="21"/>
          <w:lang w:eastAsia="zh-CN"/>
        </w:rPr>
        <w:t xml:space="preserve">: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early</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elem</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middle</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high</w:t>
      </w:r>
      <w:proofErr w:type="spellEnd"/>
      <w:r>
        <w:rPr>
          <w:rFonts w:ascii="Times New Roman" w:eastAsia="Times New Roman" w:hAnsi="Times New Roman" w:cs="Times New Roman"/>
          <w:color w:val="2E74B5" w:themeColor="accent5" w:themeShade="BF"/>
          <w:sz w:val="21"/>
          <w:szCs w:val="21"/>
          <w:lang w:eastAsia="zh-CN"/>
        </w:rPr>
        <w:t xml:space="preserve">) </w:t>
      </w:r>
      <w:r w:rsidRPr="00CC5310">
        <w:rPr>
          <w:rFonts w:ascii="Helvetica" w:eastAsia="Times New Roman" w:hAnsi="Helvetica" w:cs="Helvetica"/>
          <w:color w:val="2E74B5" w:themeColor="accent5" w:themeShade="BF"/>
          <w:sz w:val="21"/>
          <w:szCs w:val="21"/>
          <w:lang w:eastAsia="zh-CN"/>
        </w:rPr>
        <w:t>via an Analysis of Variance (ANOVA).</w:t>
      </w:r>
      <w:r>
        <w:rPr>
          <w:rFonts w:ascii="Helvetica" w:eastAsia="Times New Roman" w:hAnsi="Helvetica" w:cs="Helvetica"/>
          <w:color w:val="2E74B5" w:themeColor="accent5" w:themeShade="BF"/>
          <w:sz w:val="21"/>
          <w:szCs w:val="21"/>
          <w:lang w:eastAsia="zh-CN"/>
        </w:rPr>
        <w:t xml:space="preserve"> We calculate an </w:t>
      </w:r>
      <w:r w:rsidRPr="00CC5310">
        <w:rPr>
          <w:rFonts w:ascii="Helvetica" w:eastAsia="Times New Roman" w:hAnsi="Helvetica" w:cs="Helvetica"/>
          <w:i/>
          <w:color w:val="2E74B5" w:themeColor="accent5" w:themeShade="BF"/>
          <w:sz w:val="21"/>
          <w:szCs w:val="21"/>
          <w:lang w:eastAsia="zh-CN"/>
        </w:rPr>
        <w:t>F</w:t>
      </w:r>
      <w:r>
        <w:rPr>
          <w:rFonts w:ascii="Helvetica" w:eastAsia="Times New Roman" w:hAnsi="Helvetica" w:cs="Helvetica"/>
          <w:color w:val="2E74B5" w:themeColor="accent5" w:themeShade="BF"/>
          <w:sz w:val="21"/>
          <w:szCs w:val="21"/>
          <w:lang w:eastAsia="zh-CN"/>
        </w:rPr>
        <w:t>-statistic</w:t>
      </w:r>
      <w:r w:rsidR="0010220F">
        <w:rPr>
          <w:rFonts w:ascii="Helvetica" w:eastAsia="Times New Roman" w:hAnsi="Helvetica" w:cs="Helvetica"/>
          <w:color w:val="2E74B5" w:themeColor="accent5" w:themeShade="BF"/>
          <w:sz w:val="21"/>
          <w:szCs w:val="21"/>
          <w:lang w:eastAsia="zh-CN"/>
        </w:rPr>
        <w:t xml:space="preserve"> (</w:t>
      </w:r>
      <w:bookmarkStart w:id="0" w:name="_GoBack"/>
      <w:proofErr w:type="spellStart"/>
      <w:proofErr w:type="gramStart"/>
      <w:r w:rsidR="0010220F" w:rsidRPr="0010220F">
        <w:rPr>
          <w:rFonts w:ascii="Helvetica" w:eastAsia="Times New Roman" w:hAnsi="Helvetica" w:cs="Helvetica"/>
          <w:i/>
          <w:color w:val="2E74B5" w:themeColor="accent5" w:themeShade="BF"/>
          <w:sz w:val="21"/>
          <w:szCs w:val="21"/>
          <w:lang w:eastAsia="zh-CN"/>
        </w:rPr>
        <w:t>df</w:t>
      </w:r>
      <w:bookmarkEnd w:id="0"/>
      <w:proofErr w:type="spellEnd"/>
      <w:proofErr w:type="gramEnd"/>
      <w:r w:rsidR="0010220F">
        <w:rPr>
          <w:rFonts w:ascii="Helvetica" w:eastAsia="Times New Roman" w:hAnsi="Helvetica" w:cs="Helvetica"/>
          <w:color w:val="2E74B5" w:themeColor="accent5" w:themeShade="BF"/>
          <w:sz w:val="21"/>
          <w:szCs w:val="21"/>
          <w:lang w:eastAsia="zh-CN"/>
        </w:rPr>
        <w:t xml:space="preserve"> = 1192)</w:t>
      </w:r>
      <w:r>
        <w:rPr>
          <w:rFonts w:ascii="Helvetica" w:eastAsia="Times New Roman" w:hAnsi="Helvetica" w:cs="Helvetica"/>
          <w:color w:val="2E74B5" w:themeColor="accent5" w:themeShade="BF"/>
          <w:sz w:val="21"/>
          <w:szCs w:val="21"/>
          <w:lang w:eastAsia="zh-CN"/>
        </w:rPr>
        <w:t xml:space="preserve"> of 22.1, which exceeds our alpha-threshold of 0.05 and therefore we reject our null hypothesis and conclude that mean per-pupil expenditure across these groups of schools are different, on average in the population.</w:t>
      </w:r>
    </w:p>
    <w:p w14:paraId="09912279" w14:textId="08FCC824" w:rsidR="00CC5310"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2.3 State the magnitude by which schools at each of the different grade-bands differ from each other in their per-pupil spending. Select (and justify) the most sensible group to serve as the comparison type of school. </w:t>
      </w:r>
      <w:r>
        <w:rPr>
          <w:rStyle w:val="Strong"/>
          <w:rFonts w:ascii="Helvetica" w:hAnsi="Helvetica" w:cs="Helvetica"/>
          <w:color w:val="333333"/>
          <w:sz w:val="21"/>
          <w:szCs w:val="21"/>
          <w:shd w:val="clear" w:color="auto" w:fill="FFFFFF"/>
        </w:rPr>
        <w:t>(2 points)</w:t>
      </w:r>
    </w:p>
    <w:p w14:paraId="5571D40D" w14:textId="35689CAD" w:rsidR="00CC5310" w:rsidRDefault="00CC5310"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C5310">
        <w:rPr>
          <w:rStyle w:val="Strong"/>
          <w:rFonts w:ascii="Helvetica" w:hAnsi="Helvetica" w:cs="Helvetica"/>
          <w:b w:val="0"/>
          <w:color w:val="2E74B5" w:themeColor="accent5" w:themeShade="BF"/>
          <w:sz w:val="21"/>
          <w:szCs w:val="21"/>
          <w:shd w:val="clear" w:color="auto" w:fill="FFFFFF"/>
        </w:rPr>
        <w:t>In order</w:t>
      </w:r>
      <w:r>
        <w:rPr>
          <w:rStyle w:val="Strong"/>
          <w:rFonts w:ascii="Helvetica" w:hAnsi="Helvetica" w:cs="Helvetica"/>
          <w:b w:val="0"/>
          <w:color w:val="2E74B5" w:themeColor="accent5" w:themeShade="BF"/>
          <w:sz w:val="21"/>
          <w:szCs w:val="21"/>
          <w:shd w:val="clear" w:color="auto" w:fill="FFFFFF"/>
        </w:rPr>
        <w:t xml:space="preserve"> to test for differences </w:t>
      </w:r>
      <w:r w:rsidR="00CB74D2">
        <w:rPr>
          <w:rStyle w:val="Strong"/>
          <w:rFonts w:ascii="Helvetica" w:hAnsi="Helvetica" w:cs="Helvetica"/>
          <w:b w:val="0"/>
          <w:color w:val="2E74B5" w:themeColor="accent5" w:themeShade="BF"/>
          <w:sz w:val="21"/>
          <w:szCs w:val="21"/>
          <w:shd w:val="clear" w:color="auto" w:fill="FFFFFF"/>
        </w:rPr>
        <w:t xml:space="preserve">in per-pupil expenditure across </w:t>
      </w:r>
      <w:r>
        <w:rPr>
          <w:rStyle w:val="Strong"/>
          <w:rFonts w:ascii="Helvetica" w:hAnsi="Helvetica" w:cs="Helvetica"/>
          <w:b w:val="0"/>
          <w:color w:val="2E74B5" w:themeColor="accent5" w:themeShade="BF"/>
          <w:sz w:val="21"/>
          <w:szCs w:val="21"/>
          <w:shd w:val="clear" w:color="auto" w:fill="FFFFFF"/>
        </w:rPr>
        <w:t xml:space="preserve">each </w:t>
      </w:r>
      <w:r w:rsidR="00CB74D2">
        <w:rPr>
          <w:rStyle w:val="Strong"/>
          <w:rFonts w:ascii="Helvetica" w:hAnsi="Helvetica" w:cs="Helvetica"/>
          <w:b w:val="0"/>
          <w:color w:val="2E74B5" w:themeColor="accent5" w:themeShade="BF"/>
          <w:sz w:val="21"/>
          <w:szCs w:val="21"/>
          <w:shd w:val="clear" w:color="auto" w:fill="FFFFFF"/>
        </w:rPr>
        <w:t>schooling level and interpret the magnitude of these differences, we employ an Ordinary Least Squares estimation strategy. Early education is a poor candidate to serve as a reference category because there are only six schools in this category. As a result, all of our estimates will be imprecise because we will be comparing them to a reference group whose value we can estimate only imprecisely. As a result, we use elementary schools—our largest grouping of schools—as our reference category. We present our results in Table 2. We note that early education settings spend less than elementary schools (-$1959), but we are unable to reject the null that the difference is statistically equivalent to zero. However, we do find that high schools spend more ($1669) per student than elementary schools, whereas middle schools spend less (-$1015).</w:t>
      </w:r>
    </w:p>
    <w:p w14:paraId="58AD0346" w14:textId="3CF7BE3F" w:rsid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p>
    <w:p w14:paraId="074A5826" w14:textId="4A8050D6"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lastRenderedPageBreak/>
        <w:t>Table 2</w:t>
      </w:r>
    </w:p>
    <w:p w14:paraId="37AA053F" w14:textId="48B88FC1"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 schooling level and per-pupil expenditure in Oregon public schools, 2018-19</w:t>
      </w:r>
    </w:p>
    <w:tbl>
      <w:tblPr>
        <w:tblW w:w="0" w:type="auto"/>
        <w:jc w:val="center"/>
        <w:tblLayout w:type="fixed"/>
        <w:tblLook w:val="0420" w:firstRow="1" w:lastRow="0" w:firstColumn="0" w:lastColumn="0" w:noHBand="0" w:noVBand="1"/>
      </w:tblPr>
      <w:tblGrid>
        <w:gridCol w:w="2446"/>
        <w:gridCol w:w="2446"/>
      </w:tblGrid>
      <w:tr w:rsidR="006264D3" w:rsidRPr="006264D3" w14:paraId="4FE3C9AF" w14:textId="77777777" w:rsidTr="006264D3">
        <w:trPr>
          <w:trHeight w:val="301"/>
          <w:tblHeader/>
          <w:jc w:val="center"/>
        </w:trPr>
        <w:tc>
          <w:tcPr>
            <w:tcW w:w="244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CB9AA11"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BE2D7C"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w:t>
            </w:r>
          </w:p>
        </w:tc>
      </w:tr>
      <w:tr w:rsidR="006264D3" w:rsidRPr="006264D3" w14:paraId="0D09FFFA" w14:textId="77777777" w:rsidTr="006264D3">
        <w:trPr>
          <w:trHeight w:val="433"/>
          <w:jc w:val="center"/>
        </w:trPr>
        <w:tc>
          <w:tcPr>
            <w:tcW w:w="244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D1E08"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(Intercept)</w:t>
            </w:r>
          </w:p>
        </w:tc>
        <w:tc>
          <w:tcPr>
            <w:tcW w:w="244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6027B"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13532.67***</w:t>
            </w:r>
          </w:p>
        </w:tc>
      </w:tr>
      <w:tr w:rsidR="006264D3" w:rsidRPr="006264D3" w14:paraId="55A75153" w14:textId="77777777" w:rsidTr="006264D3">
        <w:trPr>
          <w:trHeight w:val="310"/>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DE4BF"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D65C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(110.58)</w:t>
            </w:r>
          </w:p>
        </w:tc>
      </w:tr>
      <w:tr w:rsidR="006264D3" w:rsidRPr="006264D3" w14:paraId="52B6A214" w14:textId="77777777" w:rsidTr="006264D3">
        <w:trPr>
          <w:trHeight w:val="60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7AD8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Early Education</w:t>
            </w: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9D03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-1959.04</w:t>
            </w:r>
          </w:p>
        </w:tc>
      </w:tr>
      <w:tr w:rsidR="006264D3" w:rsidRPr="006264D3" w14:paraId="1091F7F2" w14:textId="77777777" w:rsidTr="006264D3">
        <w:trPr>
          <w:trHeight w:val="44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4C503"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6E592"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(2219.01)</w:t>
            </w:r>
          </w:p>
        </w:tc>
      </w:tr>
      <w:tr w:rsidR="006264D3" w:rsidRPr="006264D3" w14:paraId="32C00FA4" w14:textId="77777777" w:rsidTr="006264D3">
        <w:trPr>
          <w:trHeight w:val="44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1B397"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High School</w:t>
            </w: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375E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1669.35***</w:t>
            </w:r>
          </w:p>
        </w:tc>
      </w:tr>
      <w:tr w:rsidR="006264D3" w:rsidRPr="006264D3" w14:paraId="19ABBA17" w14:textId="77777777" w:rsidTr="006264D3">
        <w:trPr>
          <w:trHeight w:val="301"/>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4DAC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AA43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(378.42)</w:t>
            </w:r>
          </w:p>
        </w:tc>
      </w:tr>
      <w:tr w:rsidR="006264D3" w:rsidRPr="006264D3" w14:paraId="1B12B215" w14:textId="77777777" w:rsidTr="006264D3">
        <w:trPr>
          <w:trHeight w:val="60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EB67B"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Middle School</w:t>
            </w: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B7A62"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-1014.89***</w:t>
            </w:r>
          </w:p>
        </w:tc>
      </w:tr>
      <w:tr w:rsidR="006264D3" w:rsidRPr="006264D3" w14:paraId="2691DCE2" w14:textId="77777777" w:rsidTr="006264D3">
        <w:trPr>
          <w:trHeight w:val="301"/>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6971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FF1F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(243.41)</w:t>
            </w:r>
          </w:p>
        </w:tc>
      </w:tr>
      <w:tr w:rsidR="006264D3" w:rsidRPr="006264D3" w14:paraId="4BECF105" w14:textId="77777777" w:rsidTr="006264D3">
        <w:trPr>
          <w:trHeight w:val="44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3894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5D44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75BB24B8" w14:textId="77777777" w:rsidTr="006264D3">
        <w:trPr>
          <w:trHeight w:val="282"/>
          <w:jc w:val="center"/>
        </w:trPr>
        <w:tc>
          <w:tcPr>
            <w:tcW w:w="244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E72F20"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R2</w:t>
            </w:r>
          </w:p>
        </w:tc>
        <w:tc>
          <w:tcPr>
            <w:tcW w:w="244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07B517"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0.053</w:t>
            </w:r>
          </w:p>
        </w:tc>
      </w:tr>
      <w:tr w:rsidR="006264D3" w:rsidRPr="006264D3" w14:paraId="731BB4CC" w14:textId="77777777" w:rsidTr="006264D3">
        <w:trPr>
          <w:trHeight w:val="602"/>
          <w:jc w:val="center"/>
        </w:trPr>
        <w:tc>
          <w:tcPr>
            <w:tcW w:w="4892" w:type="dxa"/>
            <w:gridSpan w:val="2"/>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7CA03B" w14:textId="41553BFE" w:rsidR="006264D3" w:rsidRPr="00CC5310" w:rsidRDefault="006264D3" w:rsidP="00CC5310">
            <w:pPr>
              <w:pBdr>
                <w:top w:val="none" w:sz="0" w:space="0" w:color="000000"/>
                <w:left w:val="none" w:sz="0" w:space="0" w:color="000000"/>
                <w:bottom w:val="none" w:sz="0" w:space="0" w:color="000000"/>
                <w:right w:val="none" w:sz="0" w:space="0" w:color="000000"/>
              </w:pBdr>
              <w:ind w:left="100" w:right="100"/>
              <w:jc w:val="both"/>
              <w:rPr>
                <w:color w:val="2E74B5" w:themeColor="accent5" w:themeShade="BF"/>
                <w:sz w:val="20"/>
                <w:szCs w:val="20"/>
              </w:rPr>
            </w:pPr>
            <w:r w:rsidRPr="00CC5310">
              <w:rPr>
                <w:rFonts w:ascii="Arial" w:eastAsia="Arial" w:hAnsi="Arial" w:cs="Arial"/>
                <w:color w:val="2E74B5" w:themeColor="accent5" w:themeShade="BF"/>
                <w:sz w:val="20"/>
                <w:szCs w:val="20"/>
              </w:rPr>
              <w:t xml:space="preserve">+ </w:t>
            </w:r>
            <w:proofErr w:type="gramStart"/>
            <w:r w:rsidRPr="00CC5310">
              <w:rPr>
                <w:rFonts w:ascii="Arial" w:eastAsia="Arial" w:hAnsi="Arial" w:cs="Arial"/>
                <w:color w:val="2E74B5" w:themeColor="accent5" w:themeShade="BF"/>
                <w:sz w:val="20"/>
                <w:szCs w:val="20"/>
              </w:rPr>
              <w:t>p</w:t>
            </w:r>
            <w:proofErr w:type="gramEnd"/>
            <w:r w:rsidRPr="00CC5310">
              <w:rPr>
                <w:rFonts w:ascii="Arial" w:eastAsia="Arial" w:hAnsi="Arial" w:cs="Arial"/>
                <w:color w:val="2E74B5" w:themeColor="accent5" w:themeShade="BF"/>
                <w:sz w:val="20"/>
                <w:szCs w:val="20"/>
              </w:rPr>
              <w:t xml:space="preserve"> &lt; 0.1, * p &lt; 0.05, ** p &lt; 0.01, *** p &lt; 0.001</w:t>
            </w:r>
            <w:r w:rsidR="00CC5310" w:rsidRPr="00CC5310">
              <w:rPr>
                <w:rFonts w:ascii="Arial" w:eastAsia="Arial" w:hAnsi="Arial" w:cs="Arial"/>
                <w:color w:val="2E74B5" w:themeColor="accent5" w:themeShade="BF"/>
                <w:sz w:val="20"/>
                <w:szCs w:val="20"/>
              </w:rPr>
              <w:t>. Cells report coefficients and heteroscedastic-robust standard errors in parentheses. Each observation is one school.</w:t>
            </w:r>
          </w:p>
        </w:tc>
      </w:tr>
    </w:tbl>
    <w:p w14:paraId="500CDBA3"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19F92EC7" w14:textId="2EC6C560" w:rsidR="00CB74D2"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2.4 High schools </w:t>
      </w:r>
      <w:proofErr w:type="gramStart"/>
      <w:r>
        <w:rPr>
          <w:rFonts w:ascii="Helvetica" w:hAnsi="Helvetica" w:cs="Helvetica"/>
          <w:color w:val="333333"/>
          <w:sz w:val="21"/>
          <w:szCs w:val="21"/>
          <w:shd w:val="clear" w:color="auto" w:fill="FFFFFF"/>
        </w:rPr>
        <w:t>are generally understood</w:t>
      </w:r>
      <w:proofErr w:type="gramEnd"/>
      <w:r>
        <w:rPr>
          <w:rFonts w:ascii="Helvetica" w:hAnsi="Helvetica" w:cs="Helvetica"/>
          <w:color w:val="333333"/>
          <w:sz w:val="21"/>
          <w:szCs w:val="21"/>
          <w:shd w:val="clear" w:color="auto" w:fill="FFFFFF"/>
        </w:rPr>
        <w:t xml:space="preserve"> to have greater resource needs than other K-12 schools due to </w:t>
      </w:r>
      <w:proofErr w:type="spellStart"/>
      <w:r>
        <w:rPr>
          <w:rFonts w:ascii="Helvetica" w:hAnsi="Helvetica" w:cs="Helvetica"/>
          <w:color w:val="333333"/>
          <w:sz w:val="21"/>
          <w:szCs w:val="21"/>
          <w:shd w:val="clear" w:color="auto" w:fill="FFFFFF"/>
        </w:rPr>
        <w:t>fundings</w:t>
      </w:r>
      <w:proofErr w:type="spellEnd"/>
      <w:r>
        <w:rPr>
          <w:rFonts w:ascii="Helvetica" w:hAnsi="Helvetica" w:cs="Helvetica"/>
          <w:color w:val="333333"/>
          <w:sz w:val="21"/>
          <w:szCs w:val="21"/>
          <w:shd w:val="clear" w:color="auto" w:fill="FFFFFF"/>
        </w:rPr>
        <w:t xml:space="preserve"> items such as science laboratories, extra-</w:t>
      </w:r>
      <w:proofErr w:type="spellStart"/>
      <w:r>
        <w:rPr>
          <w:rFonts w:ascii="Helvetica" w:hAnsi="Helvetica" w:cs="Helvetica"/>
          <w:color w:val="333333"/>
          <w:sz w:val="21"/>
          <w:szCs w:val="21"/>
          <w:shd w:val="clear" w:color="auto" w:fill="FFFFFF"/>
        </w:rPr>
        <w:t>curriculars</w:t>
      </w:r>
      <w:proofErr w:type="spellEnd"/>
      <w:r>
        <w:rPr>
          <w:rFonts w:ascii="Helvetica" w:hAnsi="Helvetica" w:cs="Helvetica"/>
          <w:color w:val="333333"/>
          <w:sz w:val="21"/>
          <w:szCs w:val="21"/>
          <w:shd w:val="clear" w:color="auto" w:fill="FFFFFF"/>
        </w:rPr>
        <w:t xml:space="preserve"> and specialized classes. Test whether high schools spend more per-pupil than all other schools and interpret your results. </w:t>
      </w:r>
      <w:r>
        <w:rPr>
          <w:rStyle w:val="Strong"/>
          <w:rFonts w:ascii="Helvetica" w:hAnsi="Helvetica" w:cs="Helvetica"/>
          <w:color w:val="333333"/>
          <w:sz w:val="21"/>
          <w:szCs w:val="21"/>
          <w:shd w:val="clear" w:color="auto" w:fill="FFFFFF"/>
        </w:rPr>
        <w:t>(1 point)</w:t>
      </w:r>
    </w:p>
    <w:p w14:paraId="73586B8D" w14:textId="7DCD3642" w:rsidR="00CB74D2" w:rsidRP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 xml:space="preserve">We </w:t>
      </w:r>
      <w:r>
        <w:rPr>
          <w:rStyle w:val="Strong"/>
          <w:rFonts w:ascii="Helvetica" w:hAnsi="Helvetica" w:cs="Helvetica"/>
          <w:b w:val="0"/>
          <w:color w:val="2E74B5" w:themeColor="accent5" w:themeShade="BF"/>
          <w:sz w:val="21"/>
          <w:szCs w:val="21"/>
          <w:shd w:val="clear" w:color="auto" w:fill="FFFFFF"/>
        </w:rPr>
        <w:t xml:space="preserve">examine the question of whether high schools spend more per student than other schooling levels in two ways. First, we compare high schools to each of the other three levels of schooling separately, </w:t>
      </w:r>
      <w:proofErr w:type="gramStart"/>
      <w:r>
        <w:rPr>
          <w:rStyle w:val="Strong"/>
          <w:rFonts w:ascii="Helvetica" w:hAnsi="Helvetica" w:cs="Helvetica"/>
          <w:b w:val="0"/>
          <w:color w:val="2E74B5" w:themeColor="accent5" w:themeShade="BF"/>
          <w:sz w:val="21"/>
          <w:szCs w:val="21"/>
          <w:shd w:val="clear" w:color="auto" w:fill="FFFFFF"/>
        </w:rPr>
        <w:t>then</w:t>
      </w:r>
      <w:proofErr w:type="gramEnd"/>
      <w:r>
        <w:rPr>
          <w:rStyle w:val="Strong"/>
          <w:rFonts w:ascii="Helvetica" w:hAnsi="Helvetica" w:cs="Helvetica"/>
          <w:b w:val="0"/>
          <w:color w:val="2E74B5" w:themeColor="accent5" w:themeShade="BF"/>
          <w:sz w:val="21"/>
          <w:szCs w:val="21"/>
          <w:shd w:val="clear" w:color="auto" w:fill="FFFFFF"/>
        </w:rPr>
        <w:t xml:space="preserve"> we test whether high schools differ in their spending patterns from all schools that are </w:t>
      </w:r>
      <w:r>
        <w:rPr>
          <w:rStyle w:val="Strong"/>
          <w:rFonts w:ascii="Helvetica" w:hAnsi="Helvetica" w:cs="Helvetica"/>
          <w:b w:val="0"/>
          <w:i/>
          <w:color w:val="2E74B5" w:themeColor="accent5" w:themeShade="BF"/>
          <w:sz w:val="21"/>
          <w:szCs w:val="21"/>
          <w:shd w:val="clear" w:color="auto" w:fill="FFFFFF"/>
        </w:rPr>
        <w:t>not</w:t>
      </w:r>
      <w:r>
        <w:rPr>
          <w:rStyle w:val="Strong"/>
          <w:rFonts w:ascii="Helvetica" w:hAnsi="Helvetica" w:cs="Helvetica"/>
          <w:b w:val="0"/>
          <w:color w:val="2E74B5" w:themeColor="accent5" w:themeShade="BF"/>
          <w:sz w:val="21"/>
          <w:szCs w:val="21"/>
          <w:shd w:val="clear" w:color="auto" w:fill="FFFFFF"/>
        </w:rPr>
        <w:t xml:space="preserve"> high schools. We present our results in Table 3. We find that, in fact, high schools spend more per-student than elementary schools ($1,669) and much more than middle schools ($2,684). On average, as we show in Model 2, high schools spend over $2,020 more per student than all other schools in Oregon.</w:t>
      </w:r>
    </w:p>
    <w:p w14:paraId="113EE3AB" w14:textId="77777777" w:rsidR="007D5AF7" w:rsidRDefault="007D5AF7">
      <w:pPr>
        <w:spacing w:after="160" w:line="259" w:lineRule="auto"/>
        <w:rPr>
          <w:rStyle w:val="Strong"/>
          <w:rFonts w:ascii="Helvetica" w:hAnsi="Helvetica" w:cs="Helvetica"/>
          <w:color w:val="2E74B5" w:themeColor="accent5" w:themeShade="BF"/>
          <w:sz w:val="21"/>
          <w:szCs w:val="21"/>
          <w:shd w:val="clear" w:color="auto" w:fill="FFFFFF"/>
        </w:rPr>
      </w:pPr>
      <w:r>
        <w:rPr>
          <w:rStyle w:val="Strong"/>
          <w:rFonts w:ascii="Helvetica" w:hAnsi="Helvetica" w:cs="Helvetica"/>
          <w:color w:val="2E74B5" w:themeColor="accent5" w:themeShade="BF"/>
          <w:sz w:val="21"/>
          <w:szCs w:val="21"/>
          <w:shd w:val="clear" w:color="auto" w:fill="FFFFFF"/>
        </w:rPr>
        <w:br w:type="page"/>
      </w:r>
    </w:p>
    <w:p w14:paraId="0CBF5BF7" w14:textId="32AF7C43"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lastRenderedPageBreak/>
        <w:t>T</w:t>
      </w:r>
      <w:r>
        <w:rPr>
          <w:rStyle w:val="Strong"/>
          <w:rFonts w:ascii="Helvetica" w:hAnsi="Helvetica" w:cs="Helvetica"/>
          <w:color w:val="2E74B5" w:themeColor="accent5" w:themeShade="BF"/>
          <w:sz w:val="21"/>
          <w:szCs w:val="21"/>
          <w:shd w:val="clear" w:color="auto" w:fill="FFFFFF"/>
        </w:rPr>
        <w:t>able 3</w:t>
      </w:r>
    </w:p>
    <w:p w14:paraId="7E6CFECB" w14:textId="31ABDFE9"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 xml:space="preserve">Ordinary Least Squares estimates of </w:t>
      </w:r>
      <w:r>
        <w:rPr>
          <w:rStyle w:val="Strong"/>
          <w:rFonts w:ascii="Helvetica" w:hAnsi="Helvetica" w:cs="Helvetica"/>
          <w:b w:val="0"/>
          <w:color w:val="2E74B5" w:themeColor="accent5" w:themeShade="BF"/>
          <w:sz w:val="21"/>
          <w:szCs w:val="21"/>
          <w:shd w:val="clear" w:color="auto" w:fill="FFFFFF"/>
        </w:rPr>
        <w:t>high-school</w:t>
      </w:r>
      <w:r w:rsidRPr="00CB74D2">
        <w:rPr>
          <w:rStyle w:val="Strong"/>
          <w:rFonts w:ascii="Helvetica" w:hAnsi="Helvetica" w:cs="Helvetica"/>
          <w:b w:val="0"/>
          <w:color w:val="2E74B5" w:themeColor="accent5" w:themeShade="BF"/>
          <w:sz w:val="21"/>
          <w:szCs w:val="21"/>
          <w:shd w:val="clear" w:color="auto" w:fill="FFFFFF"/>
        </w:rPr>
        <w:t xml:space="preserve"> per-pupil expenditure in Oregon public schools</w:t>
      </w:r>
      <w:r>
        <w:rPr>
          <w:rStyle w:val="Strong"/>
          <w:rFonts w:ascii="Helvetica" w:hAnsi="Helvetica" w:cs="Helvetica"/>
          <w:b w:val="0"/>
          <w:color w:val="2E74B5" w:themeColor="accent5" w:themeShade="BF"/>
          <w:sz w:val="21"/>
          <w:szCs w:val="21"/>
          <w:shd w:val="clear" w:color="auto" w:fill="FFFFFF"/>
        </w:rPr>
        <w:t xml:space="preserve"> compared to other levels of schooling</w:t>
      </w:r>
      <w:r w:rsidRPr="00CB74D2">
        <w:rPr>
          <w:rStyle w:val="Strong"/>
          <w:rFonts w:ascii="Helvetica" w:hAnsi="Helvetica" w:cs="Helvetica"/>
          <w:b w:val="0"/>
          <w:color w:val="2E74B5" w:themeColor="accent5" w:themeShade="BF"/>
          <w:sz w:val="21"/>
          <w:szCs w:val="21"/>
          <w:shd w:val="clear" w:color="auto" w:fill="FFFFFF"/>
        </w:rPr>
        <w:t>, 2018-19</w:t>
      </w:r>
    </w:p>
    <w:tbl>
      <w:tblPr>
        <w:tblW w:w="0" w:type="auto"/>
        <w:jc w:val="center"/>
        <w:tblLayout w:type="fixed"/>
        <w:tblLook w:val="0420" w:firstRow="1" w:lastRow="0" w:firstColumn="0" w:lastColumn="0" w:noHBand="0" w:noVBand="1"/>
      </w:tblPr>
      <w:tblGrid>
        <w:gridCol w:w="2264"/>
        <w:gridCol w:w="2264"/>
        <w:gridCol w:w="2265"/>
      </w:tblGrid>
      <w:tr w:rsidR="006264D3" w:rsidRPr="006264D3" w14:paraId="39E8DB83" w14:textId="77777777" w:rsidTr="006264D3">
        <w:trPr>
          <w:trHeight w:val="226"/>
          <w:tblHeader/>
          <w:jc w:val="center"/>
        </w:trPr>
        <w:tc>
          <w:tcPr>
            <w:tcW w:w="2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FD205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CF6581"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w:t>
            </w:r>
          </w:p>
        </w:tc>
        <w:tc>
          <w:tcPr>
            <w:tcW w:w="2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75D7E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w:t>
            </w:r>
          </w:p>
        </w:tc>
      </w:tr>
      <w:tr w:rsidR="006264D3" w:rsidRPr="006264D3" w14:paraId="0E29B0C9" w14:textId="77777777" w:rsidTr="006264D3">
        <w:trPr>
          <w:trHeight w:val="343"/>
          <w:jc w:val="center"/>
        </w:trPr>
        <w:tc>
          <w:tcPr>
            <w:tcW w:w="22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A10B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(Intercept)</w:t>
            </w:r>
          </w:p>
        </w:tc>
        <w:tc>
          <w:tcPr>
            <w:tcW w:w="22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64C6"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15202.02***</w:t>
            </w:r>
          </w:p>
        </w:tc>
        <w:tc>
          <w:tcPr>
            <w:tcW w:w="22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6B20F"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13181.49***</w:t>
            </w:r>
          </w:p>
        </w:tc>
      </w:tr>
      <w:tr w:rsidR="006264D3" w:rsidRPr="006264D3" w14:paraId="171577B7" w14:textId="77777777" w:rsidTr="006264D3">
        <w:trPr>
          <w:trHeight w:val="226"/>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FBF7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258F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(361.90)</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C7A1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(104.63)</w:t>
            </w:r>
          </w:p>
        </w:tc>
      </w:tr>
      <w:tr w:rsidR="006264D3" w:rsidRPr="006264D3" w14:paraId="0392741F" w14:textId="77777777" w:rsidTr="006264D3">
        <w:trPr>
          <w:trHeight w:val="467"/>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E5E8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Early Education</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E347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-3628.40</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FB2FD"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406FAAE3" w14:textId="77777777" w:rsidTr="006264D3">
        <w:trPr>
          <w:trHeight w:val="343"/>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D856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4A154"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(2245.60)</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E0195"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3EF4EE5C" w14:textId="77777777" w:rsidTr="006264D3">
        <w:trPr>
          <w:trHeight w:val="467"/>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BA6A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Elementary School</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5F704"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-1669.35***</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228D2"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7440D044" w14:textId="77777777" w:rsidTr="006264D3">
        <w:trPr>
          <w:trHeight w:val="226"/>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912B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0DC43"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(378.42)</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EDCF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248A0877" w14:textId="77777777" w:rsidTr="006264D3">
        <w:trPr>
          <w:trHeight w:val="467"/>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2B24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Middle School</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ECF2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-2684.24***</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EA26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0EA72357" w14:textId="77777777" w:rsidTr="006264D3">
        <w:trPr>
          <w:trHeight w:val="226"/>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3810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A453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(421.89)</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ED827"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7C09887D" w14:textId="77777777" w:rsidTr="006264D3">
        <w:trPr>
          <w:trHeight w:val="343"/>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38BE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High School</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B322D"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0BB9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2020.53***</w:t>
            </w:r>
          </w:p>
        </w:tc>
      </w:tr>
      <w:tr w:rsidR="006264D3" w:rsidRPr="006264D3" w14:paraId="7F4A6590" w14:textId="77777777" w:rsidTr="006264D3">
        <w:trPr>
          <w:trHeight w:val="233"/>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60E3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AF4C6"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CFF4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(376.72)</w:t>
            </w:r>
          </w:p>
        </w:tc>
      </w:tr>
      <w:tr w:rsidR="006264D3" w:rsidRPr="006264D3" w14:paraId="22CCF037" w14:textId="77777777" w:rsidTr="006264D3">
        <w:trPr>
          <w:trHeight w:val="343"/>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7418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A51A1"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A690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0187509F" w14:textId="77777777" w:rsidTr="006264D3">
        <w:trPr>
          <w:trHeight w:val="218"/>
          <w:jc w:val="center"/>
        </w:trPr>
        <w:tc>
          <w:tcPr>
            <w:tcW w:w="2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28355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R2</w:t>
            </w:r>
          </w:p>
        </w:tc>
        <w:tc>
          <w:tcPr>
            <w:tcW w:w="2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9214E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0.053</w:t>
            </w:r>
          </w:p>
        </w:tc>
        <w:tc>
          <w:tcPr>
            <w:tcW w:w="2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38CFC3"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0.043</w:t>
            </w:r>
          </w:p>
        </w:tc>
      </w:tr>
      <w:tr w:rsidR="006264D3" w:rsidRPr="006264D3" w14:paraId="2E761C88" w14:textId="77777777" w:rsidTr="006264D3">
        <w:trPr>
          <w:trHeight w:val="343"/>
          <w:jc w:val="center"/>
        </w:trPr>
        <w:tc>
          <w:tcPr>
            <w:tcW w:w="6793" w:type="dxa"/>
            <w:gridSpan w:val="3"/>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F2CA300" w14:textId="41B39814" w:rsidR="006264D3" w:rsidRPr="006264D3" w:rsidRDefault="006264D3" w:rsidP="00CC5310">
            <w:pPr>
              <w:pBdr>
                <w:top w:val="none" w:sz="0" w:space="0" w:color="000000"/>
                <w:left w:val="none" w:sz="0" w:space="0" w:color="000000"/>
                <w:bottom w:val="none" w:sz="0" w:space="0" w:color="000000"/>
                <w:right w:val="none" w:sz="0" w:space="0" w:color="000000"/>
              </w:pBdr>
              <w:spacing w:before="100" w:after="100"/>
              <w:ind w:left="100" w:right="100"/>
              <w:jc w:val="both"/>
              <w:rPr>
                <w:color w:val="2E74B5" w:themeColor="accent5" w:themeShade="BF"/>
              </w:rPr>
            </w:pPr>
            <w:r w:rsidRPr="00CC5310">
              <w:rPr>
                <w:rFonts w:ascii="Arial" w:eastAsia="Arial" w:hAnsi="Arial" w:cs="Arial"/>
                <w:color w:val="2E74B5" w:themeColor="accent5" w:themeShade="BF"/>
                <w:sz w:val="20"/>
                <w:szCs w:val="20"/>
              </w:rPr>
              <w:t xml:space="preserve">+ </w:t>
            </w:r>
            <w:proofErr w:type="gramStart"/>
            <w:r w:rsidRPr="00CC5310">
              <w:rPr>
                <w:rFonts w:ascii="Arial" w:eastAsia="Arial" w:hAnsi="Arial" w:cs="Arial"/>
                <w:color w:val="2E74B5" w:themeColor="accent5" w:themeShade="BF"/>
                <w:sz w:val="20"/>
                <w:szCs w:val="20"/>
              </w:rPr>
              <w:t>p</w:t>
            </w:r>
            <w:proofErr w:type="gramEnd"/>
            <w:r w:rsidRPr="00CC5310">
              <w:rPr>
                <w:rFonts w:ascii="Arial" w:eastAsia="Arial" w:hAnsi="Arial" w:cs="Arial"/>
                <w:color w:val="2E74B5" w:themeColor="accent5" w:themeShade="BF"/>
                <w:sz w:val="20"/>
                <w:szCs w:val="20"/>
              </w:rPr>
              <w:t xml:space="preserve"> &lt; 0.1, * p &lt; 0.05, ** p &lt; 0.01, *** p &lt; 0.001</w:t>
            </w:r>
            <w:r w:rsidR="00CC5310" w:rsidRPr="00CC5310">
              <w:rPr>
                <w:rFonts w:ascii="Arial" w:eastAsia="Arial" w:hAnsi="Arial" w:cs="Arial"/>
                <w:color w:val="2E74B5" w:themeColor="accent5" w:themeShade="BF"/>
                <w:sz w:val="20"/>
                <w:szCs w:val="20"/>
              </w:rPr>
              <w:t>. Cells report coefficients and heteroscedastic-robust</w:t>
            </w:r>
            <w:r w:rsidR="00CC5310" w:rsidRPr="006264D3">
              <w:rPr>
                <w:rFonts w:ascii="Arial" w:eastAsia="Arial" w:hAnsi="Arial" w:cs="Arial"/>
                <w:color w:val="2E74B5" w:themeColor="accent5" w:themeShade="BF"/>
                <w:sz w:val="20"/>
                <w:szCs w:val="20"/>
              </w:rPr>
              <w:t xml:space="preserve"> standard errors in parentheses. Each observation is one school.</w:t>
            </w:r>
          </w:p>
        </w:tc>
      </w:tr>
    </w:tbl>
    <w:p w14:paraId="0A62A90D"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7A02E597" w14:textId="053AB4B3" w:rsidR="006264D3" w:rsidRDefault="006264D3" w:rsidP="006264D3">
      <w:pPr>
        <w:shd w:val="clear" w:color="auto" w:fill="FFFFFF"/>
        <w:spacing w:after="150"/>
        <w:rPr>
          <w:rFonts w:ascii="inherit" w:eastAsia="Times New Roman" w:hAnsi="inherit" w:cs="Helvetica"/>
          <w:color w:val="333333"/>
          <w:sz w:val="27"/>
          <w:szCs w:val="27"/>
          <w:lang w:eastAsia="zh-CN"/>
        </w:rPr>
      </w:pPr>
      <w:r>
        <w:rPr>
          <w:rFonts w:ascii="inherit" w:eastAsia="Times New Roman" w:hAnsi="inherit" w:cs="Helvetica"/>
          <w:color w:val="333333"/>
          <w:sz w:val="27"/>
          <w:szCs w:val="27"/>
          <w:lang w:eastAsia="zh-CN"/>
        </w:rPr>
        <w:t>3</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Do schools that educate a larger proportion of students with financial need spend more per student on their education, after accounting for other school-level variation?</w:t>
      </w:r>
    </w:p>
    <w:p w14:paraId="44C63DCD" w14:textId="7A66BA7A"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3.1 Review the variables you have at your disposal and select a set of substantively sensible (and </w:t>
      </w:r>
      <w:proofErr w:type="spellStart"/>
      <w:r>
        <w:rPr>
          <w:rFonts w:ascii="Helvetica" w:hAnsi="Helvetica" w:cs="Helvetica"/>
          <w:color w:val="333333"/>
          <w:sz w:val="21"/>
          <w:szCs w:val="21"/>
          <w:shd w:val="clear" w:color="auto" w:fill="FFFFFF"/>
        </w:rPr>
        <w:t>non multi-</w:t>
      </w:r>
      <w:proofErr w:type="spellEnd"/>
      <w:r>
        <w:rPr>
          <w:rFonts w:ascii="Helvetica" w:hAnsi="Helvetica" w:cs="Helvetica"/>
          <w:color w:val="333333"/>
          <w:sz w:val="21"/>
          <w:szCs w:val="21"/>
          <w:shd w:val="clear" w:color="auto" w:fill="FFFFFF"/>
        </w:rPr>
        <w:t>collinear) </w:t>
      </w:r>
      <w:r>
        <w:rPr>
          <w:rStyle w:val="Emphasis"/>
          <w:rFonts w:ascii="Helvetica" w:hAnsi="Helvetica" w:cs="Helvetica"/>
          <w:b/>
          <w:bCs/>
          <w:color w:val="333333"/>
          <w:sz w:val="21"/>
          <w:szCs w:val="21"/>
          <w:shd w:val="clear" w:color="auto" w:fill="FFFFFF"/>
        </w:rPr>
        <w:t>continuous</w:t>
      </w:r>
      <w:r>
        <w:rPr>
          <w:rFonts w:ascii="Helvetica" w:hAnsi="Helvetica" w:cs="Helvetica"/>
          <w:color w:val="333333"/>
          <w:sz w:val="21"/>
          <w:szCs w:val="21"/>
          <w:shd w:val="clear" w:color="auto" w:fill="FFFFFF"/>
        </w:rPr>
        <w:t> and </w:t>
      </w:r>
      <w:r>
        <w:rPr>
          <w:rStyle w:val="Emphasis"/>
          <w:rFonts w:ascii="Helvetica" w:hAnsi="Helvetica" w:cs="Helvetica"/>
          <w:b/>
          <w:bCs/>
          <w:color w:val="333333"/>
          <w:sz w:val="21"/>
          <w:szCs w:val="21"/>
          <w:shd w:val="clear" w:color="auto" w:fill="FFFFFF"/>
        </w:rPr>
        <w:t>categorical</w:t>
      </w:r>
      <w:r>
        <w:rPr>
          <w:rFonts w:ascii="Helvetica" w:hAnsi="Helvetica" w:cs="Helvetica"/>
          <w:color w:val="333333"/>
          <w:sz w:val="21"/>
          <w:szCs w:val="21"/>
          <w:shd w:val="clear" w:color="auto" w:fill="FFFFFF"/>
        </w:rPr>
        <w:t> covariates that might explain schools’ per-pupil expenditure and help clarify the relationship between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and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(1 point)</w:t>
      </w:r>
    </w:p>
    <w:p w14:paraId="520CD38E" w14:textId="5B6F66D8" w:rsid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As before, we note</w:t>
      </w:r>
      <w:r w:rsidR="00710A4D">
        <w:rPr>
          <w:rStyle w:val="Strong"/>
          <w:rFonts w:ascii="Helvetica" w:hAnsi="Helvetica" w:cs="Helvetica"/>
          <w:b w:val="0"/>
          <w:color w:val="2E74B5" w:themeColor="accent5" w:themeShade="BF"/>
          <w:sz w:val="21"/>
          <w:szCs w:val="21"/>
          <w:shd w:val="clear" w:color="auto" w:fill="FFFFFF"/>
        </w:rPr>
        <w:t xml:space="preserve"> in Table 4</w:t>
      </w:r>
      <w:r>
        <w:rPr>
          <w:rStyle w:val="Strong"/>
          <w:rFonts w:ascii="Helvetica" w:hAnsi="Helvetica" w:cs="Helvetica"/>
          <w:b w:val="0"/>
          <w:color w:val="2E74B5" w:themeColor="accent5" w:themeShade="BF"/>
          <w:sz w:val="21"/>
          <w:szCs w:val="21"/>
          <w:shd w:val="clear" w:color="auto" w:fill="FFFFFF"/>
        </w:rPr>
        <w:t xml:space="preserve"> that while some of our candidate covariates are highly correlated with each other, they </w:t>
      </w:r>
      <w:proofErr w:type="gramStart"/>
      <w:r>
        <w:rPr>
          <w:rStyle w:val="Strong"/>
          <w:rFonts w:ascii="Helvetica" w:hAnsi="Helvetica" w:cs="Helvetica"/>
          <w:b w:val="0"/>
          <w:color w:val="2E74B5" w:themeColor="accent5" w:themeShade="BF"/>
          <w:sz w:val="21"/>
          <w:szCs w:val="21"/>
          <w:shd w:val="clear" w:color="auto" w:fill="FFFFFF"/>
        </w:rPr>
        <w:t>are all only modestly correlated</w:t>
      </w:r>
      <w:proofErr w:type="gramEnd"/>
      <w:r>
        <w:rPr>
          <w:rStyle w:val="Strong"/>
          <w:rFonts w:ascii="Helvetica" w:hAnsi="Helvetica" w:cs="Helvetica"/>
          <w:b w:val="0"/>
          <w:color w:val="2E74B5" w:themeColor="accent5" w:themeShade="BF"/>
          <w:sz w:val="21"/>
          <w:szCs w:val="21"/>
          <w:shd w:val="clear" w:color="auto" w:fill="FFFFFF"/>
        </w:rPr>
        <w:t xml:space="preserve"> </w:t>
      </w:r>
      <w:r w:rsidR="00710A4D">
        <w:rPr>
          <w:rStyle w:val="Strong"/>
          <w:rFonts w:ascii="Helvetica" w:hAnsi="Helvetica" w:cs="Helvetica"/>
          <w:b w:val="0"/>
          <w:color w:val="2E74B5" w:themeColor="accent5" w:themeShade="BF"/>
          <w:sz w:val="21"/>
          <w:szCs w:val="21"/>
          <w:shd w:val="clear" w:color="auto" w:fill="FFFFFF"/>
        </w:rPr>
        <w:t>with either our outcome or our primary question predictor. As a result, we are not particularly concerned about problems of multi-collinearity. However, for parsimony, we plan to use the following substantively relevant set of covariates: schooling grade-band level, total enrollment, geographic locale, average socio-economic status of families residing in the district, unemployment rates in the district and four-year degree holding rates in the district.</w:t>
      </w:r>
    </w:p>
    <w:p w14:paraId="61BCE5A9" w14:textId="49357BBD" w:rsidR="006264D3" w:rsidRDefault="00CB74D2" w:rsidP="007D5AF7">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Table 4</w:t>
      </w:r>
    </w:p>
    <w:p w14:paraId="26C37D68" w14:textId="77777777" w:rsidR="006264D3" w:rsidRPr="00B73966" w:rsidRDefault="006264D3" w:rsidP="006264D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Pearson correlation coefficients of the characteristics of Oregon public schools and the communities in which they are located, 2018-19.</w:t>
      </w:r>
    </w:p>
    <w:tbl>
      <w:tblPr>
        <w:tblW w:w="0" w:type="auto"/>
        <w:jc w:val="center"/>
        <w:tblLook w:val="0420" w:firstRow="1" w:lastRow="0" w:firstColumn="0" w:lastColumn="0" w:noHBand="0" w:noVBand="1"/>
      </w:tblPr>
      <w:tblGrid>
        <w:gridCol w:w="1440"/>
        <w:gridCol w:w="753"/>
        <w:gridCol w:w="665"/>
        <w:gridCol w:w="992"/>
        <w:gridCol w:w="1299"/>
        <w:gridCol w:w="1257"/>
        <w:gridCol w:w="1278"/>
        <w:gridCol w:w="1109"/>
        <w:gridCol w:w="464"/>
      </w:tblGrid>
      <w:tr w:rsidR="006264D3" w:rsidRPr="00A8416C" w14:paraId="40488800" w14:textId="77777777" w:rsidTr="00CB74D2">
        <w:trPr>
          <w:tblHeader/>
          <w:jc w:val="center"/>
        </w:trPr>
        <w:tc>
          <w:tcPr>
            <w:tcW w:w="1440"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34AEBFA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753"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2EFBE88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ppe</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1113472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r w:rsidRPr="00A8416C">
              <w:rPr>
                <w:rFonts w:ascii="Helvetica" w:eastAsia="Arial" w:hAnsi="Helvetica" w:cs="Helvetica"/>
                <w:color w:val="2E74B5" w:themeColor="accent5" w:themeShade="BF"/>
                <w:sz w:val="19"/>
                <w:szCs w:val="19"/>
              </w:rPr>
              <w:t>enroll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2B9C5B3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sesavgall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2862FBA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r w:rsidRPr="00A8416C">
              <w:rPr>
                <w:rFonts w:ascii="Helvetica" w:eastAsia="Arial" w:hAnsi="Helvetica" w:cs="Helvetica"/>
                <w:color w:val="2E74B5" w:themeColor="accent5" w:themeShade="BF"/>
                <w:sz w:val="19"/>
                <w:szCs w:val="19"/>
              </w:rPr>
              <w:t>lninc50avgall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785C3C5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baplusavgall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05846C58"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unempavgall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443D140E"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snapavgall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76373DBE"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frpl</w:t>
            </w:r>
            <w:proofErr w:type="spellEnd"/>
          </w:p>
        </w:tc>
      </w:tr>
      <w:tr w:rsidR="006264D3" w:rsidRPr="00A8416C" w14:paraId="6EC968D7" w14:textId="77777777" w:rsidTr="00CB74D2">
        <w:trPr>
          <w:jc w:val="center"/>
        </w:trPr>
        <w:tc>
          <w:tcPr>
            <w:tcW w:w="1440" w:type="dxa"/>
            <w:tcBorders>
              <w:top w:val="single" w:sz="4" w:space="0" w:color="auto"/>
            </w:tcBorders>
            <w:shd w:val="clear" w:color="auto" w:fill="FFFFFF"/>
            <w:tcMar>
              <w:top w:w="0" w:type="dxa"/>
              <w:left w:w="0" w:type="dxa"/>
              <w:bottom w:w="0" w:type="dxa"/>
              <w:right w:w="0" w:type="dxa"/>
            </w:tcMar>
            <w:vAlign w:val="center"/>
          </w:tcPr>
          <w:p w14:paraId="39964A1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ppe</w:t>
            </w:r>
            <w:proofErr w:type="spellEnd"/>
          </w:p>
        </w:tc>
        <w:tc>
          <w:tcPr>
            <w:tcW w:w="753" w:type="dxa"/>
            <w:tcBorders>
              <w:top w:val="single" w:sz="4" w:space="0" w:color="auto"/>
            </w:tcBorders>
            <w:shd w:val="clear" w:color="auto" w:fill="FFFFFF"/>
            <w:tcMar>
              <w:top w:w="0" w:type="dxa"/>
              <w:left w:w="0" w:type="dxa"/>
              <w:bottom w:w="0" w:type="dxa"/>
              <w:right w:w="0" w:type="dxa"/>
            </w:tcMar>
            <w:vAlign w:val="center"/>
          </w:tcPr>
          <w:p w14:paraId="55A4D88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single" w:sz="4" w:space="0" w:color="auto"/>
            </w:tcBorders>
            <w:shd w:val="clear" w:color="auto" w:fill="FFFFFF"/>
            <w:tcMar>
              <w:top w:w="0" w:type="dxa"/>
              <w:left w:w="0" w:type="dxa"/>
              <w:bottom w:w="0" w:type="dxa"/>
              <w:right w:w="0" w:type="dxa"/>
            </w:tcMar>
            <w:vAlign w:val="center"/>
          </w:tcPr>
          <w:p w14:paraId="301479A8"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1C8BF31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3FFA1AD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78E38CC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4C9BB73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0CD13AAA"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51C4324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2B3F1519" w14:textId="77777777" w:rsidTr="00CB74D2">
        <w:trPr>
          <w:jc w:val="center"/>
        </w:trPr>
        <w:tc>
          <w:tcPr>
            <w:tcW w:w="1440" w:type="dxa"/>
            <w:tcBorders>
              <w:bottom w:val="none" w:sz="0" w:space="0" w:color="000000"/>
            </w:tcBorders>
            <w:shd w:val="clear" w:color="auto" w:fill="FFFFFF"/>
            <w:tcMar>
              <w:top w:w="0" w:type="dxa"/>
              <w:left w:w="0" w:type="dxa"/>
              <w:bottom w:w="0" w:type="dxa"/>
              <w:right w:w="0" w:type="dxa"/>
            </w:tcMar>
            <w:vAlign w:val="center"/>
          </w:tcPr>
          <w:p w14:paraId="3FC7EFE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enroll</w:t>
            </w:r>
          </w:p>
        </w:tc>
        <w:tc>
          <w:tcPr>
            <w:tcW w:w="753" w:type="dxa"/>
            <w:tcBorders>
              <w:bottom w:val="none" w:sz="0" w:space="0" w:color="000000"/>
            </w:tcBorders>
            <w:shd w:val="clear" w:color="auto" w:fill="FFFFFF"/>
            <w:tcMar>
              <w:top w:w="0" w:type="dxa"/>
              <w:left w:w="0" w:type="dxa"/>
              <w:bottom w:w="0" w:type="dxa"/>
              <w:right w:w="0" w:type="dxa"/>
            </w:tcMar>
            <w:vAlign w:val="center"/>
          </w:tcPr>
          <w:p w14:paraId="744B24B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-.078</w:t>
            </w:r>
          </w:p>
        </w:tc>
        <w:tc>
          <w:tcPr>
            <w:tcW w:w="0" w:type="auto"/>
            <w:tcBorders>
              <w:bottom w:val="none" w:sz="0" w:space="0" w:color="000000"/>
            </w:tcBorders>
            <w:shd w:val="clear" w:color="auto" w:fill="FFFFFF"/>
            <w:tcMar>
              <w:top w:w="0" w:type="dxa"/>
              <w:left w:w="0" w:type="dxa"/>
              <w:bottom w:w="0" w:type="dxa"/>
              <w:right w:w="0" w:type="dxa"/>
            </w:tcMar>
            <w:vAlign w:val="center"/>
          </w:tcPr>
          <w:p w14:paraId="01CB87DA"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bottom w:val="none" w:sz="0" w:space="0" w:color="000000"/>
            </w:tcBorders>
            <w:shd w:val="clear" w:color="auto" w:fill="FFFFFF"/>
            <w:tcMar>
              <w:top w:w="0" w:type="dxa"/>
              <w:left w:w="0" w:type="dxa"/>
              <w:bottom w:w="0" w:type="dxa"/>
              <w:right w:w="0" w:type="dxa"/>
            </w:tcMar>
            <w:vAlign w:val="center"/>
          </w:tcPr>
          <w:p w14:paraId="782758E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1889DA2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7B81F07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42F3D6B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1F80BBC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28B10CA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6FB1A0EC"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E191CE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sesavgall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477767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-.053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6082F7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3127EB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794F89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910BFB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296F48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42F588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763EE1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2A89247E"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C778343"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lninc50avgall</w:t>
            </w:r>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FF348D3"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-.146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33DBC4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.202</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26D437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.887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4C20B3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3360949"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B0F2589"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F1FE7D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60CF7BF"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2439C3FC"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49C1E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baplusavgall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AA0836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.025</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ADCC62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.222</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2AA9C9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.694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645046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.588</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0C78158"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0B9EC33"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7A75B9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A7060A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196EAA6E"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7206D0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unempavgall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204185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-.016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2257C5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-.050</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31F25AA"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-.793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CF4B65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304CBD3"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A0C46C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404141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B82868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048538EB"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58CEDD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snapavgall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A8D2D9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.017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519F31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-.081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F8E690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-.957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561196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-.804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9192E4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61074A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.754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057892E"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93655C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791EA8E0" w14:textId="77777777" w:rsidTr="00CB74D2">
        <w:trPr>
          <w:jc w:val="center"/>
        </w:trPr>
        <w:tc>
          <w:tcPr>
            <w:tcW w:w="1440"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05E53464"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frpl</w:t>
            </w:r>
            <w:proofErr w:type="spellEnd"/>
          </w:p>
        </w:tc>
        <w:tc>
          <w:tcPr>
            <w:tcW w:w="753"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4517897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.184</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3301695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-.129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58339AB4"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-.529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4EC2D2A4"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-.474</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2317C2F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-.419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619F01A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.352</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2C0E420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.515</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3A08A7E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r>
    </w:tbl>
    <w:p w14:paraId="284196A8" w14:textId="77777777" w:rsidR="006264D3" w:rsidRDefault="006264D3" w:rsidP="006264D3">
      <w:pPr>
        <w:shd w:val="clear" w:color="auto" w:fill="FFFFFF"/>
        <w:spacing w:after="150"/>
        <w:rPr>
          <w:rFonts w:ascii="Helvetica" w:eastAsia="Times New Roman" w:hAnsi="Helvetica" w:cs="Helvetica"/>
          <w:b/>
          <w:color w:val="2E74B5" w:themeColor="accent5" w:themeShade="BF"/>
          <w:sz w:val="21"/>
          <w:szCs w:val="21"/>
          <w:lang w:eastAsia="zh-CN"/>
        </w:rPr>
      </w:pPr>
    </w:p>
    <w:p w14:paraId="1E916C27" w14:textId="77777777" w:rsidR="00710A4D" w:rsidRDefault="006264D3" w:rsidP="00E23D0C">
      <w:pPr>
        <w:shd w:val="clear" w:color="auto" w:fill="FFFFFF"/>
        <w:spacing w:before="100" w:beforeAutospacing="1" w:after="100" w:afterAutospacing="1"/>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3.2 Present a </w:t>
      </w:r>
      <w:r>
        <w:rPr>
          <w:rStyle w:val="Strong"/>
          <w:rFonts w:ascii="Helvetica" w:hAnsi="Helvetica" w:cs="Helvetica"/>
          <w:color w:val="333333"/>
          <w:sz w:val="21"/>
          <w:szCs w:val="21"/>
          <w:shd w:val="clear" w:color="auto" w:fill="FFFFFF"/>
        </w:rPr>
        <w:t>table</w:t>
      </w:r>
      <w:r>
        <w:rPr>
          <w:rFonts w:ascii="Helvetica" w:hAnsi="Helvetica" w:cs="Helvetica"/>
          <w:color w:val="333333"/>
          <w:sz w:val="21"/>
          <w:szCs w:val="21"/>
          <w:shd w:val="clear" w:color="auto" w:fill="FFFFFF"/>
        </w:rPr>
        <w:t> and </w:t>
      </w:r>
      <w:r>
        <w:rPr>
          <w:rStyle w:val="Strong"/>
          <w:rFonts w:ascii="Helvetica" w:hAnsi="Helvetica" w:cs="Helvetica"/>
          <w:color w:val="333333"/>
          <w:sz w:val="21"/>
          <w:szCs w:val="21"/>
          <w:shd w:val="clear" w:color="auto" w:fill="FFFFFF"/>
        </w:rPr>
        <w:t>plot</w:t>
      </w:r>
      <w:r>
        <w:rPr>
          <w:rFonts w:ascii="Helvetica" w:hAnsi="Helvetica" w:cs="Helvetica"/>
          <w:color w:val="333333"/>
          <w:sz w:val="21"/>
          <w:szCs w:val="21"/>
          <w:shd w:val="clear" w:color="auto" w:fill="FFFFFF"/>
        </w:rPr>
        <w:t> characterizing the regression-adjusted relationship between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and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Substantively interpret these results as you would for an academic journal article. </w:t>
      </w:r>
      <w:r>
        <w:rPr>
          <w:rStyle w:val="Strong"/>
          <w:rFonts w:ascii="Helvetica" w:hAnsi="Helvetica" w:cs="Helvetica"/>
          <w:color w:val="333333"/>
          <w:sz w:val="21"/>
          <w:szCs w:val="21"/>
          <w:shd w:val="clear" w:color="auto" w:fill="FFFFFF"/>
        </w:rPr>
        <w:t>(2 points)</w:t>
      </w:r>
    </w:p>
    <w:p w14:paraId="2F0BFCB3" w14:textId="0FC57860" w:rsidR="00A8416C" w:rsidRPr="007D5AF7" w:rsidRDefault="00710A4D" w:rsidP="00E23D0C">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710A4D">
        <w:rPr>
          <w:rFonts w:ascii="Helvetica" w:eastAsia="Times New Roman" w:hAnsi="Helvetica" w:cs="Helvetica"/>
          <w:color w:val="2E74B5" w:themeColor="accent5" w:themeShade="BF"/>
          <w:sz w:val="21"/>
          <w:szCs w:val="21"/>
          <w:lang w:eastAsia="zh-CN"/>
        </w:rPr>
        <w:t xml:space="preserve">The proportion of students receiving free- and reduced-price lunch </w:t>
      </w:r>
      <w:r>
        <w:rPr>
          <w:rFonts w:ascii="Helvetica" w:eastAsia="Times New Roman" w:hAnsi="Helvetica" w:cs="Helvetica"/>
          <w:color w:val="2E74B5" w:themeColor="accent5" w:themeShade="BF"/>
          <w:sz w:val="21"/>
          <w:szCs w:val="21"/>
          <w:lang w:eastAsia="zh-CN"/>
        </w:rPr>
        <w:t xml:space="preserve">(FRPL) </w:t>
      </w:r>
      <w:r w:rsidRPr="00710A4D">
        <w:rPr>
          <w:rFonts w:ascii="Helvetica" w:eastAsia="Times New Roman" w:hAnsi="Helvetica" w:cs="Helvetica"/>
          <w:color w:val="2E74B5" w:themeColor="accent5" w:themeShade="BF"/>
          <w:sz w:val="21"/>
          <w:szCs w:val="21"/>
          <w:lang w:eastAsia="zh-CN"/>
        </w:rPr>
        <w:t xml:space="preserve">in a school </w:t>
      </w:r>
      <w:proofErr w:type="gramStart"/>
      <w:r w:rsidRPr="00710A4D">
        <w:rPr>
          <w:rFonts w:ascii="Helvetica" w:eastAsia="Times New Roman" w:hAnsi="Helvetica" w:cs="Helvetica"/>
          <w:color w:val="2E74B5" w:themeColor="accent5" w:themeShade="BF"/>
          <w:sz w:val="21"/>
          <w:szCs w:val="21"/>
          <w:lang w:eastAsia="zh-CN"/>
        </w:rPr>
        <w:t>is meaningfully related</w:t>
      </w:r>
      <w:proofErr w:type="gramEnd"/>
      <w:r w:rsidRPr="00710A4D">
        <w:rPr>
          <w:rFonts w:ascii="Helvetica" w:eastAsia="Times New Roman" w:hAnsi="Helvetica" w:cs="Helvetica"/>
          <w:color w:val="2E74B5" w:themeColor="accent5" w:themeShade="BF"/>
          <w:sz w:val="21"/>
          <w:szCs w:val="21"/>
          <w:lang w:eastAsia="zh-CN"/>
        </w:rPr>
        <w:t xml:space="preserve"> to the amount the school spends on its students.</w:t>
      </w:r>
      <w:r>
        <w:rPr>
          <w:rFonts w:ascii="Helvetica" w:eastAsia="Times New Roman" w:hAnsi="Helvetica" w:cs="Helvetica"/>
          <w:color w:val="2E74B5" w:themeColor="accent5" w:themeShade="BF"/>
          <w:sz w:val="21"/>
          <w:szCs w:val="21"/>
          <w:lang w:eastAsia="zh-CN"/>
        </w:rPr>
        <w:t xml:space="preserve"> In particular, after accounting for other school and community characteristics, we estimate that a school that enrolls 10 percentage points more students receiving FRPL </w:t>
      </w:r>
      <w:proofErr w:type="gramStart"/>
      <w:r>
        <w:rPr>
          <w:rFonts w:ascii="Helvetica" w:eastAsia="Times New Roman" w:hAnsi="Helvetica" w:cs="Helvetica"/>
          <w:color w:val="2E74B5" w:themeColor="accent5" w:themeShade="BF"/>
          <w:sz w:val="21"/>
          <w:szCs w:val="21"/>
          <w:lang w:eastAsia="zh-CN"/>
        </w:rPr>
        <w:t>could be expected</w:t>
      </w:r>
      <w:proofErr w:type="gramEnd"/>
      <w:r>
        <w:rPr>
          <w:rFonts w:ascii="Helvetica" w:eastAsia="Times New Roman" w:hAnsi="Helvetica" w:cs="Helvetica"/>
          <w:color w:val="2E74B5" w:themeColor="accent5" w:themeShade="BF"/>
          <w:sz w:val="21"/>
          <w:szCs w:val="21"/>
          <w:lang w:eastAsia="zh-CN"/>
        </w:rPr>
        <w:t xml:space="preserve"> to spend $3,337.70 more per-student on their education. In Model 1 in Table 5, we show the simple bivariate relationship, which is somewhat more modest ($2,634.33). Once we adjust for schooling level, locale, enrollment, SES status, unemployment rates and college-degree holding rates, the relationship is even stronger. </w:t>
      </w:r>
      <w:r w:rsidR="007D5AF7">
        <w:rPr>
          <w:rFonts w:ascii="Helvetica" w:eastAsia="Times New Roman" w:hAnsi="Helvetica" w:cs="Helvetica"/>
          <w:color w:val="2E74B5" w:themeColor="accent5" w:themeShade="BF"/>
          <w:sz w:val="21"/>
          <w:szCs w:val="21"/>
          <w:lang w:eastAsia="zh-CN"/>
        </w:rPr>
        <w:t>As we show in Figure 2, one of the largest determinants of total spending is the level of schooling. High schools consistently spend more than elementary and (especially) middle schools, but across all three levels, schools enrolling more students from low-income families spend more, on average.</w:t>
      </w:r>
    </w:p>
    <w:p w14:paraId="207DDB20" w14:textId="77777777" w:rsidR="007D5AF7" w:rsidRDefault="007D5AF7">
      <w:pPr>
        <w:spacing w:after="160" w:line="259" w:lineRule="auto"/>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br w:type="page"/>
      </w:r>
    </w:p>
    <w:p w14:paraId="1B081295" w14:textId="7D4022A4" w:rsidR="00A8416C" w:rsidRDefault="00710A4D" w:rsidP="00CB04A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Table 5</w:t>
      </w:r>
    </w:p>
    <w:p w14:paraId="4C0401F9" w14:textId="2D47074D" w:rsidR="007D5AF7" w:rsidRPr="007D5AF7" w:rsidRDefault="007D5AF7" w:rsidP="007D5AF7">
      <w:pPr>
        <w:keepNext/>
        <w:shd w:val="clear" w:color="auto" w:fill="FFFFFF"/>
        <w:spacing w:after="150"/>
        <w:rPr>
          <w:rFonts w:ascii="Helvetica" w:hAnsi="Helvetica" w:cs="Helvetica"/>
          <w:bCs/>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w:t>
      </w:r>
      <w:r>
        <w:rPr>
          <w:rStyle w:val="Strong"/>
          <w:rFonts w:ascii="Helvetica" w:hAnsi="Helvetica" w:cs="Helvetica"/>
          <w:b w:val="0"/>
          <w:color w:val="2E74B5" w:themeColor="accent5" w:themeShade="BF"/>
          <w:sz w:val="21"/>
          <w:szCs w:val="21"/>
          <w:shd w:val="clear" w:color="auto" w:fill="FFFFFF"/>
        </w:rPr>
        <w:t xml:space="preserve"> free- and reduced-price lunch enrollment rates</w:t>
      </w:r>
      <w:r w:rsidRPr="00CB74D2">
        <w:rPr>
          <w:rStyle w:val="Strong"/>
          <w:rFonts w:ascii="Helvetica" w:hAnsi="Helvetica" w:cs="Helvetica"/>
          <w:b w:val="0"/>
          <w:color w:val="2E74B5" w:themeColor="accent5" w:themeShade="BF"/>
          <w:sz w:val="21"/>
          <w:szCs w:val="21"/>
          <w:shd w:val="clear" w:color="auto" w:fill="FFFFFF"/>
        </w:rPr>
        <w:t xml:space="preserve"> and per-pupil expenditure in</w:t>
      </w:r>
      <w:r>
        <w:rPr>
          <w:rStyle w:val="Strong"/>
          <w:rFonts w:ascii="Helvetica" w:hAnsi="Helvetica" w:cs="Helvetica"/>
          <w:b w:val="0"/>
          <w:color w:val="2E74B5" w:themeColor="accent5" w:themeShade="BF"/>
          <w:sz w:val="21"/>
          <w:szCs w:val="21"/>
          <w:shd w:val="clear" w:color="auto" w:fill="FFFFFF"/>
        </w:rPr>
        <w:t xml:space="preserve"> Oregon public schools, 2018-19</w:t>
      </w:r>
    </w:p>
    <w:tbl>
      <w:tblPr>
        <w:tblW w:w="0" w:type="auto"/>
        <w:jc w:val="center"/>
        <w:tblLayout w:type="fixed"/>
        <w:tblLook w:val="0420" w:firstRow="1" w:lastRow="0" w:firstColumn="0" w:lastColumn="0" w:noHBand="0" w:noVBand="1"/>
      </w:tblPr>
      <w:tblGrid>
        <w:gridCol w:w="2995"/>
        <w:gridCol w:w="2543"/>
        <w:gridCol w:w="2547"/>
      </w:tblGrid>
      <w:tr w:rsidR="006264D3" w:rsidRPr="006264D3" w14:paraId="2088D14A" w14:textId="77777777" w:rsidTr="007D5AF7">
        <w:trPr>
          <w:trHeight w:val="218"/>
          <w:tblHeader/>
          <w:jc w:val="center"/>
        </w:trPr>
        <w:tc>
          <w:tcPr>
            <w:tcW w:w="2995"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7914B433" w14:textId="77777777" w:rsidR="006264D3" w:rsidRPr="006264D3" w:rsidRDefault="006264D3">
            <w:pPr>
              <w:spacing w:before="100" w:after="100"/>
              <w:ind w:left="100" w:right="100"/>
              <w:rPr>
                <w:rFonts w:eastAsiaTheme="minorEastAsia"/>
                <w:color w:val="2E74B5" w:themeColor="accent5" w:themeShade="BF"/>
              </w:rPr>
            </w:pPr>
          </w:p>
        </w:tc>
        <w:tc>
          <w:tcPr>
            <w:tcW w:w="2543"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2A51EF7B"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w:t>
            </w:r>
          </w:p>
        </w:tc>
        <w:tc>
          <w:tcPr>
            <w:tcW w:w="2546"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245D0B5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w:t>
            </w:r>
          </w:p>
        </w:tc>
      </w:tr>
      <w:tr w:rsidR="006264D3" w:rsidRPr="006264D3" w14:paraId="0C906459" w14:textId="77777777" w:rsidTr="007D5AF7">
        <w:trPr>
          <w:trHeight w:val="332"/>
          <w:jc w:val="center"/>
        </w:trPr>
        <w:tc>
          <w:tcPr>
            <w:tcW w:w="299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BD1BEB4"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(Intercept)</w:t>
            </w:r>
          </w:p>
        </w:tc>
        <w:tc>
          <w:tcPr>
            <w:tcW w:w="2543"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788DC96B"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12226.90***</w:t>
            </w:r>
          </w:p>
        </w:tc>
        <w:tc>
          <w:tcPr>
            <w:tcW w:w="2546"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7274F964"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14525.34***</w:t>
            </w:r>
          </w:p>
        </w:tc>
      </w:tr>
      <w:tr w:rsidR="006264D3" w:rsidRPr="006264D3" w14:paraId="29A6F5FE" w14:textId="77777777" w:rsidTr="007D5AF7">
        <w:trPr>
          <w:trHeight w:val="332"/>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tcPr>
          <w:p w14:paraId="1A6656EB" w14:textId="77777777" w:rsidR="006264D3" w:rsidRPr="006264D3" w:rsidRDefault="006264D3">
            <w:pPr>
              <w:spacing w:before="100" w:after="100"/>
              <w:ind w:left="100" w:right="100"/>
              <w:rPr>
                <w:color w:val="2E74B5" w:themeColor="accent5" w:themeShade="BF"/>
              </w:rPr>
            </w:pP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63212BC4"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(271.68)</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0A98F97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(1399.65)</w:t>
            </w:r>
          </w:p>
        </w:tc>
      </w:tr>
      <w:tr w:rsidR="006264D3" w:rsidRPr="006264D3" w14:paraId="30269B76" w14:textId="77777777" w:rsidTr="007D5AF7">
        <w:trPr>
          <w:trHeight w:val="574"/>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hideMark/>
          </w:tcPr>
          <w:p w14:paraId="0537C7C0"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Prop. receiving FRPL (0/1)</w:t>
            </w: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47F6C640"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2634.33***</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61205340"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3337.70***</w:t>
            </w:r>
          </w:p>
        </w:tc>
      </w:tr>
      <w:tr w:rsidR="006264D3" w:rsidRPr="006264D3" w14:paraId="57AD9627" w14:textId="77777777" w:rsidTr="007D5AF7">
        <w:trPr>
          <w:trHeight w:val="163"/>
          <w:jc w:val="center"/>
        </w:trPr>
        <w:tc>
          <w:tcPr>
            <w:tcW w:w="2995" w:type="dxa"/>
            <w:tcBorders>
              <w:top w:val="nil"/>
              <w:left w:val="nil"/>
              <w:bottom w:val="single" w:sz="4" w:space="0" w:color="auto"/>
              <w:right w:val="nil"/>
            </w:tcBorders>
            <w:shd w:val="clear" w:color="auto" w:fill="FFFFFF"/>
            <w:tcMar>
              <w:top w:w="0" w:type="dxa"/>
              <w:left w:w="0" w:type="dxa"/>
              <w:bottom w:w="0" w:type="dxa"/>
              <w:right w:w="0" w:type="dxa"/>
            </w:tcMar>
            <w:vAlign w:val="center"/>
          </w:tcPr>
          <w:p w14:paraId="5426D635" w14:textId="77777777" w:rsidR="006264D3" w:rsidRPr="006264D3" w:rsidRDefault="006264D3">
            <w:pPr>
              <w:spacing w:before="100" w:after="100"/>
              <w:ind w:left="100" w:right="100"/>
              <w:rPr>
                <w:color w:val="2E74B5" w:themeColor="accent5" w:themeShade="BF"/>
              </w:rPr>
            </w:pPr>
          </w:p>
        </w:tc>
        <w:tc>
          <w:tcPr>
            <w:tcW w:w="2543"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0F48F02"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(427.86)</w:t>
            </w:r>
          </w:p>
        </w:tc>
        <w:tc>
          <w:tcPr>
            <w:tcW w:w="2546"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11F452C"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(543.93)</w:t>
            </w:r>
          </w:p>
        </w:tc>
      </w:tr>
      <w:tr w:rsidR="006264D3" w:rsidRPr="006264D3" w14:paraId="41E45F5D" w14:textId="77777777" w:rsidTr="007D5AF7">
        <w:trPr>
          <w:trHeight w:val="453"/>
          <w:jc w:val="center"/>
        </w:trPr>
        <w:tc>
          <w:tcPr>
            <w:tcW w:w="299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9664909" w14:textId="3CEC05A7" w:rsidR="006264D3" w:rsidRPr="006264D3" w:rsidRDefault="006264D3" w:rsidP="006264D3">
            <w:pPr>
              <w:spacing w:before="100" w:after="100"/>
              <w:ind w:left="100" w:right="100"/>
              <w:rPr>
                <w:b/>
                <w:color w:val="2E74B5" w:themeColor="accent5" w:themeShade="BF"/>
              </w:rPr>
            </w:pPr>
            <w:r w:rsidRPr="006264D3">
              <w:rPr>
                <w:rFonts w:ascii="Arial" w:eastAsia="Arial" w:hAnsi="Arial" w:cs="Arial"/>
                <w:b/>
                <w:color w:val="2E74B5" w:themeColor="accent5" w:themeShade="BF"/>
              </w:rPr>
              <w:t>Covariates?</w:t>
            </w:r>
          </w:p>
        </w:tc>
        <w:tc>
          <w:tcPr>
            <w:tcW w:w="2543"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240CA335" w14:textId="17498013" w:rsidR="006264D3" w:rsidRPr="006264D3" w:rsidRDefault="006264D3" w:rsidP="006264D3">
            <w:pPr>
              <w:spacing w:before="100" w:after="100"/>
              <w:ind w:left="100" w:right="100"/>
              <w:jc w:val="center"/>
              <w:rPr>
                <w:b/>
                <w:color w:val="2E74B5" w:themeColor="accent5" w:themeShade="BF"/>
              </w:rPr>
            </w:pPr>
            <w:r w:rsidRPr="006264D3">
              <w:rPr>
                <w:rFonts w:ascii="Arial" w:eastAsia="Arial" w:hAnsi="Arial" w:cs="Arial"/>
                <w:b/>
                <w:color w:val="2E74B5" w:themeColor="accent5" w:themeShade="BF"/>
              </w:rPr>
              <w:t>No</w:t>
            </w:r>
          </w:p>
        </w:tc>
        <w:tc>
          <w:tcPr>
            <w:tcW w:w="2546"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13DDDFEE" w14:textId="63102DC5" w:rsidR="006264D3" w:rsidRPr="006264D3" w:rsidRDefault="006264D3" w:rsidP="006264D3">
            <w:pPr>
              <w:spacing w:before="100" w:after="100"/>
              <w:ind w:left="100" w:right="100"/>
              <w:jc w:val="center"/>
              <w:rPr>
                <w:b/>
                <w:color w:val="2E74B5" w:themeColor="accent5" w:themeShade="BF"/>
              </w:rPr>
            </w:pPr>
            <w:r w:rsidRPr="006264D3">
              <w:rPr>
                <w:rFonts w:ascii="Arial" w:eastAsia="Arial" w:hAnsi="Arial" w:cs="Arial"/>
                <w:b/>
                <w:color w:val="2E74B5" w:themeColor="accent5" w:themeShade="BF"/>
              </w:rPr>
              <w:t>Yes</w:t>
            </w:r>
          </w:p>
        </w:tc>
      </w:tr>
      <w:tr w:rsidR="006264D3" w:rsidRPr="006264D3" w14:paraId="599657E3" w14:textId="77777777" w:rsidTr="007D5AF7">
        <w:trPr>
          <w:trHeight w:val="332"/>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hideMark/>
          </w:tcPr>
          <w:p w14:paraId="712B4B93" w14:textId="77777777" w:rsidR="006264D3" w:rsidRPr="006264D3" w:rsidRDefault="006264D3">
            <w:pPr>
              <w:spacing w:before="100" w:after="100"/>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24FF299C"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6BEC0C0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5AE5C1C1" w14:textId="77777777" w:rsidTr="007D5AF7">
        <w:trPr>
          <w:trHeight w:val="218"/>
          <w:jc w:val="center"/>
        </w:trPr>
        <w:tc>
          <w:tcPr>
            <w:tcW w:w="2995"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77B6764E"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R2</w:t>
            </w:r>
          </w:p>
        </w:tc>
        <w:tc>
          <w:tcPr>
            <w:tcW w:w="2543"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2DE57C2F"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0.034</w:t>
            </w:r>
          </w:p>
        </w:tc>
        <w:tc>
          <w:tcPr>
            <w:tcW w:w="2546"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57D9D5A3"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0.189</w:t>
            </w:r>
          </w:p>
        </w:tc>
      </w:tr>
      <w:tr w:rsidR="006264D3" w:rsidRPr="006264D3" w14:paraId="2A01B65D" w14:textId="77777777" w:rsidTr="007D5AF7">
        <w:trPr>
          <w:trHeight w:val="332"/>
          <w:jc w:val="center"/>
        </w:trPr>
        <w:tc>
          <w:tcPr>
            <w:tcW w:w="8085" w:type="dxa"/>
            <w:gridSpan w:val="3"/>
            <w:tcBorders>
              <w:top w:val="double" w:sz="4" w:space="0" w:color="auto"/>
              <w:left w:val="nil"/>
              <w:bottom w:val="nil"/>
              <w:right w:val="nil"/>
            </w:tcBorders>
            <w:shd w:val="clear" w:color="auto" w:fill="FFFFFF"/>
            <w:tcMar>
              <w:top w:w="0" w:type="dxa"/>
              <w:left w:w="0" w:type="dxa"/>
              <w:bottom w:w="0" w:type="dxa"/>
              <w:right w:w="0" w:type="dxa"/>
            </w:tcMar>
            <w:vAlign w:val="center"/>
            <w:hideMark/>
          </w:tcPr>
          <w:p w14:paraId="3B46E666" w14:textId="04132C1D" w:rsidR="006264D3" w:rsidRPr="006264D3" w:rsidRDefault="006264D3" w:rsidP="006264D3">
            <w:pPr>
              <w:spacing w:before="100" w:after="100"/>
              <w:ind w:left="100" w:right="100"/>
              <w:jc w:val="both"/>
              <w:rPr>
                <w:color w:val="2E74B5" w:themeColor="accent5" w:themeShade="BF"/>
                <w:sz w:val="20"/>
                <w:szCs w:val="20"/>
              </w:rPr>
            </w:pPr>
            <w:r w:rsidRPr="006264D3">
              <w:rPr>
                <w:rFonts w:ascii="Arial" w:eastAsia="Arial" w:hAnsi="Arial" w:cs="Arial"/>
                <w:i/>
                <w:color w:val="2E74B5" w:themeColor="accent5" w:themeShade="BF"/>
                <w:sz w:val="20"/>
                <w:szCs w:val="20"/>
              </w:rPr>
              <w:t>Notes</w:t>
            </w:r>
            <w:r w:rsidRPr="006264D3">
              <w:rPr>
                <w:rFonts w:ascii="Arial" w:eastAsia="Arial" w:hAnsi="Arial" w:cs="Arial"/>
                <w:color w:val="2E74B5" w:themeColor="accent5" w:themeShade="BF"/>
                <w:sz w:val="20"/>
                <w:szCs w:val="20"/>
              </w:rPr>
              <w:t>: + p &lt; 0.1, * p &lt; 0.05, ** p &lt; 0.01, *** p &lt; 0.001. Cells report coefficients and heteroscedastic-robust standard errors in parentheses. Each observation is one school. Covariates in Model 2 are grade-band level of school, total enrollment, geographic locale, avg. SES status, unemployment rate, and four-year college degree holding rate.</w:t>
            </w:r>
          </w:p>
        </w:tc>
      </w:tr>
    </w:tbl>
    <w:p w14:paraId="3273D02B" w14:textId="77777777" w:rsidR="007D5AF7" w:rsidRDefault="007D5AF7"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p>
    <w:p w14:paraId="76A2908F" w14:textId="4A296E28"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2</w:t>
      </w:r>
    </w:p>
    <w:p w14:paraId="5590C006" w14:textId="733F672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 xml:space="preserve">Relationship between rate of school-level free-and reduced-price lunch (FRPL) receipt and predicted per-pupil expenditure (PPE) </w:t>
      </w:r>
      <w:r w:rsidR="00710A4D">
        <w:rPr>
          <w:rFonts w:ascii="Helvetica" w:eastAsia="Times New Roman" w:hAnsi="Helvetica" w:cs="Helvetica"/>
          <w:i/>
          <w:color w:val="2E74B5" w:themeColor="accent5" w:themeShade="BF"/>
          <w:sz w:val="21"/>
          <w:szCs w:val="21"/>
          <w:lang w:eastAsia="zh-CN"/>
        </w:rPr>
        <w:t>at different levels of schooling</w:t>
      </w:r>
      <w:r>
        <w:rPr>
          <w:rFonts w:ascii="Helvetica" w:eastAsia="Times New Roman" w:hAnsi="Helvetica" w:cs="Helvetica"/>
          <w:i/>
          <w:color w:val="2E74B5" w:themeColor="accent5" w:themeShade="BF"/>
          <w:sz w:val="21"/>
          <w:szCs w:val="21"/>
          <w:lang w:eastAsia="zh-CN"/>
        </w:rPr>
        <w:t>, adjusting for other school and community factors.</w:t>
      </w:r>
    </w:p>
    <w:p w14:paraId="703C5BC4" w14:textId="6477C33A" w:rsidR="00CB04AA" w:rsidRDefault="006264D3" w:rsidP="003903FE">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61897FE1" wp14:editId="6EDB551F">
            <wp:extent cx="4206240" cy="2753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ent_4_prototyp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6240" cy="2753381"/>
                    </a:xfrm>
                    <a:prstGeom prst="rect">
                      <a:avLst/>
                    </a:prstGeom>
                  </pic:spPr>
                </pic:pic>
              </a:graphicData>
            </a:graphic>
          </wp:inline>
        </w:drawing>
      </w:r>
    </w:p>
    <w:p w14:paraId="0E969D61" w14:textId="2630F0CE" w:rsidR="00CB04AA" w:rsidRDefault="00C4117B" w:rsidP="007D5AF7">
      <w:pPr>
        <w:shd w:val="clear" w:color="auto" w:fill="FFFFFF"/>
        <w:spacing w:before="100" w:beforeAutospacing="1" w:after="100" w:afterAutospacing="1"/>
        <w:ind w:left="360" w:right="360"/>
        <w:jc w:val="both"/>
        <w:rPr>
          <w:rFonts w:ascii="Helvetica" w:eastAsia="Times New Roman" w:hAnsi="Helvetica" w:cs="Helvetica"/>
          <w:color w:val="2E74B5" w:themeColor="accent5" w:themeShade="BF"/>
          <w:sz w:val="21"/>
          <w:szCs w:val="21"/>
          <w:lang w:eastAsia="zh-CN"/>
        </w:rPr>
      </w:pPr>
      <w:r w:rsidRPr="00710A4D">
        <w:rPr>
          <w:rFonts w:ascii="Helvetica" w:eastAsia="Times New Roman" w:hAnsi="Helvetica" w:cs="Helvetica"/>
          <w:i/>
          <w:color w:val="2E74B5" w:themeColor="accent5" w:themeShade="BF"/>
          <w:sz w:val="18"/>
          <w:szCs w:val="18"/>
          <w:lang w:eastAsia="zh-CN"/>
        </w:rPr>
        <w:t xml:space="preserve">Notes: </w:t>
      </w:r>
      <w:r w:rsidR="00710A4D" w:rsidRPr="00710A4D">
        <w:rPr>
          <w:rFonts w:ascii="Helvetica" w:eastAsia="Times New Roman" w:hAnsi="Helvetica" w:cs="Helvetica"/>
          <w:color w:val="2E74B5" w:themeColor="accent5" w:themeShade="BF"/>
          <w:sz w:val="18"/>
          <w:szCs w:val="18"/>
          <w:lang w:eastAsia="zh-CN"/>
        </w:rPr>
        <w:t xml:space="preserve">estimates adjust for </w:t>
      </w:r>
      <w:r w:rsidR="00710A4D" w:rsidRPr="00710A4D">
        <w:rPr>
          <w:rFonts w:ascii="Helvetica" w:eastAsia="Arial" w:hAnsi="Helvetica" w:cs="Helvetica"/>
          <w:color w:val="2E74B5" w:themeColor="accent5" w:themeShade="BF"/>
          <w:sz w:val="18"/>
          <w:szCs w:val="18"/>
        </w:rPr>
        <w:t>total enrollment, geographic locale, avg. SES status, unemployment rate, and four-year college degree holding rate</w:t>
      </w:r>
    </w:p>
    <w:sectPr w:rsidR="00CB04A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951F6" w14:textId="77777777" w:rsidR="000243CB" w:rsidRDefault="000243CB" w:rsidP="00697DC9">
      <w:r>
        <w:separator/>
      </w:r>
    </w:p>
  </w:endnote>
  <w:endnote w:type="continuationSeparator" w:id="0">
    <w:p w14:paraId="2BC4D1D0" w14:textId="77777777" w:rsidR="000243CB" w:rsidRDefault="000243CB"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5E1AD" w14:textId="77777777" w:rsidR="000243CB" w:rsidRDefault="000243CB" w:rsidP="00697DC9">
      <w:r>
        <w:separator/>
      </w:r>
    </w:p>
  </w:footnote>
  <w:footnote w:type="continuationSeparator" w:id="0">
    <w:p w14:paraId="2CDFAD8B" w14:textId="77777777" w:rsidR="000243CB" w:rsidRDefault="000243CB"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165607"/>
      <w:docPartObj>
        <w:docPartGallery w:val="Page Numbers (Top of Page)"/>
        <w:docPartUnique/>
      </w:docPartObj>
    </w:sdtPr>
    <w:sdtEndPr>
      <w:rPr>
        <w:noProof/>
      </w:rPr>
    </w:sdtEndPr>
    <w:sdtContent>
      <w:p w14:paraId="254720B7" w14:textId="0F0DF127" w:rsidR="00CB74D2" w:rsidRDefault="00CB74D2">
        <w:pPr>
          <w:pStyle w:val="Header"/>
          <w:jc w:val="right"/>
        </w:pPr>
        <w:r>
          <w:fldChar w:fldCharType="begin"/>
        </w:r>
        <w:r>
          <w:instrText xml:space="preserve"> PAGE   \* MERGEFORMAT </w:instrText>
        </w:r>
        <w:r>
          <w:fldChar w:fldCharType="separate"/>
        </w:r>
        <w:r w:rsidR="0010220F">
          <w:rPr>
            <w:noProof/>
          </w:rPr>
          <w:t>6</w:t>
        </w:r>
        <w:r>
          <w:rPr>
            <w:noProof/>
          </w:rPr>
          <w:fldChar w:fldCharType="end"/>
        </w:r>
      </w:p>
    </w:sdtContent>
  </w:sdt>
  <w:p w14:paraId="4131C812" w14:textId="77777777" w:rsidR="00CB74D2" w:rsidRDefault="00CB7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52"/>
    <w:rsid w:val="000243CB"/>
    <w:rsid w:val="0005031E"/>
    <w:rsid w:val="000631EB"/>
    <w:rsid w:val="00073D05"/>
    <w:rsid w:val="00091847"/>
    <w:rsid w:val="000A1220"/>
    <w:rsid w:val="000D4AFB"/>
    <w:rsid w:val="000D72BA"/>
    <w:rsid w:val="000E71B1"/>
    <w:rsid w:val="000F2C6C"/>
    <w:rsid w:val="000F72A4"/>
    <w:rsid w:val="0010220F"/>
    <w:rsid w:val="001235AC"/>
    <w:rsid w:val="00143679"/>
    <w:rsid w:val="00173E92"/>
    <w:rsid w:val="00177363"/>
    <w:rsid w:val="00181B15"/>
    <w:rsid w:val="00200803"/>
    <w:rsid w:val="00263F43"/>
    <w:rsid w:val="00273BA3"/>
    <w:rsid w:val="002774CF"/>
    <w:rsid w:val="002B4600"/>
    <w:rsid w:val="002D7DC5"/>
    <w:rsid w:val="002F7403"/>
    <w:rsid w:val="00333AC1"/>
    <w:rsid w:val="00356108"/>
    <w:rsid w:val="00357060"/>
    <w:rsid w:val="00367537"/>
    <w:rsid w:val="00375689"/>
    <w:rsid w:val="003903FE"/>
    <w:rsid w:val="003C774E"/>
    <w:rsid w:val="003E334F"/>
    <w:rsid w:val="00437423"/>
    <w:rsid w:val="0044342C"/>
    <w:rsid w:val="00443E97"/>
    <w:rsid w:val="0047319D"/>
    <w:rsid w:val="00483791"/>
    <w:rsid w:val="004B3F97"/>
    <w:rsid w:val="004B6716"/>
    <w:rsid w:val="004C3EA5"/>
    <w:rsid w:val="004C60E1"/>
    <w:rsid w:val="004C7BA4"/>
    <w:rsid w:val="00523110"/>
    <w:rsid w:val="005429D4"/>
    <w:rsid w:val="00561120"/>
    <w:rsid w:val="005762E9"/>
    <w:rsid w:val="00582329"/>
    <w:rsid w:val="005A6572"/>
    <w:rsid w:val="005F1D57"/>
    <w:rsid w:val="006264D3"/>
    <w:rsid w:val="00644717"/>
    <w:rsid w:val="00646DCB"/>
    <w:rsid w:val="0064733F"/>
    <w:rsid w:val="006474F4"/>
    <w:rsid w:val="006822D7"/>
    <w:rsid w:val="00697DC9"/>
    <w:rsid w:val="006D1F3F"/>
    <w:rsid w:val="006D6B09"/>
    <w:rsid w:val="006E65F5"/>
    <w:rsid w:val="00710A4D"/>
    <w:rsid w:val="00760A5A"/>
    <w:rsid w:val="00773A19"/>
    <w:rsid w:val="00782F43"/>
    <w:rsid w:val="007B193A"/>
    <w:rsid w:val="007B460C"/>
    <w:rsid w:val="007D5AF7"/>
    <w:rsid w:val="007E59D8"/>
    <w:rsid w:val="007F058B"/>
    <w:rsid w:val="00853867"/>
    <w:rsid w:val="008A45B4"/>
    <w:rsid w:val="008F46BC"/>
    <w:rsid w:val="00936FA6"/>
    <w:rsid w:val="00980F9C"/>
    <w:rsid w:val="009933F5"/>
    <w:rsid w:val="009C519A"/>
    <w:rsid w:val="009F75D9"/>
    <w:rsid w:val="00A05827"/>
    <w:rsid w:val="00A25F71"/>
    <w:rsid w:val="00A30449"/>
    <w:rsid w:val="00A555C8"/>
    <w:rsid w:val="00A645A0"/>
    <w:rsid w:val="00A8416C"/>
    <w:rsid w:val="00A860BF"/>
    <w:rsid w:val="00AC301C"/>
    <w:rsid w:val="00B65A41"/>
    <w:rsid w:val="00B7094C"/>
    <w:rsid w:val="00B73966"/>
    <w:rsid w:val="00B87A19"/>
    <w:rsid w:val="00BC21FC"/>
    <w:rsid w:val="00C34A1D"/>
    <w:rsid w:val="00C4117B"/>
    <w:rsid w:val="00C5098A"/>
    <w:rsid w:val="00C719C6"/>
    <w:rsid w:val="00C80051"/>
    <w:rsid w:val="00CA7FDB"/>
    <w:rsid w:val="00CB04AA"/>
    <w:rsid w:val="00CB74D2"/>
    <w:rsid w:val="00CC5310"/>
    <w:rsid w:val="00D127C1"/>
    <w:rsid w:val="00D14DD6"/>
    <w:rsid w:val="00D35352"/>
    <w:rsid w:val="00DA1373"/>
    <w:rsid w:val="00DA393F"/>
    <w:rsid w:val="00DA664B"/>
    <w:rsid w:val="00DC6026"/>
    <w:rsid w:val="00DD2E89"/>
    <w:rsid w:val="00DD64DB"/>
    <w:rsid w:val="00E01035"/>
    <w:rsid w:val="00E2208B"/>
    <w:rsid w:val="00E23D0C"/>
    <w:rsid w:val="00E277EA"/>
    <w:rsid w:val="00E52357"/>
    <w:rsid w:val="00E80D01"/>
    <w:rsid w:val="00ED6C66"/>
    <w:rsid w:val="00F03C5A"/>
    <w:rsid w:val="00F567C9"/>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366295008">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4</cp:revision>
  <dcterms:created xsi:type="dcterms:W3CDTF">2023-03-07T22:14:00Z</dcterms:created>
  <dcterms:modified xsi:type="dcterms:W3CDTF">2023-03-08T18:38:00Z</dcterms:modified>
</cp:coreProperties>
</file>