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3"/>
        <w:tblLayout w:type="fixed"/>
        <w:tblLook w:firstRow="1" w:lastRow="1" w:firstColumn="0" w:lastColumn="0" w:noHBand="0" w:noVBand="0" w:val="0020"/>
      </w:tblPr>
      <w:tblGrid>
        <w:gridCol w:w="2288"/>
        <w:gridCol w:w="1320"/>
        <w:gridCol w:w="1320"/>
        <w:gridCol w:w="1408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12,226.90***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12,592.77***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23,860.53***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21,276.08***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(271.68)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(392.08)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(2,802.02)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(2,581.38)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Receiving FRPL (0-1)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2,634.33***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2,533.13***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3,229.26***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3,321.17***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(427.86)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(437.35)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(527.16)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(525.74)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enrollment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-0.66+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income ($)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BA+ holders (0-1)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8,244.02***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5,674.43***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(1,571.49)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(1,039.17)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 rate (0-1)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-38,341.73+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-5,857.66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(21,385.20)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(13,990.89)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 receipt rate (0-1)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-49,538.91***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-24,256.55**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(13,368.27)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(7,835.34)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 composite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-4,282.51*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(1,999.29)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Cells report coefficients and heteroscedastic-robust standard errors in</w:t>
            </w:r>
            <w:r>
              <w:t xml:space="preserve"> </w:t>
            </w:r>
            <w:r>
              <w:t xml:space="preserve">parentheses. Each observation is one school.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2025-02-18T19:53:01Z</dcterms:created>
  <dcterms:modified xsi:type="dcterms:W3CDTF">2025-02-18T19:53:01Z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