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12,226.90***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12,592.77***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23,860.53***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21,276.08***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(392.08)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(2,802.02)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(2,581.38)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Receiving FRPL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2,634.33***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2,533.13***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3,229.26***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3,321.17***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(427.86)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(437.35)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(527.16)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(525.74)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income ($)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BA+ holders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8,244.02***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5,674.43***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(1,571.49)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(1,039.17)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Unemployment rate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-38,341.73+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-5,857.66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(21,385.20)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(13,990.89)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SNAP receipt rate (0-1)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-49,538.91***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-24,256.55**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(13,368.27)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(7,835.34)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 composite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-4,282.51*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(1,999.29)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Cells report coefficients and heteroscedastic-robust standard errors in parentheses. Each observation is one school.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2024-02-20T11:29:14Z</dcterms:modified>
  <cp:category/>
</cp:coreProperties>
</file>