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958"/>
        <w:tblLayout w:type="fixed"/>
        <w:tblLook w:firstRow="1" w:lastRow="1" w:firstColumn="0" w:lastColumn="0" w:noHBand="0" w:noVBand="0" w:val="0020"/>
      </w:tblPr>
      <w:tblGrid>
        <w:gridCol w:w="3190"/>
        <w:gridCol w:w="1540"/>
        <w:gridCol w:w="15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12226.90***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14525.34***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(271.68)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(1399.65)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Prop. receiving FRPL (0/1)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2634.33***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3337.70***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(427.86)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(543.93)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Covariates?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</w:t>
            </w:r>
          </w:p>
        </w:tc>
      </w:tr>
      <w:tr>
        <w:tc>
          <w:tcPr>
            <w:gridSpan w:val="3"/>
          </w:tcPr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Cells report coefficients and heteroscedastic-robust</w:t>
            </w:r>
            <w:r>
              <w:t xml:space="preserve"> </w:t>
            </w:r>
            <w:r>
              <w:t xml:space="preserve">standard errors in parentheses. Each observation is</w:t>
            </w:r>
            <w:r>
              <w:t xml:space="preserve"> </w:t>
            </w:r>
            <w:r>
              <w:t xml:space="preserve">one school. Covariates in Model 2 are grade-band</w:t>
            </w:r>
            <w:r>
              <w:t xml:space="preserve"> </w:t>
            </w:r>
            <w:r>
              <w:t xml:space="preserve">level of school, total enrollment, geographic locale,</w:t>
            </w:r>
            <w:r>
              <w:t xml:space="preserve"> </w:t>
            </w:r>
            <w:r>
              <w:t xml:space="preserve">avg. SES status, unemployment rate, and four-year</w:t>
            </w:r>
            <w:r>
              <w:t xml:space="preserve"> </w:t>
            </w:r>
            <w:r>
              <w:t xml:space="preserve">college degree holding rate.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2025-03-04T23:24:25Z</dcterms:created>
  <dcterms:modified xsi:type="dcterms:W3CDTF">2025-03-04T23:24:25Z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