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2222"/>
        <w:tblLayout w:type="fixed"/>
        <w:tblLook w:firstRow="1" w:lastRow="1" w:firstColumn="0" w:lastColumn="0" w:noHBand="0" w:noVBand="0" w:val="0020"/>
      </w:tblPr>
      <w:tblGrid>
        <w:gridCol w:w="1980"/>
        <w:gridCol w:w="154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13532.67***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(110.58)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Early Education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-1959.04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(2219.01)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 School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1669.35***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(378.42)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Middle School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-1014.89***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(243.41)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0.053</w:t>
            </w:r>
          </w:p>
        </w:tc>
      </w:tr>
      <w:tr>
        <w:tc>
          <w:tcPr>
            <w:gridSpan w:val="2"/>
          </w:tcPr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p &lt; 0.1, * p &lt; 0.05, ** p</w:t>
            </w:r>
            <w:r>
              <w:t xml:space="preserve"> </w:t>
            </w:r>
            <w:r>
              <w:t xml:space="preserve">&lt; 0.01, *** p &lt; 0.001</w:t>
            </w:r>
          </w:p>
        </w:tc>
      </w:tr>
      <w:t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Cells report coefficients</w:t>
            </w:r>
            <w:r>
              <w:t xml:space="preserve"> </w:t>
            </w:r>
            <w:r>
              <w:t xml:space="preserve">and heteroscedastic-robust</w:t>
            </w:r>
            <w:r>
              <w:t xml:space="preserve"> </w:t>
            </w:r>
            <w:r>
              <w:t xml:space="preserve">standard errors in</w:t>
            </w:r>
            <w:r>
              <w:t xml:space="preserve"> </w:t>
            </w:r>
            <w:r>
              <w:t xml:space="preserve">parentheses. Each</w:t>
            </w:r>
            <w:r>
              <w:t xml:space="preserve"> </w:t>
            </w:r>
            <w:r>
              <w:t xml:space="preserve">observation is one school.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2025-03-04T23:23:10Z</dcterms:created>
  <dcterms:modified xsi:type="dcterms:W3CDTF">2025-03-04T23:23:10Z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