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33CAD5D1"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A903CE">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21D9C2F7"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64798A" w:rsidRPr="0064798A">
        <w:rPr>
          <w:rFonts w:ascii="inherit" w:eastAsia="Times New Roman" w:hAnsi="inherit" w:cs="Helvetica"/>
          <w:color w:val="333333"/>
          <w:sz w:val="27"/>
          <w:szCs w:val="27"/>
          <w:lang w:eastAsia="zh-CN"/>
        </w:rPr>
        <w:t>Does the relationship between school spending and school poverty rates differ across school grade-band levels?</w:t>
      </w:r>
    </w:p>
    <w:p w14:paraId="40A936E4" w14:textId="2BF2E49A"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1.1 </w:t>
      </w:r>
      <w:r w:rsidR="00B15696" w:rsidRPr="00B15696">
        <w:rPr>
          <w:rFonts w:ascii="Helvetica" w:hAnsi="Helvetica" w:cs="Helvetica"/>
          <w:color w:val="333333"/>
          <w:sz w:val="21"/>
          <w:szCs w:val="21"/>
          <w:shd w:val="clear" w:color="auto" w:fill="FFFFFF"/>
        </w:rPr>
        <w:t>State your null hypothesis regarding the above research question. (1 point)</w:t>
      </w:r>
    </w:p>
    <w:p w14:paraId="19710460" w14:textId="2D9F385E" w:rsidR="006264D3" w:rsidRDefault="00B15696" w:rsidP="00B15696">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w:t>
      </w:r>
      <w:r w:rsidR="003E0EA6">
        <w:rPr>
          <w:rStyle w:val="Strong"/>
          <w:rFonts w:ascii="Helvetica" w:hAnsi="Helvetica" w:cs="Helvetica"/>
          <w:b w:val="0"/>
          <w:color w:val="2E74B5" w:themeColor="accent5" w:themeShade="BF"/>
          <w:sz w:val="21"/>
          <w:szCs w:val="21"/>
          <w:shd w:val="clear" w:color="auto" w:fill="FFFFFF"/>
        </w:rPr>
        <w:t>the relationship between school family-poverty rates and per-pupil expenditure does not differ across school grade-band levels (</w:t>
      </w:r>
      <w:r>
        <w:rPr>
          <w:rStyle w:val="Strong"/>
          <w:rFonts w:ascii="Helvetica" w:hAnsi="Helvetica" w:cs="Helvetica"/>
          <w:b w:val="0"/>
          <w:color w:val="2E74B5" w:themeColor="accent5" w:themeShade="BF"/>
          <w:sz w:val="21"/>
          <w:szCs w:val="21"/>
          <w:shd w:val="clear" w:color="auto" w:fill="FFFFFF"/>
        </w:rPr>
        <w:t>early education, elem</w:t>
      </w:r>
      <w:r w:rsidR="003E0EA6">
        <w:rPr>
          <w:rStyle w:val="Strong"/>
          <w:rFonts w:ascii="Helvetica" w:hAnsi="Helvetica" w:cs="Helvetica"/>
          <w:b w:val="0"/>
          <w:color w:val="2E74B5" w:themeColor="accent5" w:themeShade="BF"/>
          <w:sz w:val="21"/>
          <w:szCs w:val="21"/>
          <w:shd w:val="clear" w:color="auto" w:fill="FFFFFF"/>
        </w:rPr>
        <w:t>entary, middle and high school). Formally:</w:t>
      </w:r>
    </w:p>
    <w:p w14:paraId="77DD1E13" w14:textId="7F5362C4" w:rsidR="003E0EA6" w:rsidRPr="00B15696" w:rsidRDefault="003E0EA6" w:rsidP="00B15696">
      <w:pPr>
        <w:shd w:val="clear" w:color="auto" w:fill="FFFFFF"/>
        <w:spacing w:after="150"/>
        <w:rPr>
          <w:rFonts w:ascii="Helvetica" w:hAnsi="Helvetica" w:cs="Helvetica"/>
          <w:bCs/>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H</w:t>
      </w:r>
      <w:r w:rsidRPr="003E0EA6">
        <w:rPr>
          <w:rStyle w:val="Strong"/>
          <w:rFonts w:ascii="Helvetica" w:hAnsi="Helvetica" w:cs="Helvetica"/>
          <w:b w:val="0"/>
          <w:color w:val="2E74B5" w:themeColor="accent5" w:themeShade="BF"/>
          <w:sz w:val="21"/>
          <w:szCs w:val="21"/>
          <w:shd w:val="clear" w:color="auto" w:fill="FFFFFF"/>
          <w:vertAlign w:val="subscript"/>
        </w:rPr>
        <w:t>0</w:t>
      </w:r>
      <w:r>
        <w:rPr>
          <w:rStyle w:val="Strong"/>
          <w:rFonts w:ascii="Helvetica" w:hAnsi="Helvetica" w:cs="Helvetica"/>
          <w:b w:val="0"/>
          <w:color w:val="2E74B5" w:themeColor="accent5" w:themeShade="BF"/>
          <w:sz w:val="21"/>
          <w:szCs w:val="21"/>
          <w:shd w:val="clear" w:color="auto" w:fill="FFFFFF"/>
        </w:rPr>
        <w:t xml:space="preserve"> =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earlyedXfrpl</w:t>
      </w:r>
      <w:proofErr w:type="spellEnd"/>
      <w:r w:rsidRPr="003E0EA6">
        <w:rPr>
          <w:rStyle w:val="Strong"/>
          <w:rFonts w:ascii="Times New Roman" w:hAnsi="Times New Roman" w:cs="Times New Roman"/>
          <w:b w:val="0"/>
          <w:i/>
          <w:color w:val="2E74B5" w:themeColor="accent5" w:themeShade="BF"/>
          <w:sz w:val="21"/>
          <w:szCs w:val="21"/>
          <w:shd w:val="clear" w:color="auto" w:fill="FFFFFF"/>
        </w:rPr>
        <w:t xml:space="preserve"> </w:t>
      </w:r>
      <w:r>
        <w:rPr>
          <w:rStyle w:val="Strong"/>
          <w:rFonts w:ascii="Times New Roman" w:hAnsi="Times New Roman" w:cs="Times New Roman"/>
          <w:b w:val="0"/>
          <w:color w:val="2E74B5" w:themeColor="accent5" w:themeShade="BF"/>
          <w:sz w:val="21"/>
          <w:szCs w:val="21"/>
          <w:shd w:val="clear" w:color="auto" w:fill="FFFFFF"/>
        </w:rPr>
        <w:t xml:space="preserve">=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elemXfrpl</w:t>
      </w:r>
      <w:proofErr w:type="spellEnd"/>
      <w:r w:rsidRPr="003E0EA6">
        <w:rPr>
          <w:rStyle w:val="Strong"/>
          <w:rFonts w:ascii="Times New Roman" w:hAnsi="Times New Roman" w:cs="Times New Roman"/>
          <w:b w:val="0"/>
          <w:i/>
          <w:color w:val="2E74B5" w:themeColor="accent5" w:themeShade="BF"/>
          <w:sz w:val="21"/>
          <w:szCs w:val="21"/>
          <w:shd w:val="clear" w:color="auto" w:fill="FFFFFF"/>
        </w:rPr>
        <w:t xml:space="preserve"> </w:t>
      </w:r>
      <w:r>
        <w:rPr>
          <w:rStyle w:val="Strong"/>
          <w:rFonts w:ascii="Times New Roman" w:hAnsi="Times New Roman" w:cs="Times New Roman"/>
          <w:b w:val="0"/>
          <w:color w:val="2E74B5" w:themeColor="accent5" w:themeShade="BF"/>
          <w:sz w:val="21"/>
          <w:szCs w:val="21"/>
          <w:shd w:val="clear" w:color="auto" w:fill="FFFFFF"/>
        </w:rPr>
        <w:t xml:space="preserve">=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middleXfrpl</w:t>
      </w:r>
      <w:proofErr w:type="spellEnd"/>
      <w:r>
        <w:rPr>
          <w:rStyle w:val="Strong"/>
          <w:rFonts w:ascii="Times New Roman" w:hAnsi="Times New Roman" w:cs="Times New Roman"/>
          <w:b w:val="0"/>
          <w:color w:val="2E74B5" w:themeColor="accent5" w:themeShade="BF"/>
          <w:sz w:val="21"/>
          <w:szCs w:val="21"/>
          <w:shd w:val="clear" w:color="auto" w:fill="FFFFFF"/>
        </w:rPr>
        <w:t xml:space="preserve"> =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highXfrpl</w:t>
      </w:r>
      <w:proofErr w:type="spellEnd"/>
      <w:r>
        <w:rPr>
          <w:rStyle w:val="Strong"/>
          <w:rFonts w:ascii="Times New Roman" w:hAnsi="Times New Roman" w:cs="Times New Roman"/>
          <w:b w:val="0"/>
          <w:color w:val="2E74B5" w:themeColor="accent5" w:themeShade="BF"/>
          <w:sz w:val="21"/>
          <w:szCs w:val="21"/>
          <w:shd w:val="clear" w:color="auto" w:fill="FFFFFF"/>
        </w:rPr>
        <w:t xml:space="preserve"> = 0</w:t>
      </w:r>
    </w:p>
    <w:p w14:paraId="2CD85700" w14:textId="092A7C97"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 xml:space="preserve">.2 </w:t>
      </w:r>
      <w:r w:rsidR="00B15696" w:rsidRPr="00B15696">
        <w:rPr>
          <w:rFonts w:ascii="Helvetica" w:hAnsi="Helvetica" w:cs="Helvetica"/>
          <w:color w:val="333333"/>
          <w:sz w:val="21"/>
          <w:szCs w:val="21"/>
          <w:shd w:val="clear" w:color="auto" w:fill="FFFFFF"/>
        </w:rPr>
        <w:t>Test your null hypothesis and present a table displaying the results of this test. Construct a fitted equation for each school level in order to interpret the results of your analysis. (2 points)</w:t>
      </w:r>
    </w:p>
    <w:p w14:paraId="6E1C1533" w14:textId="5D3CD7EB" w:rsidR="003E0EA6" w:rsidRDefault="003E0EA6" w:rsidP="003E0EA6">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reject our null hypothesis and conclude that the relationship between the proportion of students receiving free- and reduced-price lunch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in a school and the school’s </w:t>
      </w:r>
      <w:r w:rsidR="00B15696">
        <w:rPr>
          <w:rFonts w:ascii="Helvetica" w:eastAsia="Times New Roman" w:hAnsi="Helvetica" w:cs="Helvetica"/>
          <w:color w:val="2E74B5" w:themeColor="accent5" w:themeShade="BF"/>
          <w:sz w:val="21"/>
          <w:szCs w:val="21"/>
          <w:lang w:eastAsia="zh-CN"/>
        </w:rPr>
        <w:t xml:space="preserve">per-pupil expenditure </w:t>
      </w:r>
      <w:r>
        <w:rPr>
          <w:rFonts w:ascii="Helvetica" w:eastAsia="Times New Roman" w:hAnsi="Helvetica" w:cs="Helvetica"/>
          <w:color w:val="2E74B5" w:themeColor="accent5" w:themeShade="BF"/>
          <w:sz w:val="21"/>
          <w:szCs w:val="21"/>
          <w:lang w:eastAsia="zh-CN"/>
        </w:rPr>
        <w:t>(</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differs across grade levels. We present the results of our test in Table 1. In Model 1, we assess the bivariate relationship between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and estimate that schools that differ in their enrolled FRPL populations by 10 percentage points, on average, spend $263.43 more per child. In our test of the main effects of school level (Model 2), we find meaningful differences in spending across grade-bands. In Model 3, we </w:t>
      </w:r>
      <w:r w:rsidR="00B43793">
        <w:rPr>
          <w:rFonts w:ascii="Helvetica" w:eastAsia="Times New Roman" w:hAnsi="Helvetica" w:cs="Helvetica"/>
          <w:color w:val="2E74B5" w:themeColor="accent5" w:themeShade="BF"/>
          <w:sz w:val="21"/>
          <w:szCs w:val="21"/>
          <w:lang w:eastAsia="zh-CN"/>
        </w:rPr>
        <w:t>reject the</w:t>
      </w:r>
      <w:r>
        <w:rPr>
          <w:rFonts w:ascii="Helvetica" w:eastAsia="Times New Roman" w:hAnsi="Helvetica" w:cs="Helvetica"/>
          <w:color w:val="2E74B5" w:themeColor="accent5" w:themeShade="BF"/>
          <w:sz w:val="21"/>
          <w:szCs w:val="21"/>
          <w:lang w:eastAsia="zh-CN"/>
        </w:rPr>
        <w:t xml:space="preserve"> null hypothesis </w:t>
      </w:r>
      <w:r w:rsidR="00B43793">
        <w:rPr>
          <w:rFonts w:ascii="Helvetica" w:eastAsia="Times New Roman" w:hAnsi="Helvetica" w:cs="Helvetica"/>
          <w:color w:val="2E74B5" w:themeColor="accent5" w:themeShade="BF"/>
          <w:sz w:val="21"/>
          <w:szCs w:val="21"/>
          <w:lang w:eastAsia="zh-CN"/>
        </w:rPr>
        <w:t xml:space="preserve">(alpha=0.05) </w:t>
      </w:r>
      <w:r>
        <w:rPr>
          <w:rFonts w:ascii="Helvetica" w:eastAsia="Times New Roman" w:hAnsi="Helvetica" w:cs="Helvetica"/>
          <w:color w:val="2E74B5" w:themeColor="accent5" w:themeShade="BF"/>
          <w:sz w:val="21"/>
          <w:szCs w:val="21"/>
          <w:lang w:eastAsia="zh-CN"/>
        </w:rPr>
        <w:t xml:space="preserve">and conclude that there exist statistical differences in the relationship between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by school level.</w:t>
      </w:r>
    </w:p>
    <w:p w14:paraId="02342D0A" w14:textId="760A0ED0" w:rsidR="00B43793" w:rsidRDefault="00B43793" w:rsidP="003E0EA6">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particular, </w:t>
      </w:r>
      <w:r w:rsidR="00152759">
        <w:rPr>
          <w:rFonts w:ascii="Helvetica" w:eastAsia="Times New Roman" w:hAnsi="Helvetica" w:cs="Helvetica"/>
          <w:color w:val="2E74B5" w:themeColor="accent5" w:themeShade="BF"/>
          <w:sz w:val="21"/>
          <w:szCs w:val="21"/>
          <w:lang w:eastAsia="zh-CN"/>
        </w:rPr>
        <w:t xml:space="preserve">the magnitude of the relationship between FRPL and PPE is more than twice as big at the middle- and high-school levels </w:t>
      </w:r>
      <w:r w:rsidR="00722C7E">
        <w:rPr>
          <w:rFonts w:ascii="Helvetica" w:eastAsia="Times New Roman" w:hAnsi="Helvetica" w:cs="Helvetica"/>
          <w:color w:val="2E74B5" w:themeColor="accent5" w:themeShade="BF"/>
          <w:sz w:val="21"/>
          <w:szCs w:val="21"/>
          <w:lang w:eastAsia="zh-CN"/>
        </w:rPr>
        <w:t>than</w:t>
      </w:r>
      <w:r w:rsidR="00152759">
        <w:rPr>
          <w:rFonts w:ascii="Helvetica" w:eastAsia="Times New Roman" w:hAnsi="Helvetica" w:cs="Helvetica"/>
          <w:color w:val="2E74B5" w:themeColor="accent5" w:themeShade="BF"/>
          <w:sz w:val="21"/>
          <w:szCs w:val="21"/>
          <w:lang w:eastAsia="zh-CN"/>
        </w:rPr>
        <w:t xml:space="preserve"> it is at the elementary levels. Elementary schools that differ in their enrolled FRPL proportions by 10 percentage points will, on average, spend roughly $130 </w:t>
      </w:r>
      <w:r w:rsidR="00722C7E">
        <w:rPr>
          <w:rFonts w:ascii="Helvetica" w:eastAsia="Times New Roman" w:hAnsi="Helvetica" w:cs="Helvetica"/>
          <w:color w:val="2E74B5" w:themeColor="accent5" w:themeShade="BF"/>
          <w:sz w:val="21"/>
          <w:szCs w:val="21"/>
          <w:lang w:eastAsia="zh-CN"/>
        </w:rPr>
        <w:t xml:space="preserve">more </w:t>
      </w:r>
      <w:r w:rsidR="00152759">
        <w:rPr>
          <w:rFonts w:ascii="Helvetica" w:eastAsia="Times New Roman" w:hAnsi="Helvetica" w:cs="Helvetica"/>
          <w:color w:val="2E74B5" w:themeColor="accent5" w:themeShade="BF"/>
          <w:sz w:val="21"/>
          <w:szCs w:val="21"/>
          <w:lang w:eastAsia="zh-CN"/>
        </w:rPr>
        <w:t xml:space="preserve">per student; </w:t>
      </w:r>
      <w:proofErr w:type="gramStart"/>
      <w:r w:rsidR="00152759">
        <w:rPr>
          <w:rFonts w:ascii="Helvetica" w:eastAsia="Times New Roman" w:hAnsi="Helvetica" w:cs="Helvetica"/>
          <w:color w:val="2E74B5" w:themeColor="accent5" w:themeShade="BF"/>
          <w:sz w:val="21"/>
          <w:szCs w:val="21"/>
          <w:lang w:eastAsia="zh-CN"/>
        </w:rPr>
        <w:t>whereas,</w:t>
      </w:r>
      <w:proofErr w:type="gramEnd"/>
      <w:r w:rsidR="00152759">
        <w:rPr>
          <w:rFonts w:ascii="Helvetica" w:eastAsia="Times New Roman" w:hAnsi="Helvetica" w:cs="Helvetica"/>
          <w:color w:val="2E74B5" w:themeColor="accent5" w:themeShade="BF"/>
          <w:sz w:val="21"/>
          <w:szCs w:val="21"/>
          <w:lang w:eastAsia="zh-CN"/>
        </w:rPr>
        <w:t xml:space="preserve"> our models predict that middle and high schools that differ in their FRPL populations by the same amount have per-pupil expenditures that differ by roughly $400 or $470, respectively. We refrain from interpreting the coefficients on early education settings because there are only six such schools in our data.</w:t>
      </w:r>
    </w:p>
    <w:p w14:paraId="43BC6CA7" w14:textId="77777777" w:rsidR="00152759" w:rsidRDefault="00152759" w:rsidP="003E0EA6">
      <w:pPr>
        <w:shd w:val="clear" w:color="auto" w:fill="FFFFFF"/>
        <w:spacing w:after="150"/>
        <w:rPr>
          <w:rFonts w:ascii="Helvetica" w:eastAsia="Times New Roman" w:hAnsi="Helvetica" w:cs="Helvetica"/>
          <w:color w:val="2E74B5" w:themeColor="accent5" w:themeShade="BF"/>
          <w:sz w:val="21"/>
          <w:szCs w:val="21"/>
          <w:lang w:eastAsia="zh-CN"/>
        </w:rPr>
      </w:pPr>
    </w:p>
    <w:p w14:paraId="1013104C" w14:textId="0A218A1F" w:rsidR="00152759" w:rsidRPr="00152759" w:rsidRDefault="00152759" w:rsidP="003E0EA6">
      <w:pPr>
        <w:shd w:val="clear" w:color="auto" w:fill="FFFFFF"/>
        <w:spacing w:after="150"/>
        <w:rPr>
          <w:rFonts w:ascii="Helvetica" w:eastAsia="Times New Roman" w:hAnsi="Helvetica" w:cs="Helvetica"/>
          <w:b/>
          <w:color w:val="2E74B5" w:themeColor="accent5" w:themeShade="BF"/>
          <w:sz w:val="21"/>
          <w:szCs w:val="21"/>
          <w:lang w:eastAsia="zh-CN"/>
        </w:rPr>
      </w:pPr>
      <w:r w:rsidRPr="00152759">
        <w:rPr>
          <w:rFonts w:ascii="Helvetica" w:eastAsia="Times New Roman" w:hAnsi="Helvetica" w:cs="Helvetica"/>
          <w:b/>
          <w:color w:val="2E74B5" w:themeColor="accent5" w:themeShade="BF"/>
          <w:sz w:val="21"/>
          <w:szCs w:val="21"/>
          <w:lang w:eastAsia="zh-CN"/>
        </w:rPr>
        <w:t>Fitted equations:</w:t>
      </w:r>
    </w:p>
    <w:p w14:paraId="3C1785E3" w14:textId="22B12019" w:rsidR="003E0EA6" w:rsidRPr="003E0EA6" w:rsidRDefault="003B1BF5"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elem</m:t>
              </m:r>
            </m:sub>
          </m:sSub>
          <m:r>
            <w:rPr>
              <w:rFonts w:ascii="Cambria Math" w:eastAsia="Times New Roman" w:hAnsi="Cambria Math" w:cs="Helvetica"/>
              <w:color w:val="2E74B5" w:themeColor="accent5" w:themeShade="BF"/>
              <w:sz w:val="21"/>
              <w:szCs w:val="21"/>
              <w:lang w:eastAsia="zh-CN"/>
            </w:rPr>
            <m:t xml:space="preserve">=12748.86+1290.05*FRPL </m:t>
          </m:r>
        </m:oMath>
      </m:oMathPara>
    </w:p>
    <w:p w14:paraId="66306EEB" w14:textId="77777777" w:rsidR="00B43793" w:rsidRPr="00B43793" w:rsidRDefault="003B1BF5"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earlyed</m:t>
              </m:r>
            </m:sub>
          </m:sSub>
          <m:r>
            <w:rPr>
              <w:rFonts w:ascii="Cambria Math" w:eastAsia="Times New Roman" w:hAnsi="Cambria Math" w:cs="Helvetica"/>
              <w:color w:val="2E74B5" w:themeColor="accent5" w:themeShade="BF"/>
              <w:sz w:val="21"/>
              <w:szCs w:val="21"/>
              <w:lang w:eastAsia="zh-CN"/>
            </w:rPr>
            <m:t>=12748.86+1290.05*FRPL-12162.36+16981.72*FRPL</m:t>
          </m:r>
        </m:oMath>
      </m:oMathPara>
    </w:p>
    <w:p w14:paraId="5E265CF0" w14:textId="651F528B" w:rsidR="003E0EA6" w:rsidRPr="00B43793" w:rsidRDefault="003E0EA6" w:rsidP="00B43793">
      <w:pPr>
        <w:shd w:val="clear" w:color="auto" w:fill="FFFFFF"/>
        <w:spacing w:after="150"/>
        <w:ind w:left="144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=586.50+18271.77*FRPL</m:t>
          </m:r>
        </m:oMath>
      </m:oMathPara>
    </w:p>
    <w:p w14:paraId="085F8701" w14:textId="59A52DE5" w:rsidR="00B43793" w:rsidRPr="00B43793" w:rsidRDefault="003B1BF5" w:rsidP="00B43793">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middle</m:t>
              </m:r>
            </m:sub>
          </m:sSub>
          <m:r>
            <w:rPr>
              <w:rFonts w:ascii="Cambria Math" w:eastAsia="Times New Roman" w:hAnsi="Cambria Math" w:cs="Helvetica"/>
              <w:color w:val="2E74B5" w:themeColor="accent5" w:themeShade="BF"/>
              <w:sz w:val="21"/>
              <w:szCs w:val="21"/>
              <w:lang w:eastAsia="zh-CN"/>
            </w:rPr>
            <m:t>=12748.86+1290.05*FRPL-2230.96+2682.47*FRPL</m:t>
          </m:r>
        </m:oMath>
      </m:oMathPara>
    </w:p>
    <w:p w14:paraId="430F4B16" w14:textId="061A4526" w:rsidR="003E0EA6" w:rsidRPr="003E0EA6" w:rsidRDefault="00B43793" w:rsidP="00B43793">
      <w:pPr>
        <w:shd w:val="clear" w:color="auto" w:fill="FFFFFF"/>
        <w:spacing w:after="150"/>
        <w:ind w:left="1440" w:firstLine="72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=10517.90+3972.52*FRPL</m:t>
          </m:r>
        </m:oMath>
      </m:oMathPara>
    </w:p>
    <w:p w14:paraId="00293627" w14:textId="75E15EDB" w:rsidR="003E0EA6" w:rsidRPr="00B43793" w:rsidRDefault="003B1BF5"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high</m:t>
              </m:r>
            </m:sub>
          </m:sSub>
          <m:r>
            <w:rPr>
              <w:rFonts w:ascii="Cambria Math" w:eastAsia="Times New Roman" w:hAnsi="Cambria Math" w:cs="Helvetica"/>
              <w:color w:val="2E74B5" w:themeColor="accent5" w:themeShade="BF"/>
              <w:sz w:val="21"/>
              <w:szCs w:val="21"/>
              <w:lang w:eastAsia="zh-CN"/>
            </w:rPr>
            <m:t>=12748.86+1290.05*FRPL-7.15+3424.38*FRPL</m:t>
          </m:r>
        </m:oMath>
      </m:oMathPara>
    </w:p>
    <w:p w14:paraId="72F58541" w14:textId="15BDB9AF" w:rsidR="00B43793" w:rsidRPr="00B43793" w:rsidRDefault="00B43793" w:rsidP="00B43793">
      <w:pPr>
        <w:shd w:val="clear" w:color="auto" w:fill="FFFFFF"/>
        <w:spacing w:after="150"/>
        <w:ind w:left="144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=12741.71+4714.43*FRPL</m:t>
          </m:r>
        </m:oMath>
      </m:oMathPara>
    </w:p>
    <w:p w14:paraId="2CC5E9ED" w14:textId="77777777" w:rsidR="00B43793" w:rsidRPr="00B43793" w:rsidRDefault="00B43793" w:rsidP="003E0EA6">
      <w:pPr>
        <w:shd w:val="clear" w:color="auto" w:fill="FFFFFF"/>
        <w:spacing w:after="150"/>
        <w:rPr>
          <w:rFonts w:ascii="Helvetica" w:eastAsia="Times New Roman" w:hAnsi="Helvetica" w:cs="Helvetica"/>
          <w:color w:val="2E74B5" w:themeColor="accent5" w:themeShade="BF"/>
          <w:sz w:val="21"/>
          <w:szCs w:val="21"/>
          <w:lang w:eastAsia="zh-CN"/>
        </w:rPr>
      </w:pPr>
    </w:p>
    <w:p w14:paraId="7F19AB66" w14:textId="09C7410F" w:rsidR="00B15696" w:rsidRDefault="00B15696" w:rsidP="00B15696">
      <w:pPr>
        <w:keepNext/>
        <w:shd w:val="clear" w:color="auto" w:fill="FFFFFF"/>
        <w:spacing w:after="150"/>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lastRenderedPageBreak/>
        <w:t>Table 1</w:t>
      </w:r>
    </w:p>
    <w:p w14:paraId="73C23636" w14:textId="51E85DA2" w:rsidR="00B15696" w:rsidRPr="00B15696" w:rsidRDefault="00B15696" w:rsidP="00B15696">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w:t>
      </w:r>
      <w:r w:rsidR="00152759">
        <w:rPr>
          <w:rStyle w:val="Strong"/>
          <w:rFonts w:ascii="Helvetica" w:hAnsi="Helvetica" w:cs="Helvetica"/>
          <w:b w:val="0"/>
          <w:color w:val="2E74B5" w:themeColor="accent5" w:themeShade="BF"/>
          <w:sz w:val="21"/>
          <w:szCs w:val="21"/>
          <w:shd w:val="clear" w:color="auto" w:fill="FFFFFF"/>
        </w:rPr>
        <w:t>, by schooling level</w:t>
      </w:r>
      <w:r w:rsidRPr="00CB74D2">
        <w:rPr>
          <w:rStyle w:val="Strong"/>
          <w:rFonts w:ascii="Helvetica" w:hAnsi="Helvetica" w:cs="Helvetica"/>
          <w:b w:val="0"/>
          <w:color w:val="2E74B5" w:themeColor="accent5" w:themeShade="BF"/>
          <w:sz w:val="21"/>
          <w:szCs w:val="21"/>
          <w:shd w:val="clear" w:color="auto" w:fill="FFFFFF"/>
        </w:rPr>
        <w:t xml:space="preserve"> in Oregon public schools, 2018-19</w:t>
      </w:r>
    </w:p>
    <w:tbl>
      <w:tblPr>
        <w:tblW w:w="0" w:type="auto"/>
        <w:jc w:val="center"/>
        <w:tblLayout w:type="fixed"/>
        <w:tblLook w:val="0420" w:firstRow="1" w:lastRow="0" w:firstColumn="0" w:lastColumn="0" w:noHBand="0" w:noVBand="1"/>
      </w:tblPr>
      <w:tblGrid>
        <w:gridCol w:w="2326"/>
        <w:gridCol w:w="1696"/>
        <w:gridCol w:w="1696"/>
        <w:gridCol w:w="1699"/>
      </w:tblGrid>
      <w:tr w:rsidR="00B15696" w:rsidRPr="00B15696" w14:paraId="43014689" w14:textId="77777777" w:rsidTr="00B15696">
        <w:trPr>
          <w:trHeight w:val="20"/>
          <w:tblHeader/>
          <w:jc w:val="center"/>
        </w:trPr>
        <w:tc>
          <w:tcPr>
            <w:tcW w:w="232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0C798E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1441AE5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w:t>
            </w:r>
          </w:p>
        </w:tc>
        <w:tc>
          <w:tcPr>
            <w:tcW w:w="169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6C9D99B"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w:t>
            </w:r>
          </w:p>
        </w:tc>
        <w:tc>
          <w:tcPr>
            <w:tcW w:w="1699"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78ADEA4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w:t>
            </w:r>
          </w:p>
        </w:tc>
      </w:tr>
      <w:tr w:rsidR="00B15696" w:rsidRPr="00B15696" w14:paraId="67D3C6A4" w14:textId="77777777" w:rsidTr="00B15696">
        <w:trPr>
          <w:trHeight w:val="20"/>
          <w:jc w:val="center"/>
        </w:trPr>
        <w:tc>
          <w:tcPr>
            <w:tcW w:w="232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DE26"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(Intercept)</w:t>
            </w:r>
          </w:p>
        </w:tc>
        <w:tc>
          <w:tcPr>
            <w:tcW w:w="169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0C4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12226.90***</w:t>
            </w:r>
          </w:p>
        </w:tc>
        <w:tc>
          <w:tcPr>
            <w:tcW w:w="169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F92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13532.67***</w:t>
            </w:r>
          </w:p>
        </w:tc>
        <w:tc>
          <w:tcPr>
            <w:tcW w:w="169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F0F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12748.86***</w:t>
            </w:r>
          </w:p>
        </w:tc>
      </w:tr>
      <w:tr w:rsidR="00B15696" w:rsidRPr="00B15696" w14:paraId="4F9C4814"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6C4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AC7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(271.68)</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644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(110.58)</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1A4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(276.26)</w:t>
            </w:r>
          </w:p>
        </w:tc>
      </w:tr>
      <w:tr w:rsidR="00B15696" w:rsidRPr="00B15696" w14:paraId="6E3236E3"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5F903"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C87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2634.33***</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CADE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833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1290.05***</w:t>
            </w:r>
          </w:p>
        </w:tc>
      </w:tr>
      <w:tr w:rsidR="00B15696" w:rsidRPr="00B15696" w14:paraId="21D0CB17"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952F"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7E32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(427.86)</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1EFB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0654"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(377.57)</w:t>
            </w:r>
          </w:p>
        </w:tc>
      </w:tr>
      <w:tr w:rsidR="00B15696" w:rsidRPr="00B15696" w14:paraId="73204A57"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ED8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Early Education</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4020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746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-1959.04</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273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-12162.36*</w:t>
            </w:r>
          </w:p>
        </w:tc>
      </w:tr>
      <w:tr w:rsidR="00B15696" w:rsidRPr="00B15696" w14:paraId="02C632E4"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0D51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C3D0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3088"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(2219.01)</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5A134"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(5369.70)</w:t>
            </w:r>
          </w:p>
        </w:tc>
      </w:tr>
      <w:tr w:rsidR="00B15696" w:rsidRPr="00B15696" w14:paraId="4BC977F2"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16FE"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High School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D0A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AD1A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1669.35***</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AD927"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-7.15</w:t>
            </w:r>
          </w:p>
        </w:tc>
      </w:tr>
      <w:tr w:rsidR="00B15696" w:rsidRPr="00B15696" w14:paraId="7324E1A9"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636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E36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175E3"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(378.42)</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43C2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(805.88)</w:t>
            </w:r>
          </w:p>
        </w:tc>
      </w:tr>
      <w:tr w:rsidR="00B15696" w:rsidRPr="00B15696" w14:paraId="173ED5FF"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F878"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Middle School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F8F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391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-1014.89***</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39F3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-2230.96***</w:t>
            </w:r>
          </w:p>
        </w:tc>
      </w:tr>
      <w:tr w:rsidR="00B15696" w:rsidRPr="00B15696" w14:paraId="5E63FC19"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45E24"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88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7FFE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(243.41)</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FEEA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(549.41)</w:t>
            </w:r>
          </w:p>
        </w:tc>
      </w:tr>
      <w:tr w:rsidR="00B15696" w:rsidRPr="00B15696" w14:paraId="04041A98"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B2D1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Early Ed</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D954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DC4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7A5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16981.72**</w:t>
            </w:r>
          </w:p>
        </w:tc>
      </w:tr>
      <w:tr w:rsidR="00B15696" w:rsidRPr="00B15696" w14:paraId="12F58BBC"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F04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342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A96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F4C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(6469.01)</w:t>
            </w:r>
          </w:p>
        </w:tc>
      </w:tr>
      <w:tr w:rsidR="00B15696" w:rsidRPr="00B15696" w14:paraId="0E4A584E"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594D"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High</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CD0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AF263"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C68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3424.38*</w:t>
            </w:r>
          </w:p>
        </w:tc>
      </w:tr>
      <w:tr w:rsidR="00B15696" w:rsidRPr="00B15696" w14:paraId="30FC8993"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A565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F35A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012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A7D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(1482.83)</w:t>
            </w:r>
          </w:p>
        </w:tc>
      </w:tr>
      <w:tr w:rsidR="00B15696" w:rsidRPr="00B15696" w14:paraId="4E935A88"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A06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Middle</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43448"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961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7AF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2682.47**</w:t>
            </w:r>
          </w:p>
        </w:tc>
      </w:tr>
      <w:tr w:rsidR="00B15696" w:rsidRPr="00B15696" w14:paraId="46B403DE" w14:textId="77777777" w:rsidTr="00B15696">
        <w:trPr>
          <w:trHeight w:val="20"/>
          <w:jc w:val="center"/>
        </w:trPr>
        <w:tc>
          <w:tcPr>
            <w:tcW w:w="232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0501B4"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91F184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8F2427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0ED9D2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(877.41)</w:t>
            </w:r>
          </w:p>
        </w:tc>
      </w:tr>
      <w:tr w:rsidR="00B15696" w:rsidRPr="00B15696" w14:paraId="74301A85" w14:textId="77777777" w:rsidTr="00B15696">
        <w:trPr>
          <w:trHeight w:val="20"/>
          <w:jc w:val="center"/>
        </w:trPr>
        <w:tc>
          <w:tcPr>
            <w:tcW w:w="2326" w:type="dxa"/>
            <w:tcBorders>
              <w:top w:val="single" w:sz="4" w:space="0" w:color="auto"/>
            </w:tcBorders>
            <w:shd w:val="clear" w:color="auto" w:fill="FFFFFF"/>
            <w:tcMar>
              <w:top w:w="0" w:type="dxa"/>
              <w:left w:w="0" w:type="dxa"/>
              <w:bottom w:w="0" w:type="dxa"/>
              <w:right w:w="0" w:type="dxa"/>
            </w:tcMar>
            <w:vAlign w:val="center"/>
          </w:tcPr>
          <w:p w14:paraId="030535C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roofErr w:type="spellStart"/>
            <w:r w:rsidRPr="00B15696">
              <w:rPr>
                <w:rFonts w:ascii="Arial" w:eastAsia="Arial" w:hAnsi="Arial" w:cs="Arial"/>
                <w:color w:val="2E74B5" w:themeColor="accent5" w:themeShade="BF"/>
                <w:sz w:val="21"/>
                <w:szCs w:val="21"/>
              </w:rPr>
              <w:t>Num.Obs</w:t>
            </w:r>
            <w:proofErr w:type="spellEnd"/>
            <w:r w:rsidRPr="00B15696">
              <w:rPr>
                <w:rFonts w:ascii="Arial" w:eastAsia="Arial" w:hAnsi="Arial" w:cs="Arial"/>
                <w:color w:val="2E74B5" w:themeColor="accent5" w:themeShade="BF"/>
                <w:sz w:val="21"/>
                <w:szCs w:val="21"/>
              </w:rPr>
              <w:t>.</w:t>
            </w:r>
          </w:p>
        </w:tc>
        <w:tc>
          <w:tcPr>
            <w:tcW w:w="1696" w:type="dxa"/>
            <w:tcBorders>
              <w:top w:val="single" w:sz="4" w:space="0" w:color="auto"/>
            </w:tcBorders>
            <w:shd w:val="clear" w:color="auto" w:fill="FFFFFF"/>
            <w:tcMar>
              <w:top w:w="0" w:type="dxa"/>
              <w:left w:w="0" w:type="dxa"/>
              <w:bottom w:w="0" w:type="dxa"/>
              <w:right w:w="0" w:type="dxa"/>
            </w:tcMar>
            <w:vAlign w:val="center"/>
          </w:tcPr>
          <w:p w14:paraId="79ED4D9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c>
          <w:tcPr>
            <w:tcW w:w="1696" w:type="dxa"/>
            <w:tcBorders>
              <w:top w:val="single" w:sz="4" w:space="0" w:color="auto"/>
            </w:tcBorders>
            <w:shd w:val="clear" w:color="auto" w:fill="FFFFFF"/>
            <w:tcMar>
              <w:top w:w="0" w:type="dxa"/>
              <w:left w:w="0" w:type="dxa"/>
              <w:bottom w:w="0" w:type="dxa"/>
              <w:right w:w="0" w:type="dxa"/>
            </w:tcMar>
            <w:vAlign w:val="center"/>
          </w:tcPr>
          <w:p w14:paraId="1FC57C9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c>
          <w:tcPr>
            <w:tcW w:w="1699" w:type="dxa"/>
            <w:tcBorders>
              <w:top w:val="single" w:sz="4" w:space="0" w:color="auto"/>
            </w:tcBorders>
            <w:shd w:val="clear" w:color="auto" w:fill="FFFFFF"/>
            <w:tcMar>
              <w:top w:w="0" w:type="dxa"/>
              <w:left w:w="0" w:type="dxa"/>
              <w:bottom w:w="0" w:type="dxa"/>
              <w:right w:w="0" w:type="dxa"/>
            </w:tcMar>
            <w:vAlign w:val="center"/>
          </w:tcPr>
          <w:p w14:paraId="764946D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r>
      <w:tr w:rsidR="00B15696" w:rsidRPr="00B15696" w14:paraId="26B394CF" w14:textId="77777777" w:rsidTr="00B15696">
        <w:trPr>
          <w:trHeight w:val="20"/>
          <w:jc w:val="center"/>
        </w:trPr>
        <w:tc>
          <w:tcPr>
            <w:tcW w:w="2326" w:type="dxa"/>
            <w:tcBorders>
              <w:bottom w:val="double" w:sz="4" w:space="0" w:color="auto"/>
            </w:tcBorders>
            <w:shd w:val="clear" w:color="auto" w:fill="FFFFFF"/>
            <w:tcMar>
              <w:top w:w="0" w:type="dxa"/>
              <w:left w:w="0" w:type="dxa"/>
              <w:bottom w:w="0" w:type="dxa"/>
              <w:right w:w="0" w:type="dxa"/>
            </w:tcMar>
            <w:vAlign w:val="center"/>
          </w:tcPr>
          <w:p w14:paraId="74764DEF"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R2</w:t>
            </w:r>
          </w:p>
        </w:tc>
        <w:tc>
          <w:tcPr>
            <w:tcW w:w="1696" w:type="dxa"/>
            <w:tcBorders>
              <w:bottom w:val="double" w:sz="4" w:space="0" w:color="auto"/>
            </w:tcBorders>
            <w:shd w:val="clear" w:color="auto" w:fill="FFFFFF"/>
            <w:tcMar>
              <w:top w:w="0" w:type="dxa"/>
              <w:left w:w="0" w:type="dxa"/>
              <w:bottom w:w="0" w:type="dxa"/>
              <w:right w:w="0" w:type="dxa"/>
            </w:tcMar>
            <w:vAlign w:val="center"/>
          </w:tcPr>
          <w:p w14:paraId="7998C02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0.034</w:t>
            </w:r>
          </w:p>
        </w:tc>
        <w:tc>
          <w:tcPr>
            <w:tcW w:w="1696" w:type="dxa"/>
            <w:tcBorders>
              <w:bottom w:val="double" w:sz="4" w:space="0" w:color="auto"/>
            </w:tcBorders>
            <w:shd w:val="clear" w:color="auto" w:fill="FFFFFF"/>
            <w:tcMar>
              <w:top w:w="0" w:type="dxa"/>
              <w:left w:w="0" w:type="dxa"/>
              <w:bottom w:w="0" w:type="dxa"/>
              <w:right w:w="0" w:type="dxa"/>
            </w:tcMar>
            <w:vAlign w:val="center"/>
          </w:tcPr>
          <w:p w14:paraId="740FD1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0.053</w:t>
            </w:r>
          </w:p>
        </w:tc>
        <w:tc>
          <w:tcPr>
            <w:tcW w:w="1699" w:type="dxa"/>
            <w:tcBorders>
              <w:bottom w:val="double" w:sz="4" w:space="0" w:color="auto"/>
            </w:tcBorders>
            <w:shd w:val="clear" w:color="auto" w:fill="FFFFFF"/>
            <w:tcMar>
              <w:top w:w="0" w:type="dxa"/>
              <w:left w:w="0" w:type="dxa"/>
              <w:bottom w:w="0" w:type="dxa"/>
              <w:right w:w="0" w:type="dxa"/>
            </w:tcMar>
            <w:vAlign w:val="center"/>
          </w:tcPr>
          <w:p w14:paraId="1DDF9DC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0.102</w:t>
            </w:r>
          </w:p>
        </w:tc>
      </w:tr>
      <w:tr w:rsidR="00B15696" w:rsidRPr="00B15696" w14:paraId="5F67334C" w14:textId="77777777" w:rsidTr="00B15696">
        <w:trPr>
          <w:trHeight w:val="20"/>
          <w:jc w:val="center"/>
        </w:trPr>
        <w:tc>
          <w:tcPr>
            <w:tcW w:w="7417" w:type="dxa"/>
            <w:gridSpan w:val="4"/>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609CAB" w14:textId="5A23697F"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both"/>
              <w:rPr>
                <w:rFonts w:ascii="Arial" w:hAnsi="Arial" w:cs="Arial"/>
                <w:color w:val="2E74B5" w:themeColor="accent5" w:themeShade="BF"/>
                <w:sz w:val="18"/>
                <w:szCs w:val="18"/>
              </w:rPr>
            </w:pPr>
            <w:r w:rsidRPr="00B15696">
              <w:rPr>
                <w:rFonts w:ascii="Arial" w:eastAsia="Arial" w:hAnsi="Arial" w:cs="Arial"/>
                <w:i/>
                <w:color w:val="2E74B5" w:themeColor="accent5" w:themeShade="BF"/>
                <w:sz w:val="18"/>
                <w:szCs w:val="18"/>
              </w:rPr>
              <w:t>Notes</w:t>
            </w:r>
            <w:r w:rsidRPr="00B15696">
              <w:rPr>
                <w:rFonts w:ascii="Arial" w:eastAsia="Arial" w:hAnsi="Arial" w:cs="Arial"/>
                <w:color w:val="2E74B5" w:themeColor="accent5" w:themeShade="BF"/>
                <w:sz w:val="18"/>
                <w:szCs w:val="18"/>
              </w:rPr>
              <w:t xml:space="preserve">: + p &lt; 0.1, * p &lt; 0.05, ** p &lt; 0.01, *** p &lt; 0.001. Cells report coefficients and heteroscedastic-robust standard errors in parentheses. </w:t>
            </w:r>
            <w:r>
              <w:rPr>
                <w:rFonts w:ascii="Arial" w:eastAsia="Arial" w:hAnsi="Arial" w:cs="Arial"/>
                <w:color w:val="2E74B5" w:themeColor="accent5" w:themeShade="BF"/>
                <w:sz w:val="18"/>
                <w:szCs w:val="18"/>
              </w:rPr>
              <w:t xml:space="preserve">Reference category is Elementary schools. </w:t>
            </w:r>
            <w:r w:rsidRPr="00B15696">
              <w:rPr>
                <w:rFonts w:ascii="Arial" w:eastAsia="Arial" w:hAnsi="Arial" w:cs="Arial"/>
                <w:color w:val="2E74B5" w:themeColor="accent5" w:themeShade="BF"/>
                <w:sz w:val="18"/>
                <w:szCs w:val="18"/>
              </w:rPr>
              <w:t>Each observation is one school.</w:t>
            </w:r>
          </w:p>
        </w:tc>
      </w:tr>
    </w:tbl>
    <w:p w14:paraId="18057143" w14:textId="02495BA6" w:rsidR="00B15696" w:rsidRPr="00B15696" w:rsidRDefault="00B15696"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05E2D0D4" w14:textId="5AEAFB14" w:rsidR="00B15696" w:rsidRDefault="00B15696" w:rsidP="00B15696">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1.3 </w:t>
      </w:r>
      <w:r w:rsidRPr="00B15696">
        <w:rPr>
          <w:rFonts w:ascii="Helvetica" w:hAnsi="Helvetica" w:cs="Helvetica"/>
          <w:color w:val="333333"/>
          <w:sz w:val="21"/>
          <w:szCs w:val="21"/>
          <w:shd w:val="clear" w:color="auto" w:fill="FFFFFF"/>
        </w:rPr>
        <w:t xml:space="preserve">Construct a plot of the (potentially) differing relationship between </w:t>
      </w:r>
      <w:proofErr w:type="spellStart"/>
      <w:r w:rsidRPr="00B15696">
        <w:rPr>
          <w:rFonts w:ascii="Helvetica" w:hAnsi="Helvetica" w:cs="Helvetica"/>
          <w:i/>
          <w:color w:val="333333"/>
          <w:sz w:val="21"/>
          <w:szCs w:val="21"/>
          <w:shd w:val="clear" w:color="auto" w:fill="FFFFFF"/>
        </w:rPr>
        <w:t>ppe</w:t>
      </w:r>
      <w:proofErr w:type="spellEnd"/>
      <w:r w:rsidRPr="00B15696">
        <w:rPr>
          <w:rFonts w:ascii="Helvetica" w:hAnsi="Helvetica" w:cs="Helvetica"/>
          <w:color w:val="333333"/>
          <w:sz w:val="21"/>
          <w:szCs w:val="21"/>
          <w:shd w:val="clear" w:color="auto" w:fill="FFFFFF"/>
        </w:rPr>
        <w:t xml:space="preserve"> and </w:t>
      </w:r>
      <w:proofErr w:type="spellStart"/>
      <w:r w:rsidRPr="00B15696">
        <w:rPr>
          <w:rFonts w:ascii="Helvetica" w:hAnsi="Helvetica" w:cs="Helvetica"/>
          <w:i/>
          <w:color w:val="333333"/>
          <w:sz w:val="21"/>
          <w:szCs w:val="21"/>
          <w:shd w:val="clear" w:color="auto" w:fill="FFFFFF"/>
        </w:rPr>
        <w:t>frpl</w:t>
      </w:r>
      <w:proofErr w:type="spellEnd"/>
      <w:r w:rsidRPr="00B15696">
        <w:rPr>
          <w:rFonts w:ascii="Helvetica" w:hAnsi="Helvetica" w:cs="Helvetica"/>
          <w:color w:val="333333"/>
          <w:sz w:val="21"/>
          <w:szCs w:val="21"/>
          <w:shd w:val="clear" w:color="auto" w:fill="FFFFFF"/>
        </w:rPr>
        <w:t xml:space="preserve"> by school-grade-band level. Include confidence intervals on the plot. Interpret the plot. (</w:t>
      </w:r>
      <w:r w:rsidR="00253C31">
        <w:rPr>
          <w:rFonts w:ascii="Helvetica" w:hAnsi="Helvetica" w:cs="Helvetica"/>
          <w:color w:val="333333"/>
          <w:sz w:val="21"/>
          <w:szCs w:val="21"/>
          <w:shd w:val="clear" w:color="auto" w:fill="FFFFFF"/>
        </w:rPr>
        <w:t>3</w:t>
      </w:r>
      <w:r w:rsidRPr="00B15696">
        <w:rPr>
          <w:rFonts w:ascii="Helvetica" w:hAnsi="Helvetica" w:cs="Helvetica"/>
          <w:color w:val="333333"/>
          <w:sz w:val="21"/>
          <w:szCs w:val="21"/>
          <w:shd w:val="clear" w:color="auto" w:fill="FFFFFF"/>
        </w:rPr>
        <w:t xml:space="preserve"> points)</w:t>
      </w:r>
    </w:p>
    <w:p w14:paraId="71325C06" w14:textId="44108765" w:rsidR="00152759" w:rsidRPr="00152759" w:rsidRDefault="00152759" w:rsidP="00561120">
      <w:pPr>
        <w:shd w:val="clear" w:color="auto" w:fill="FFFFFF"/>
        <w:spacing w:after="150"/>
        <w:rPr>
          <w:rFonts w:ascii="Helvetica" w:eastAsia="Times New Roman" w:hAnsi="Helvetica" w:cs="Helvetica"/>
          <w:color w:val="2E74B5" w:themeColor="accent5" w:themeShade="BF"/>
          <w:sz w:val="21"/>
          <w:szCs w:val="21"/>
          <w:lang w:eastAsia="zh-CN"/>
        </w:rPr>
      </w:pPr>
      <w:r w:rsidRPr="00152759">
        <w:rPr>
          <w:rFonts w:ascii="Helvetica" w:eastAsia="Times New Roman" w:hAnsi="Helvetica" w:cs="Helvetica"/>
          <w:color w:val="2E74B5" w:themeColor="accent5" w:themeShade="BF"/>
          <w:sz w:val="21"/>
          <w:szCs w:val="21"/>
          <w:lang w:eastAsia="zh-CN"/>
        </w:rPr>
        <w:t xml:space="preserve">In Figure 1, </w:t>
      </w:r>
      <w:r>
        <w:rPr>
          <w:rFonts w:ascii="Helvetica" w:eastAsia="Times New Roman" w:hAnsi="Helvetica" w:cs="Helvetica"/>
          <w:color w:val="2E74B5" w:themeColor="accent5" w:themeShade="BF"/>
          <w:sz w:val="21"/>
          <w:szCs w:val="21"/>
          <w:lang w:eastAsia="zh-CN"/>
        </w:rPr>
        <w:t xml:space="preserve">we plot the fitted relationship between the proportion of students receiving FRPL in a school and the school’s per-pupil expenditure, by grade level. Again, we restrict our analyses to elementary, middle and high schools due to the very few early education schools in our sample. As Figure 1 highlights, the relationship between </w:t>
      </w:r>
      <w:r w:rsidRPr="00152759">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and </w:t>
      </w:r>
      <w:r w:rsidRPr="00152759">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differs meaningfully by grade level. Elementary schools have a much more uniform level of spending, irrespective of their low-family-</w:t>
      </w:r>
      <w:r>
        <w:rPr>
          <w:rFonts w:ascii="Helvetica" w:eastAsia="Times New Roman" w:hAnsi="Helvetica" w:cs="Helvetica"/>
          <w:color w:val="2E74B5" w:themeColor="accent5" w:themeShade="BF"/>
          <w:sz w:val="21"/>
          <w:szCs w:val="21"/>
          <w:lang w:eastAsia="zh-CN"/>
        </w:rPr>
        <w:lastRenderedPageBreak/>
        <w:t xml:space="preserve">income composition. The magnitude of the relationship between </w:t>
      </w:r>
      <w:r w:rsidRPr="00152759">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152759">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much </w:t>
      </w:r>
      <w:r w:rsidR="00EE7985">
        <w:rPr>
          <w:rFonts w:ascii="Helvetica" w:eastAsia="Times New Roman" w:hAnsi="Helvetica" w:cs="Helvetica"/>
          <w:color w:val="2E74B5" w:themeColor="accent5" w:themeShade="BF"/>
          <w:sz w:val="21"/>
          <w:szCs w:val="21"/>
          <w:lang w:eastAsia="zh-CN"/>
        </w:rPr>
        <w:t>larger</w:t>
      </w:r>
      <w:r>
        <w:rPr>
          <w:rFonts w:ascii="Helvetica" w:eastAsia="Times New Roman" w:hAnsi="Helvetica" w:cs="Helvetica"/>
          <w:color w:val="2E74B5" w:themeColor="accent5" w:themeShade="BF"/>
          <w:sz w:val="21"/>
          <w:szCs w:val="21"/>
          <w:lang w:eastAsia="zh-CN"/>
        </w:rPr>
        <w:t xml:space="preserve"> for middle and high schools, as compared to elementary schools.</w:t>
      </w:r>
    </w:p>
    <w:p w14:paraId="6F138F35" w14:textId="4B21F7F5" w:rsidR="00561120" w:rsidRPr="00561120" w:rsidRDefault="00561120" w:rsidP="00152759">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470F20BC" w:rsidR="00561120" w:rsidRDefault="00E94A67" w:rsidP="00152759">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Relationship between rate of school-level free-and reduced-price lunch (FRPL) receipt and predicted per-pupil expenditure (PPE) at different grade levels of schooling for</w:t>
      </w:r>
      <w:r w:rsidR="00D127C1">
        <w:rPr>
          <w:rFonts w:ascii="Helvetica" w:eastAsia="Times New Roman" w:hAnsi="Helvetica" w:cs="Helvetica"/>
          <w:i/>
          <w:color w:val="2E74B5" w:themeColor="accent5" w:themeShade="BF"/>
          <w:sz w:val="21"/>
          <w:szCs w:val="21"/>
          <w:lang w:eastAsia="zh-CN"/>
        </w:rPr>
        <w:t xml:space="preserve"> Oregon public schools, 2018-19</w:t>
      </w:r>
    </w:p>
    <w:p w14:paraId="03FF2083" w14:textId="438BF686" w:rsidR="00B15696" w:rsidRPr="00B15696" w:rsidRDefault="00B15696" w:rsidP="00B15696">
      <w:pPr>
        <w:shd w:val="clear" w:color="auto" w:fill="FFFFFF"/>
        <w:spacing w:after="150"/>
        <w:jc w:val="center"/>
        <w:rPr>
          <w:rFonts w:ascii="Helvetica" w:eastAsia="Times New Roman" w:hAnsi="Helvetica" w:cs="Helvetica"/>
          <w:color w:val="2E74B5" w:themeColor="accent5" w:themeShade="BF"/>
          <w:sz w:val="21"/>
          <w:szCs w:val="21"/>
          <w:lang w:eastAsia="zh-CN"/>
        </w:rPr>
      </w:pPr>
      <w:r>
        <w:rPr>
          <w:rFonts w:ascii="Helvetica" w:eastAsia="Times New Roman" w:hAnsi="Helvetica" w:cs="Helvetica"/>
          <w:noProof/>
          <w:color w:val="2E74B5" w:themeColor="accent5" w:themeShade="BF"/>
          <w:sz w:val="21"/>
          <w:szCs w:val="21"/>
        </w:rPr>
        <w:drawing>
          <wp:inline distT="0" distB="0" distL="0" distR="0" wp14:anchorId="6B7D5B94" wp14:editId="2DC6366C">
            <wp:extent cx="4889137" cy="3200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_5_prototypic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9137" cy="3200123"/>
                    </a:xfrm>
                    <a:prstGeom prst="rect">
                      <a:avLst/>
                    </a:prstGeom>
                  </pic:spPr>
                </pic:pic>
              </a:graphicData>
            </a:graphic>
          </wp:inline>
        </w:drawing>
      </w:r>
    </w:p>
    <w:p w14:paraId="2E67BE92" w14:textId="280EC8A6" w:rsidR="007D5AF7" w:rsidRDefault="00B15696" w:rsidP="00152759">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hAnsi="Helvetica" w:cs="Helvetica"/>
          <w:color w:val="333333"/>
          <w:sz w:val="21"/>
          <w:szCs w:val="21"/>
          <w:shd w:val="clear" w:color="auto" w:fill="FFFFFF"/>
        </w:rPr>
        <w:t>1.4 Describe how the results of your analysis in these questions differ from your analysis in Questions 2.1 - 2.4 on your previous assignment. </w:t>
      </w:r>
      <w:r w:rsidRPr="00B15696">
        <w:rPr>
          <w:rStyle w:val="Strong"/>
          <w:rFonts w:ascii="Helvetica" w:hAnsi="Helvetica" w:cs="Helvetica"/>
          <w:b w:val="0"/>
          <w:color w:val="333333"/>
          <w:sz w:val="21"/>
          <w:szCs w:val="21"/>
          <w:shd w:val="clear" w:color="auto" w:fill="FFFFFF"/>
        </w:rPr>
        <w:t>(1 point)</w:t>
      </w:r>
    </w:p>
    <w:p w14:paraId="5A345208" w14:textId="1D49E03C" w:rsidR="00152759" w:rsidRPr="00152759" w:rsidRDefault="00152759" w:rsidP="00152759">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Whereas our prior analysis in Assignment </w:t>
      </w:r>
      <w:r w:rsidR="00D7286F">
        <w:rPr>
          <w:rFonts w:ascii="Helvetica" w:eastAsia="Times New Roman" w:hAnsi="Helvetica" w:cs="Helvetica"/>
          <w:color w:val="2E74B5" w:themeColor="accent5" w:themeShade="BF"/>
          <w:sz w:val="21"/>
          <w:szCs w:val="21"/>
          <w:lang w:eastAsia="zh-CN"/>
        </w:rPr>
        <w:t>3</w:t>
      </w:r>
      <w:r>
        <w:rPr>
          <w:rFonts w:ascii="Helvetica" w:eastAsia="Times New Roman" w:hAnsi="Helvetica" w:cs="Helvetica"/>
          <w:color w:val="2E74B5" w:themeColor="accent5" w:themeShade="BF"/>
          <w:sz w:val="21"/>
          <w:szCs w:val="21"/>
          <w:lang w:eastAsia="zh-CN"/>
        </w:rPr>
        <w:t xml:space="preserve"> examined whether spending levels differed, on average, by the level of the school, the analysis</w:t>
      </w:r>
      <w:r w:rsidR="00E94A67">
        <w:rPr>
          <w:rFonts w:ascii="Helvetica" w:eastAsia="Times New Roman" w:hAnsi="Helvetica" w:cs="Helvetica"/>
          <w:color w:val="2E74B5" w:themeColor="accent5" w:themeShade="BF"/>
          <w:sz w:val="21"/>
          <w:szCs w:val="21"/>
          <w:lang w:eastAsia="zh-CN"/>
        </w:rPr>
        <w:t xml:space="preserve"> in this assignment</w:t>
      </w:r>
      <w:r>
        <w:rPr>
          <w:rFonts w:ascii="Helvetica" w:eastAsia="Times New Roman" w:hAnsi="Helvetica" w:cs="Helvetica"/>
          <w:color w:val="2E74B5" w:themeColor="accent5" w:themeShade="BF"/>
          <w:sz w:val="21"/>
          <w:szCs w:val="21"/>
          <w:lang w:eastAsia="zh-CN"/>
        </w:rPr>
        <w:t xml:space="preserve"> examines whether the relationship between the proportion of students receiving FRPL and per-pupil expenditures differs by the grade-level of the school. In f</w:t>
      </w:r>
      <w:r w:rsidR="00E94A67">
        <w:rPr>
          <w:rFonts w:ascii="Helvetica" w:eastAsia="Times New Roman" w:hAnsi="Helvetica" w:cs="Helvetica"/>
          <w:color w:val="2E74B5" w:themeColor="accent5" w:themeShade="BF"/>
          <w:sz w:val="21"/>
          <w:szCs w:val="21"/>
          <w:lang w:eastAsia="zh-CN"/>
        </w:rPr>
        <w:t xml:space="preserve">ormal terms, our prior assignments </w:t>
      </w:r>
      <w:r>
        <w:rPr>
          <w:rFonts w:ascii="Helvetica" w:eastAsia="Times New Roman" w:hAnsi="Helvetica" w:cs="Helvetica"/>
          <w:color w:val="2E74B5" w:themeColor="accent5" w:themeShade="BF"/>
          <w:sz w:val="21"/>
          <w:szCs w:val="21"/>
          <w:lang w:eastAsia="zh-CN"/>
        </w:rPr>
        <w:t>tested the main effects</w:t>
      </w:r>
      <w:r w:rsidR="00E94A67">
        <w:rPr>
          <w:rFonts w:ascii="Helvetica" w:eastAsia="Times New Roman" w:hAnsi="Helvetica" w:cs="Helvetica"/>
          <w:color w:val="2E74B5" w:themeColor="accent5" w:themeShade="BF"/>
          <w:sz w:val="21"/>
          <w:szCs w:val="21"/>
          <w:lang w:eastAsia="zh-CN"/>
        </w:rPr>
        <w:t xml:space="preserve"> of grade-level and FRPL, whereas in this assignment, we are testing an interaction model between grade-level and FRPL.</w:t>
      </w:r>
    </w:p>
    <w:p w14:paraId="75AE14DB" w14:textId="4438E560"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sidR="00B15696" w:rsidRPr="00B15696">
        <w:rPr>
          <w:rFonts w:ascii="inherit" w:eastAsia="Times New Roman" w:hAnsi="inherit" w:cs="Helvetica"/>
          <w:color w:val="333333"/>
          <w:sz w:val="27"/>
          <w:szCs w:val="27"/>
          <w:lang w:eastAsia="zh-CN"/>
        </w:rPr>
        <w:t>Does the relationship between school spending and school poverty rates differ by school size (enrollment)?</w:t>
      </w:r>
    </w:p>
    <w:p w14:paraId="1EA57B0E" w14:textId="6613BB84" w:rsidR="00B15696" w:rsidRDefault="00B15696" w:rsidP="00B15696">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2.1 </w:t>
      </w:r>
      <w:r w:rsidRPr="00B15696">
        <w:rPr>
          <w:rFonts w:ascii="Helvetica" w:hAnsi="Helvetica" w:cs="Helvetica"/>
          <w:color w:val="333333"/>
          <w:sz w:val="21"/>
          <w:szCs w:val="21"/>
          <w:shd w:val="clear" w:color="auto" w:fill="FFFFFF"/>
        </w:rPr>
        <w:t>State your null hypothesis regarding the above research question. (1 point)</w:t>
      </w:r>
    </w:p>
    <w:p w14:paraId="79B35E64" w14:textId="4A266F86" w:rsidR="00E94A67" w:rsidRDefault="00E94A67" w:rsidP="00E94A67">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In the population of Oregon public schools, the relationship between school family-poverty rates and per-pupil expenditure does not differ by school size (total enrollment). Formally:</w:t>
      </w:r>
    </w:p>
    <w:p w14:paraId="207369B3" w14:textId="64E1E663" w:rsidR="00E94A67" w:rsidRDefault="00E94A67" w:rsidP="00E94A67">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H0: </w:t>
      </w:r>
      <w:r w:rsidRPr="00E94A67">
        <w:rPr>
          <w:rStyle w:val="Strong"/>
          <w:rFonts w:ascii="Times New Roman" w:hAnsi="Times New Roman" w:cs="Times New Roman"/>
          <w:b w:val="0"/>
          <w:i/>
          <w:color w:val="2E74B5" w:themeColor="accent5" w:themeShade="BF"/>
          <w:sz w:val="21"/>
          <w:szCs w:val="21"/>
          <w:shd w:val="clear" w:color="auto" w:fill="FFFFFF"/>
        </w:rPr>
        <w:t>β</w:t>
      </w:r>
      <w:proofErr w:type="spellStart"/>
      <w:r w:rsidRPr="00E94A67">
        <w:rPr>
          <w:rStyle w:val="Strong"/>
          <w:rFonts w:ascii="Helvetica" w:hAnsi="Helvetica" w:cs="Helvetica"/>
          <w:b w:val="0"/>
          <w:i/>
          <w:color w:val="2E74B5" w:themeColor="accent5" w:themeShade="BF"/>
          <w:sz w:val="21"/>
          <w:szCs w:val="21"/>
          <w:shd w:val="clear" w:color="auto" w:fill="FFFFFF"/>
          <w:vertAlign w:val="subscript"/>
        </w:rPr>
        <w:t>frplXenroll</w:t>
      </w:r>
      <w:proofErr w:type="spellEnd"/>
      <w:r>
        <w:rPr>
          <w:rStyle w:val="Strong"/>
          <w:rFonts w:ascii="Helvetica" w:hAnsi="Helvetica" w:cs="Helvetica"/>
          <w:b w:val="0"/>
          <w:color w:val="2E74B5" w:themeColor="accent5" w:themeShade="BF"/>
          <w:sz w:val="21"/>
          <w:szCs w:val="21"/>
          <w:shd w:val="clear" w:color="auto" w:fill="FFFFFF"/>
        </w:rPr>
        <w:t xml:space="preserve"> = 0</w:t>
      </w:r>
    </w:p>
    <w:p w14:paraId="43C7852D" w14:textId="4B46ACB6" w:rsidR="00B15696" w:rsidRDefault="00B15696"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Fonts w:ascii="Helvetica" w:hAnsi="Helvetica" w:cs="Helvetica"/>
          <w:color w:val="333333"/>
          <w:sz w:val="21"/>
          <w:szCs w:val="21"/>
          <w:shd w:val="clear" w:color="auto" w:fill="FFFFFF"/>
        </w:rPr>
        <w:t>2.2 Test your null hypothesis, present a table displaying the results of this test, and interpret those results </w:t>
      </w:r>
      <w:r w:rsidRPr="00B15696">
        <w:rPr>
          <w:rStyle w:val="Strong"/>
          <w:rFonts w:ascii="Helvetica" w:hAnsi="Helvetica" w:cs="Helvetica"/>
          <w:b w:val="0"/>
          <w:color w:val="333333"/>
          <w:sz w:val="21"/>
          <w:szCs w:val="21"/>
          <w:shd w:val="clear" w:color="auto" w:fill="FFFFFF"/>
        </w:rPr>
        <w:t>(2 points)</w:t>
      </w:r>
    </w:p>
    <w:p w14:paraId="58AD0346" w14:textId="270EB8CF" w:rsidR="00CB74D2"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sidR="00E94A67">
        <w:rPr>
          <w:rStyle w:val="Strong"/>
          <w:rFonts w:ascii="Helvetica" w:hAnsi="Helvetica" w:cs="Helvetica"/>
          <w:b w:val="0"/>
          <w:color w:val="2E74B5" w:themeColor="accent5" w:themeShade="BF"/>
          <w:sz w:val="21"/>
          <w:szCs w:val="21"/>
          <w:shd w:val="clear" w:color="auto" w:fill="FFFFFF"/>
        </w:rPr>
        <w:t xml:space="preserve"> to test our null hypothesis that the relationship between</w:t>
      </w:r>
      <w:r w:rsidR="00CB74D2">
        <w:rPr>
          <w:rStyle w:val="Strong"/>
          <w:rFonts w:ascii="Helvetica" w:hAnsi="Helvetica" w:cs="Helvetica"/>
          <w:b w:val="0"/>
          <w:color w:val="2E74B5" w:themeColor="accent5" w:themeShade="BF"/>
          <w:sz w:val="21"/>
          <w:szCs w:val="21"/>
          <w:shd w:val="clear" w:color="auto" w:fill="FFFFFF"/>
        </w:rPr>
        <w:t xml:space="preserve"> per-pupil expenditure </w:t>
      </w:r>
      <w:r w:rsidR="00E94A67">
        <w:rPr>
          <w:rStyle w:val="Strong"/>
          <w:rFonts w:ascii="Helvetica" w:hAnsi="Helvetica" w:cs="Helvetica"/>
          <w:b w:val="0"/>
          <w:color w:val="2E74B5" w:themeColor="accent5" w:themeShade="BF"/>
          <w:sz w:val="21"/>
          <w:szCs w:val="21"/>
          <w:shd w:val="clear" w:color="auto" w:fill="FFFFFF"/>
        </w:rPr>
        <w:t>and free- and reduced-price lunch receipt is equivalent across school enrollments</w:t>
      </w:r>
      <w:r w:rsidR="00CB74D2">
        <w:rPr>
          <w:rStyle w:val="Strong"/>
          <w:rFonts w:ascii="Helvetica" w:hAnsi="Helvetica" w:cs="Helvetica"/>
          <w:b w:val="0"/>
          <w:color w:val="2E74B5" w:themeColor="accent5" w:themeShade="BF"/>
          <w:sz w:val="21"/>
          <w:szCs w:val="21"/>
          <w:shd w:val="clear" w:color="auto" w:fill="FFFFFF"/>
        </w:rPr>
        <w:t>, we employ an Ordinary Lea</w:t>
      </w:r>
      <w:r w:rsidR="00E94A67">
        <w:rPr>
          <w:rStyle w:val="Strong"/>
          <w:rFonts w:ascii="Helvetica" w:hAnsi="Helvetica" w:cs="Helvetica"/>
          <w:b w:val="0"/>
          <w:color w:val="2E74B5" w:themeColor="accent5" w:themeShade="BF"/>
          <w:sz w:val="21"/>
          <w:szCs w:val="21"/>
          <w:shd w:val="clear" w:color="auto" w:fill="FFFFFF"/>
        </w:rPr>
        <w:t xml:space="preserve">st Squares estimation strategy. We begin in Table 2 with re-estimating the main effect of </w:t>
      </w:r>
      <w:r w:rsidR="00E94A67" w:rsidRPr="00E94A67">
        <w:rPr>
          <w:rStyle w:val="Strong"/>
          <w:rFonts w:ascii="Helvetica" w:hAnsi="Helvetica" w:cs="Helvetica"/>
          <w:b w:val="0"/>
          <w:i/>
          <w:color w:val="2E74B5" w:themeColor="accent5" w:themeShade="BF"/>
          <w:sz w:val="21"/>
          <w:szCs w:val="21"/>
          <w:shd w:val="clear" w:color="auto" w:fill="FFFFFF"/>
        </w:rPr>
        <w:t>FRPL</w:t>
      </w:r>
      <w:r w:rsidR="00E94A67">
        <w:rPr>
          <w:rStyle w:val="Strong"/>
          <w:rFonts w:ascii="Helvetica" w:hAnsi="Helvetica" w:cs="Helvetica"/>
          <w:b w:val="0"/>
          <w:color w:val="2E74B5" w:themeColor="accent5" w:themeShade="BF"/>
          <w:sz w:val="21"/>
          <w:szCs w:val="21"/>
          <w:shd w:val="clear" w:color="auto" w:fill="FFFFFF"/>
        </w:rPr>
        <w:t xml:space="preserve"> on </w:t>
      </w:r>
      <w:r w:rsidR="00E94A67" w:rsidRPr="00E94A67">
        <w:rPr>
          <w:rStyle w:val="Strong"/>
          <w:rFonts w:ascii="Helvetica" w:hAnsi="Helvetica" w:cs="Helvetica"/>
          <w:b w:val="0"/>
          <w:i/>
          <w:color w:val="2E74B5" w:themeColor="accent5" w:themeShade="BF"/>
          <w:sz w:val="21"/>
          <w:szCs w:val="21"/>
          <w:shd w:val="clear" w:color="auto" w:fill="FFFFFF"/>
        </w:rPr>
        <w:t>PPE</w:t>
      </w:r>
      <w:r w:rsidR="00E94A67">
        <w:rPr>
          <w:rStyle w:val="Strong"/>
          <w:rFonts w:ascii="Helvetica" w:hAnsi="Helvetica" w:cs="Helvetica"/>
          <w:b w:val="0"/>
          <w:color w:val="2E74B5" w:themeColor="accent5" w:themeShade="BF"/>
          <w:sz w:val="21"/>
          <w:szCs w:val="21"/>
          <w:shd w:val="clear" w:color="auto" w:fill="FFFFFF"/>
        </w:rPr>
        <w:t xml:space="preserve"> (repeating Model 1 from Table 1). We then estimate the main effect of enrollment on PPE, and we </w:t>
      </w:r>
      <w:r w:rsidR="00E94A67">
        <w:rPr>
          <w:rStyle w:val="Strong"/>
          <w:rFonts w:ascii="Helvetica" w:hAnsi="Helvetica" w:cs="Helvetica"/>
          <w:b w:val="0"/>
          <w:color w:val="2E74B5" w:themeColor="accent5" w:themeShade="BF"/>
          <w:sz w:val="21"/>
          <w:szCs w:val="21"/>
          <w:shd w:val="clear" w:color="auto" w:fill="FFFFFF"/>
        </w:rPr>
        <w:lastRenderedPageBreak/>
        <w:t xml:space="preserve">find that schools with larger total enrollments spend less per student (-$0.94 per one additional student). Model 3 is a formal test of our null hypothesis. While the main effect of enrollment remains positive, the cross-product term is strongly negative, suggesting that larger schools that also have more students receiving FRPL do not receive as much more additional funding as smaller schools that have larger proportions of students receiving FRPL. </w:t>
      </w: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102"/>
        <w:gridCol w:w="2102"/>
        <w:gridCol w:w="2102"/>
        <w:gridCol w:w="2106"/>
      </w:tblGrid>
      <w:tr w:rsidR="00DE0390" w:rsidRPr="00DE0390" w14:paraId="3B265910" w14:textId="77777777" w:rsidTr="00E94A67">
        <w:trPr>
          <w:trHeight w:val="145"/>
          <w:tblHeader/>
          <w:jc w:val="center"/>
        </w:trPr>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995965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AB6973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w:t>
            </w:r>
          </w:p>
        </w:tc>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9D34D74"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w:t>
            </w:r>
          </w:p>
        </w:tc>
        <w:tc>
          <w:tcPr>
            <w:tcW w:w="210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A4F316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(3)</w:t>
            </w:r>
          </w:p>
        </w:tc>
      </w:tr>
      <w:tr w:rsidR="00DE0390" w:rsidRPr="00DE0390" w14:paraId="1F1E1D7F" w14:textId="77777777" w:rsidTr="00E94A67">
        <w:trPr>
          <w:trHeight w:val="276"/>
          <w:jc w:val="center"/>
        </w:trPr>
        <w:tc>
          <w:tcPr>
            <w:tcW w:w="2102" w:type="dxa"/>
            <w:tcBorders>
              <w:top w:val="single" w:sz="4" w:space="0" w:color="auto"/>
            </w:tcBorders>
            <w:shd w:val="clear" w:color="auto" w:fill="FFFFFF"/>
            <w:tcMar>
              <w:top w:w="0" w:type="dxa"/>
              <w:left w:w="0" w:type="dxa"/>
              <w:bottom w:w="0" w:type="dxa"/>
              <w:right w:w="0" w:type="dxa"/>
            </w:tcMar>
            <w:vAlign w:val="center"/>
          </w:tcPr>
          <w:p w14:paraId="49339A32"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(Intercept)</w:t>
            </w:r>
          </w:p>
        </w:tc>
        <w:tc>
          <w:tcPr>
            <w:tcW w:w="2102" w:type="dxa"/>
            <w:tcBorders>
              <w:top w:val="single" w:sz="4" w:space="0" w:color="auto"/>
            </w:tcBorders>
            <w:shd w:val="clear" w:color="auto" w:fill="FFFFFF"/>
            <w:tcMar>
              <w:top w:w="0" w:type="dxa"/>
              <w:left w:w="0" w:type="dxa"/>
              <w:bottom w:w="0" w:type="dxa"/>
              <w:right w:w="0" w:type="dxa"/>
            </w:tcMar>
            <w:vAlign w:val="center"/>
          </w:tcPr>
          <w:p w14:paraId="5BAF52C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12226.90***</w:t>
            </w:r>
          </w:p>
        </w:tc>
        <w:tc>
          <w:tcPr>
            <w:tcW w:w="2102" w:type="dxa"/>
            <w:tcBorders>
              <w:top w:val="single" w:sz="4" w:space="0" w:color="auto"/>
            </w:tcBorders>
            <w:shd w:val="clear" w:color="auto" w:fill="FFFFFF"/>
            <w:tcMar>
              <w:top w:w="0" w:type="dxa"/>
              <w:left w:w="0" w:type="dxa"/>
              <w:bottom w:w="0" w:type="dxa"/>
              <w:right w:w="0" w:type="dxa"/>
            </w:tcMar>
            <w:vAlign w:val="center"/>
          </w:tcPr>
          <w:p w14:paraId="70072AE7"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14138.54***</w:t>
            </w:r>
          </w:p>
        </w:tc>
        <w:tc>
          <w:tcPr>
            <w:tcW w:w="2106" w:type="dxa"/>
            <w:tcBorders>
              <w:top w:val="single" w:sz="4" w:space="0" w:color="auto"/>
            </w:tcBorders>
            <w:shd w:val="clear" w:color="auto" w:fill="FFFFFF"/>
            <w:tcMar>
              <w:top w:w="0" w:type="dxa"/>
              <w:left w:w="0" w:type="dxa"/>
              <w:bottom w:w="0" w:type="dxa"/>
              <w:right w:w="0" w:type="dxa"/>
            </w:tcMar>
            <w:vAlign w:val="center"/>
          </w:tcPr>
          <w:p w14:paraId="5E05C9DD"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11744.05***</w:t>
            </w:r>
          </w:p>
        </w:tc>
      </w:tr>
      <w:tr w:rsidR="00DE0390" w:rsidRPr="00DE0390" w14:paraId="0A53B337" w14:textId="77777777" w:rsidTr="00E94A67">
        <w:trPr>
          <w:trHeight w:val="181"/>
          <w:jc w:val="center"/>
        </w:trPr>
        <w:tc>
          <w:tcPr>
            <w:tcW w:w="2102" w:type="dxa"/>
            <w:tcBorders>
              <w:bottom w:val="none" w:sz="0" w:space="0" w:color="000000"/>
            </w:tcBorders>
            <w:shd w:val="clear" w:color="auto" w:fill="FFFFFF"/>
            <w:tcMar>
              <w:top w:w="0" w:type="dxa"/>
              <w:left w:w="0" w:type="dxa"/>
              <w:bottom w:w="0" w:type="dxa"/>
              <w:right w:w="0" w:type="dxa"/>
            </w:tcMar>
            <w:vAlign w:val="center"/>
          </w:tcPr>
          <w:p w14:paraId="615E4E6D"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bottom w:val="none" w:sz="0" w:space="0" w:color="000000"/>
            </w:tcBorders>
            <w:shd w:val="clear" w:color="auto" w:fill="FFFFFF"/>
            <w:tcMar>
              <w:top w:w="0" w:type="dxa"/>
              <w:left w:w="0" w:type="dxa"/>
              <w:bottom w:w="0" w:type="dxa"/>
              <w:right w:w="0" w:type="dxa"/>
            </w:tcMar>
            <w:vAlign w:val="center"/>
          </w:tcPr>
          <w:p w14:paraId="79F39BC3"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(271.68)</w:t>
            </w:r>
          </w:p>
        </w:tc>
        <w:tc>
          <w:tcPr>
            <w:tcW w:w="2102" w:type="dxa"/>
            <w:tcBorders>
              <w:bottom w:val="none" w:sz="0" w:space="0" w:color="000000"/>
            </w:tcBorders>
            <w:shd w:val="clear" w:color="auto" w:fill="FFFFFF"/>
            <w:tcMar>
              <w:top w:w="0" w:type="dxa"/>
              <w:left w:w="0" w:type="dxa"/>
              <w:bottom w:w="0" w:type="dxa"/>
              <w:right w:w="0" w:type="dxa"/>
            </w:tcMar>
            <w:vAlign w:val="center"/>
          </w:tcPr>
          <w:p w14:paraId="11AB84D3"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(265.75)</w:t>
            </w:r>
          </w:p>
        </w:tc>
        <w:tc>
          <w:tcPr>
            <w:tcW w:w="2106" w:type="dxa"/>
            <w:tcBorders>
              <w:bottom w:val="none" w:sz="0" w:space="0" w:color="000000"/>
            </w:tcBorders>
            <w:shd w:val="clear" w:color="auto" w:fill="FFFFFF"/>
            <w:tcMar>
              <w:top w:w="0" w:type="dxa"/>
              <w:left w:w="0" w:type="dxa"/>
              <w:bottom w:w="0" w:type="dxa"/>
              <w:right w:w="0" w:type="dxa"/>
            </w:tcMar>
            <w:vAlign w:val="center"/>
          </w:tcPr>
          <w:p w14:paraId="7C13453A"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(544.49)</w:t>
            </w:r>
          </w:p>
        </w:tc>
      </w:tr>
      <w:tr w:rsidR="00DE0390" w:rsidRPr="00DE0390" w14:paraId="761D755A" w14:textId="77777777" w:rsidTr="00E94A67">
        <w:trPr>
          <w:trHeight w:val="276"/>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80F033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FRPL</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FC5F8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2634.33***</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6EA91F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FEF9B17"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4283.29***</w:t>
            </w:r>
          </w:p>
        </w:tc>
      </w:tr>
      <w:tr w:rsidR="00DE0390" w:rsidRPr="00DE0390" w14:paraId="544BAEBE" w14:textId="77777777" w:rsidTr="00E94A67">
        <w:trPr>
          <w:trHeight w:val="181"/>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32C0025"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0E6E6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(427.86)</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6AEFD0E"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2EB11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(947.57)</w:t>
            </w:r>
          </w:p>
        </w:tc>
      </w:tr>
      <w:tr w:rsidR="00DE0390" w:rsidRPr="00DE0390" w14:paraId="73A8320C" w14:textId="77777777" w:rsidTr="00E94A67">
        <w:trPr>
          <w:trHeight w:val="377"/>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67B997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Total enrollment</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BC923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343777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-0.94*</w:t>
            </w: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E4BF94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1.27+</w:t>
            </w:r>
          </w:p>
        </w:tc>
      </w:tr>
      <w:tr w:rsidR="00DE0390" w:rsidRPr="00DE0390" w14:paraId="44AD71D2" w14:textId="77777777" w:rsidTr="00E94A67">
        <w:trPr>
          <w:trHeight w:val="181"/>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694FB5C"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C7BBBC8"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DFCCC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(0.37)</w:t>
            </w: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C1036E"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(0.72)</w:t>
            </w:r>
          </w:p>
        </w:tc>
      </w:tr>
      <w:tr w:rsidR="00DE0390" w:rsidRPr="00DE0390" w14:paraId="40E9BD86" w14:textId="77777777" w:rsidTr="00E94A67">
        <w:trPr>
          <w:trHeight w:val="377"/>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CF45D7B" w14:textId="73D1653D"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Pr>
                <w:rFonts w:ascii="Arial" w:eastAsia="Arial" w:hAnsi="Arial" w:cs="Arial"/>
                <w:color w:val="2E74B5" w:themeColor="accent5" w:themeShade="BF"/>
              </w:rPr>
              <w:t xml:space="preserve">FRPL x </w:t>
            </w:r>
            <w:r w:rsidRPr="00DE0390">
              <w:rPr>
                <w:rFonts w:ascii="Arial" w:eastAsia="Arial" w:hAnsi="Arial" w:cs="Arial"/>
                <w:color w:val="2E74B5" w:themeColor="accent5" w:themeShade="BF"/>
              </w:rPr>
              <w:t>Enrollment</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5B30981"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808130"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CE8FAC8"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-4.18**</w:t>
            </w:r>
          </w:p>
        </w:tc>
      </w:tr>
      <w:tr w:rsidR="00DE0390" w:rsidRPr="00DE0390" w14:paraId="13D4A4B4" w14:textId="77777777" w:rsidTr="00E94A67">
        <w:trPr>
          <w:trHeight w:val="188"/>
          <w:jc w:val="center"/>
        </w:trPr>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21882B0"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15A7EF0"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7C4B7B1"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00C800D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(1.53)</w:t>
            </w:r>
          </w:p>
        </w:tc>
      </w:tr>
      <w:tr w:rsidR="00DE0390" w:rsidRPr="00DE0390" w14:paraId="72438885" w14:textId="77777777" w:rsidTr="00E94A67">
        <w:trPr>
          <w:trHeight w:val="276"/>
          <w:jc w:val="center"/>
        </w:trPr>
        <w:tc>
          <w:tcPr>
            <w:tcW w:w="2102" w:type="dxa"/>
            <w:tcBorders>
              <w:top w:val="single" w:sz="4" w:space="0" w:color="auto"/>
            </w:tcBorders>
            <w:shd w:val="clear" w:color="auto" w:fill="FFFFFF"/>
            <w:tcMar>
              <w:top w:w="0" w:type="dxa"/>
              <w:left w:w="0" w:type="dxa"/>
              <w:bottom w:w="0" w:type="dxa"/>
              <w:right w:w="0" w:type="dxa"/>
            </w:tcMar>
            <w:vAlign w:val="center"/>
          </w:tcPr>
          <w:p w14:paraId="5FBF3F24"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DE0390">
              <w:rPr>
                <w:rFonts w:ascii="Arial" w:eastAsia="Arial" w:hAnsi="Arial" w:cs="Arial"/>
                <w:color w:val="2E74B5" w:themeColor="accent5" w:themeShade="BF"/>
              </w:rPr>
              <w:t>Num.Obs</w:t>
            </w:r>
            <w:proofErr w:type="spellEnd"/>
            <w:r w:rsidRPr="00DE0390">
              <w:rPr>
                <w:rFonts w:ascii="Arial" w:eastAsia="Arial" w:hAnsi="Arial" w:cs="Arial"/>
                <w:color w:val="2E74B5" w:themeColor="accent5" w:themeShade="BF"/>
              </w:rPr>
              <w:t>.</w:t>
            </w:r>
          </w:p>
        </w:tc>
        <w:tc>
          <w:tcPr>
            <w:tcW w:w="2102" w:type="dxa"/>
            <w:tcBorders>
              <w:top w:val="single" w:sz="4" w:space="0" w:color="auto"/>
            </w:tcBorders>
            <w:shd w:val="clear" w:color="auto" w:fill="FFFFFF"/>
            <w:tcMar>
              <w:top w:w="0" w:type="dxa"/>
              <w:left w:w="0" w:type="dxa"/>
              <w:bottom w:w="0" w:type="dxa"/>
              <w:right w:w="0" w:type="dxa"/>
            </w:tcMar>
            <w:vAlign w:val="center"/>
          </w:tcPr>
          <w:p w14:paraId="46E644C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c>
          <w:tcPr>
            <w:tcW w:w="2102" w:type="dxa"/>
            <w:tcBorders>
              <w:top w:val="single" w:sz="4" w:space="0" w:color="auto"/>
            </w:tcBorders>
            <w:shd w:val="clear" w:color="auto" w:fill="FFFFFF"/>
            <w:tcMar>
              <w:top w:w="0" w:type="dxa"/>
              <w:left w:w="0" w:type="dxa"/>
              <w:bottom w:w="0" w:type="dxa"/>
              <w:right w:w="0" w:type="dxa"/>
            </w:tcMar>
            <w:vAlign w:val="center"/>
          </w:tcPr>
          <w:p w14:paraId="0AEA19E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c>
          <w:tcPr>
            <w:tcW w:w="2106" w:type="dxa"/>
            <w:tcBorders>
              <w:top w:val="single" w:sz="4" w:space="0" w:color="auto"/>
            </w:tcBorders>
            <w:shd w:val="clear" w:color="auto" w:fill="FFFFFF"/>
            <w:tcMar>
              <w:top w:w="0" w:type="dxa"/>
              <w:left w:w="0" w:type="dxa"/>
              <w:bottom w:w="0" w:type="dxa"/>
              <w:right w:w="0" w:type="dxa"/>
            </w:tcMar>
            <w:vAlign w:val="center"/>
          </w:tcPr>
          <w:p w14:paraId="51EFA96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r>
      <w:tr w:rsidR="00DE0390" w:rsidRPr="00DE0390" w14:paraId="26D762C6" w14:textId="77777777" w:rsidTr="00E94A67">
        <w:trPr>
          <w:trHeight w:val="176"/>
          <w:jc w:val="center"/>
        </w:trPr>
        <w:tc>
          <w:tcPr>
            <w:tcW w:w="2102" w:type="dxa"/>
            <w:tcBorders>
              <w:bottom w:val="double" w:sz="4" w:space="0" w:color="auto"/>
            </w:tcBorders>
            <w:shd w:val="clear" w:color="auto" w:fill="FFFFFF"/>
            <w:tcMar>
              <w:top w:w="0" w:type="dxa"/>
              <w:left w:w="0" w:type="dxa"/>
              <w:bottom w:w="0" w:type="dxa"/>
              <w:right w:w="0" w:type="dxa"/>
            </w:tcMar>
            <w:vAlign w:val="center"/>
          </w:tcPr>
          <w:p w14:paraId="23D952ED"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R2</w:t>
            </w:r>
          </w:p>
        </w:tc>
        <w:tc>
          <w:tcPr>
            <w:tcW w:w="2102" w:type="dxa"/>
            <w:tcBorders>
              <w:bottom w:val="double" w:sz="4" w:space="0" w:color="auto"/>
            </w:tcBorders>
            <w:shd w:val="clear" w:color="auto" w:fill="FFFFFF"/>
            <w:tcMar>
              <w:top w:w="0" w:type="dxa"/>
              <w:left w:w="0" w:type="dxa"/>
              <w:bottom w:w="0" w:type="dxa"/>
              <w:right w:w="0" w:type="dxa"/>
            </w:tcMar>
            <w:vAlign w:val="center"/>
          </w:tcPr>
          <w:p w14:paraId="634F044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0.034</w:t>
            </w:r>
          </w:p>
        </w:tc>
        <w:tc>
          <w:tcPr>
            <w:tcW w:w="2102" w:type="dxa"/>
            <w:tcBorders>
              <w:bottom w:val="double" w:sz="4" w:space="0" w:color="auto"/>
            </w:tcBorders>
            <w:shd w:val="clear" w:color="auto" w:fill="FFFFFF"/>
            <w:tcMar>
              <w:top w:w="0" w:type="dxa"/>
              <w:left w:w="0" w:type="dxa"/>
              <w:bottom w:w="0" w:type="dxa"/>
              <w:right w:w="0" w:type="dxa"/>
            </w:tcMar>
            <w:vAlign w:val="center"/>
          </w:tcPr>
          <w:p w14:paraId="6963B16B"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0.006</w:t>
            </w:r>
          </w:p>
        </w:tc>
        <w:tc>
          <w:tcPr>
            <w:tcW w:w="2106" w:type="dxa"/>
            <w:tcBorders>
              <w:bottom w:val="double" w:sz="4" w:space="0" w:color="auto"/>
            </w:tcBorders>
            <w:shd w:val="clear" w:color="auto" w:fill="FFFFFF"/>
            <w:tcMar>
              <w:top w:w="0" w:type="dxa"/>
              <w:left w:w="0" w:type="dxa"/>
              <w:bottom w:w="0" w:type="dxa"/>
              <w:right w:w="0" w:type="dxa"/>
            </w:tcMar>
            <w:vAlign w:val="center"/>
          </w:tcPr>
          <w:p w14:paraId="309A345B"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0.045</w:t>
            </w:r>
          </w:p>
        </w:tc>
      </w:tr>
      <w:tr w:rsidR="00DE0390" w:rsidRPr="00DE0390" w14:paraId="65F3C6B9" w14:textId="77777777" w:rsidTr="00E94A67">
        <w:trPr>
          <w:trHeight w:val="270"/>
          <w:jc w:val="center"/>
        </w:trPr>
        <w:tc>
          <w:tcPr>
            <w:tcW w:w="8412" w:type="dxa"/>
            <w:gridSpan w:val="4"/>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F505FF" w14:textId="360E5C39"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i/>
                <w:color w:val="2E74B5" w:themeColor="accent5" w:themeShade="BF"/>
                <w:sz w:val="18"/>
                <w:szCs w:val="18"/>
              </w:rPr>
              <w:t>Notes</w:t>
            </w:r>
            <w:r w:rsidRPr="00DE0390">
              <w:rPr>
                <w:rFonts w:ascii="Arial" w:eastAsia="Arial" w:hAnsi="Arial" w:cs="Arial"/>
                <w:color w:val="2E74B5" w:themeColor="accent5" w:themeShade="BF"/>
                <w:sz w:val="18"/>
                <w:szCs w:val="18"/>
              </w:rPr>
              <w:t>: + p &lt; 0.1, * p &lt; 0.05, ** p &lt; 0.01, *** p &lt; 0.001. Cells report coefficients and heteroscedastic-robust standard errors in parentheses. Reference category is Elementary schools.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5751D79E" w14:textId="2FEABCB6" w:rsidR="00B15696" w:rsidRDefault="00B15696" w:rsidP="00E23D0C">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hAnsi="Helvetica" w:cs="Helvetica"/>
          <w:color w:val="333333"/>
          <w:sz w:val="21"/>
          <w:szCs w:val="21"/>
          <w:shd w:val="clear" w:color="auto" w:fill="FFFFFF"/>
        </w:rPr>
        <w:t>2.3 Select (and justify) some prototypical values of school size for which to display the (potentially) differing relationship between </w:t>
      </w:r>
      <w:proofErr w:type="spellStart"/>
      <w:r w:rsidRPr="00B15696">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B15696">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Construct and interpret a plot of these prototypical value</w:t>
      </w:r>
      <w:r w:rsidRPr="00B15696">
        <w:rPr>
          <w:rFonts w:ascii="Helvetica" w:hAnsi="Helvetica" w:cs="Helvetica"/>
          <w:color w:val="333333"/>
          <w:sz w:val="21"/>
          <w:szCs w:val="21"/>
          <w:shd w:val="clear" w:color="auto" w:fill="FFFFFF"/>
        </w:rPr>
        <w:t>s</w:t>
      </w:r>
      <w:r w:rsidRPr="00B15696">
        <w:rPr>
          <w:rFonts w:ascii="Helvetica" w:hAnsi="Helvetica" w:cs="Helvetica"/>
          <w:b/>
          <w:color w:val="333333"/>
          <w:sz w:val="21"/>
          <w:szCs w:val="21"/>
          <w:shd w:val="clear" w:color="auto" w:fill="FFFFFF"/>
        </w:rPr>
        <w:t> </w:t>
      </w:r>
      <w:r w:rsidRPr="00B15696">
        <w:rPr>
          <w:rStyle w:val="Strong"/>
          <w:rFonts w:ascii="Helvetica" w:hAnsi="Helvetica" w:cs="Helvetica"/>
          <w:b w:val="0"/>
          <w:color w:val="333333"/>
          <w:sz w:val="21"/>
          <w:szCs w:val="21"/>
          <w:shd w:val="clear" w:color="auto" w:fill="FFFFFF"/>
        </w:rPr>
        <w:t>(3 points)</w:t>
      </w:r>
    </w:p>
    <w:p w14:paraId="207DDB20" w14:textId="5E58AB7E" w:rsidR="007D5AF7" w:rsidRDefault="00EE7985" w:rsidP="0011769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Larger</w:t>
      </w:r>
      <w:r w:rsidR="00E94A67">
        <w:rPr>
          <w:rFonts w:ascii="Helvetica" w:eastAsia="Times New Roman" w:hAnsi="Helvetica" w:cs="Helvetica"/>
          <w:color w:val="2E74B5" w:themeColor="accent5" w:themeShade="BF"/>
          <w:sz w:val="21"/>
          <w:szCs w:val="21"/>
          <w:lang w:eastAsia="zh-CN"/>
        </w:rPr>
        <w:t xml:space="preserve"> schools in Oregon have a much weaker gradient in the relationship between school poverty levels and per-pupil spending than comparatively smaller schools.</w:t>
      </w:r>
      <w:r w:rsidR="00710A4D">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In Figure 2, we present prototypical plots describing this phenomenon generated from Model 3 in Table 2</w:t>
      </w:r>
      <w:r w:rsidR="007D5AF7">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 We select round enrollment values at roughly the 10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50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xml:space="preserve"> and 90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xml:space="preserve"> percentiles of the school size distribution to visualize these differing relationships: 140 students, 400 students and 800 students, respectively. We can observe in Figure 2 that the interactions are ordinal (i.e., that all three slopes are positive); however, the magnitude of the relationship between FRPL and PPE is much larger for small and mid-sized schools than it is for large schools. As a result, we estimate that schools of all different sizes will, on average, spend roughly equivalent amounts (~$13,000/student) when their student bodies are around one-third low-income. However, in schools in which 90 percent of students receive FRPL, small schools spend roughly $15,250/student and mid-size schools spend $14,600.</w:t>
      </w: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0E969D61" w14:textId="1460BF7E" w:rsidR="00CB04AA" w:rsidRPr="00B15696" w:rsidRDefault="00B15696" w:rsidP="00B15696">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0BF33C8D" wp14:editId="35DBAD2E">
            <wp:extent cx="488913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_5_prototypica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137" cy="3200400"/>
                    </a:xfrm>
                    <a:prstGeom prst="rect">
                      <a:avLst/>
                    </a:prstGeom>
                  </pic:spPr>
                </pic:pic>
              </a:graphicData>
            </a:graphic>
          </wp:inline>
        </w:drawing>
      </w:r>
    </w:p>
    <w:sectPr w:rsidR="00CB04AA" w:rsidRPr="00B1569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5E76" w14:textId="77777777" w:rsidR="00D07787" w:rsidRDefault="00D07787" w:rsidP="00697DC9">
      <w:r>
        <w:separator/>
      </w:r>
    </w:p>
  </w:endnote>
  <w:endnote w:type="continuationSeparator" w:id="0">
    <w:p w14:paraId="32746D0C" w14:textId="77777777" w:rsidR="00D07787" w:rsidRDefault="00D07787"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957D6" w14:textId="77777777" w:rsidR="00D07787" w:rsidRDefault="00D07787" w:rsidP="00697DC9">
      <w:r>
        <w:separator/>
      </w:r>
    </w:p>
  </w:footnote>
  <w:footnote w:type="continuationSeparator" w:id="0">
    <w:p w14:paraId="41D6C33F" w14:textId="77777777" w:rsidR="00D07787" w:rsidRDefault="00D07787"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165607"/>
      <w:docPartObj>
        <w:docPartGallery w:val="Page Numbers (Top of Page)"/>
        <w:docPartUnique/>
      </w:docPartObj>
    </w:sdtPr>
    <w:sdtEndPr>
      <w:rPr>
        <w:noProof/>
      </w:rPr>
    </w:sdtEndPr>
    <w:sdtContent>
      <w:p w14:paraId="254720B7" w14:textId="405011C1" w:rsidR="00CB74D2" w:rsidRDefault="00CB74D2">
        <w:pPr>
          <w:pStyle w:val="Header"/>
          <w:jc w:val="right"/>
        </w:pPr>
        <w:r>
          <w:fldChar w:fldCharType="begin"/>
        </w:r>
        <w:r>
          <w:instrText xml:space="preserve"> PAGE   \* MERGEFORMAT </w:instrText>
        </w:r>
        <w:r>
          <w:fldChar w:fldCharType="separate"/>
        </w:r>
        <w:r w:rsidR="00EE7985">
          <w:rPr>
            <w:noProof/>
          </w:rPr>
          <w:t>5</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933242">
    <w:abstractNumId w:val="3"/>
  </w:num>
  <w:num w:numId="2" w16cid:durableId="1269200171">
    <w:abstractNumId w:val="6"/>
  </w:num>
  <w:num w:numId="3" w16cid:durableId="1769809134">
    <w:abstractNumId w:val="8"/>
  </w:num>
  <w:num w:numId="4" w16cid:durableId="1011645309">
    <w:abstractNumId w:val="5"/>
  </w:num>
  <w:num w:numId="5" w16cid:durableId="1649631964">
    <w:abstractNumId w:val="1"/>
  </w:num>
  <w:num w:numId="6" w16cid:durableId="1663655553">
    <w:abstractNumId w:val="9"/>
  </w:num>
  <w:num w:numId="7" w16cid:durableId="233708330">
    <w:abstractNumId w:val="0"/>
  </w:num>
  <w:num w:numId="8" w16cid:durableId="77752908">
    <w:abstractNumId w:val="4"/>
  </w:num>
  <w:num w:numId="9" w16cid:durableId="2036418119">
    <w:abstractNumId w:val="7"/>
  </w:num>
  <w:num w:numId="10" w16cid:durableId="72240721">
    <w:abstractNumId w:val="2"/>
  </w:num>
  <w:num w:numId="11" w16cid:durableId="170440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243CB"/>
    <w:rsid w:val="0005031E"/>
    <w:rsid w:val="000631EB"/>
    <w:rsid w:val="00073D05"/>
    <w:rsid w:val="00091847"/>
    <w:rsid w:val="000A1220"/>
    <w:rsid w:val="000D4AFB"/>
    <w:rsid w:val="000D72BA"/>
    <w:rsid w:val="000E71B1"/>
    <w:rsid w:val="000F2C6C"/>
    <w:rsid w:val="000F72A4"/>
    <w:rsid w:val="0010220F"/>
    <w:rsid w:val="0011769A"/>
    <w:rsid w:val="001235AC"/>
    <w:rsid w:val="00143679"/>
    <w:rsid w:val="00152759"/>
    <w:rsid w:val="00173E92"/>
    <w:rsid w:val="00177363"/>
    <w:rsid w:val="00181B15"/>
    <w:rsid w:val="00200803"/>
    <w:rsid w:val="00253C31"/>
    <w:rsid w:val="00263F43"/>
    <w:rsid w:val="00273BA3"/>
    <w:rsid w:val="002774CF"/>
    <w:rsid w:val="002B4600"/>
    <w:rsid w:val="002D7DC5"/>
    <w:rsid w:val="002F7403"/>
    <w:rsid w:val="00333AC1"/>
    <w:rsid w:val="00356108"/>
    <w:rsid w:val="00357060"/>
    <w:rsid w:val="00367537"/>
    <w:rsid w:val="00375689"/>
    <w:rsid w:val="003903FE"/>
    <w:rsid w:val="003C774E"/>
    <w:rsid w:val="003E0EA6"/>
    <w:rsid w:val="003E334F"/>
    <w:rsid w:val="00437423"/>
    <w:rsid w:val="0044342C"/>
    <w:rsid w:val="00443E97"/>
    <w:rsid w:val="0047319D"/>
    <w:rsid w:val="00483791"/>
    <w:rsid w:val="004B3F97"/>
    <w:rsid w:val="004B6716"/>
    <w:rsid w:val="004C3EA5"/>
    <w:rsid w:val="004C60E1"/>
    <w:rsid w:val="004C7BA4"/>
    <w:rsid w:val="00523110"/>
    <w:rsid w:val="005429D4"/>
    <w:rsid w:val="00561120"/>
    <w:rsid w:val="005762E9"/>
    <w:rsid w:val="00582329"/>
    <w:rsid w:val="005A6572"/>
    <w:rsid w:val="005F1D57"/>
    <w:rsid w:val="006264D3"/>
    <w:rsid w:val="00644717"/>
    <w:rsid w:val="00646DCB"/>
    <w:rsid w:val="0064733F"/>
    <w:rsid w:val="006474F4"/>
    <w:rsid w:val="0064798A"/>
    <w:rsid w:val="006822D7"/>
    <w:rsid w:val="00697DC9"/>
    <w:rsid w:val="006D1F3F"/>
    <w:rsid w:val="006D6B09"/>
    <w:rsid w:val="006E65F5"/>
    <w:rsid w:val="00710A4D"/>
    <w:rsid w:val="00722C7E"/>
    <w:rsid w:val="00760A5A"/>
    <w:rsid w:val="00773A19"/>
    <w:rsid w:val="00782F43"/>
    <w:rsid w:val="007B193A"/>
    <w:rsid w:val="007B460C"/>
    <w:rsid w:val="007D5AF7"/>
    <w:rsid w:val="007E59D8"/>
    <w:rsid w:val="007F058B"/>
    <w:rsid w:val="00853867"/>
    <w:rsid w:val="008A45B4"/>
    <w:rsid w:val="008F46BC"/>
    <w:rsid w:val="00936FA6"/>
    <w:rsid w:val="00980F9C"/>
    <w:rsid w:val="009933F5"/>
    <w:rsid w:val="009C519A"/>
    <w:rsid w:val="009F75D9"/>
    <w:rsid w:val="00A05827"/>
    <w:rsid w:val="00A25F71"/>
    <w:rsid w:val="00A30449"/>
    <w:rsid w:val="00A555C8"/>
    <w:rsid w:val="00A645A0"/>
    <w:rsid w:val="00A8416C"/>
    <w:rsid w:val="00A860BF"/>
    <w:rsid w:val="00A903CE"/>
    <w:rsid w:val="00AC301C"/>
    <w:rsid w:val="00B15696"/>
    <w:rsid w:val="00B43793"/>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07787"/>
    <w:rsid w:val="00D127C1"/>
    <w:rsid w:val="00D14DD6"/>
    <w:rsid w:val="00D35352"/>
    <w:rsid w:val="00D7286F"/>
    <w:rsid w:val="00DA1373"/>
    <w:rsid w:val="00DA393F"/>
    <w:rsid w:val="00DA664B"/>
    <w:rsid w:val="00DC6026"/>
    <w:rsid w:val="00DD2E89"/>
    <w:rsid w:val="00DD64DB"/>
    <w:rsid w:val="00DE0390"/>
    <w:rsid w:val="00E01035"/>
    <w:rsid w:val="00E2208B"/>
    <w:rsid w:val="00E23D0C"/>
    <w:rsid w:val="00E277EA"/>
    <w:rsid w:val="00E52357"/>
    <w:rsid w:val="00E80D01"/>
    <w:rsid w:val="00E94A67"/>
    <w:rsid w:val="00ED6C66"/>
    <w:rsid w:val="00EE7985"/>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2</cp:revision>
  <dcterms:created xsi:type="dcterms:W3CDTF">2024-03-12T19:09:00Z</dcterms:created>
  <dcterms:modified xsi:type="dcterms:W3CDTF">2024-03-12T19:09:00Z</dcterms:modified>
</cp:coreProperties>
</file>