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1"/>
        <w:ind w:left="160" w:right="0" w:firstLine="0"/>
        <w:jc w:val="left"/>
        <w:rPr>
          <w:b/>
          <w:sz w:val="35"/>
        </w:rPr>
      </w:pPr>
      <w:r>
        <w:rPr>
          <w:b/>
          <w:color w:val="001F5F"/>
          <w:sz w:val="35"/>
        </w:rPr>
        <w:t>Line Dorais</w:t>
      </w:r>
    </w:p>
    <w:p>
      <w:pPr>
        <w:pStyle w:val="BodyText"/>
        <w:rPr>
          <w:b/>
          <w:sz w:val="24"/>
        </w:rPr>
      </w:pPr>
      <w:r>
        <w:rPr/>
        <w:br w:type="column"/>
      </w:r>
      <w:r>
        <w:rPr>
          <w:b/>
          <w:sz w:val="24"/>
        </w:rPr>
      </w:r>
    </w:p>
    <w:p>
      <w:pPr>
        <w:pStyle w:val="BodyText"/>
        <w:spacing w:before="9"/>
        <w:rPr>
          <w:b/>
          <w:sz w:val="23"/>
        </w:rPr>
      </w:pPr>
    </w:p>
    <w:p>
      <w:pPr>
        <w:spacing w:line="283" w:lineRule="auto" w:before="0"/>
        <w:ind w:left="2450" w:right="104" w:firstLine="220"/>
        <w:jc w:val="right"/>
        <w:rPr>
          <w:sz w:val="20"/>
        </w:rPr>
      </w:pPr>
      <w:r>
        <w:rPr>
          <w:color w:val="565E6C"/>
          <w:w w:val="105"/>
          <w:sz w:val="20"/>
        </w:rPr>
        <w:t>Cellulaire :</w:t>
      </w:r>
      <w:r>
        <w:rPr>
          <w:color w:val="565E6C"/>
          <w:spacing w:val="-1"/>
          <w:w w:val="105"/>
          <w:sz w:val="20"/>
        </w:rPr>
        <w:t> </w:t>
      </w:r>
      <w:r>
        <w:rPr>
          <w:color w:val="565E6C"/>
          <w:w w:val="105"/>
          <w:sz w:val="20"/>
        </w:rPr>
        <w:t>450</w:t>
      </w:r>
      <w:r>
        <w:rPr>
          <w:color w:val="565E6C"/>
          <w:spacing w:val="-19"/>
          <w:w w:val="105"/>
          <w:sz w:val="20"/>
        </w:rPr>
        <w:t> </w:t>
      </w:r>
      <w:r>
        <w:rPr>
          <w:color w:val="565E6C"/>
          <w:w w:val="105"/>
          <w:sz w:val="20"/>
        </w:rPr>
        <w:t>419-1179</w:t>
      </w:r>
      <w:r>
        <w:rPr>
          <w:rFonts w:ascii="Times New Roman"/>
          <w:color w:val="565E6C"/>
          <w:w w:val="102"/>
          <w:sz w:val="20"/>
        </w:rPr>
        <w:t> </w:t>
      </w:r>
      <w:hyperlink r:id="rId5">
        <w:r>
          <w:rPr>
            <w:color w:val="565E6C"/>
            <w:spacing w:val="-1"/>
            <w:sz w:val="20"/>
          </w:rPr>
          <w:t>doraisdorais39@gmail.com</w:t>
        </w:r>
      </w:hyperlink>
    </w:p>
    <w:p>
      <w:pPr>
        <w:spacing w:line="233" w:lineRule="exact" w:before="0"/>
        <w:ind w:left="0" w:right="104" w:firstLine="0"/>
        <w:jc w:val="right"/>
        <w:rPr>
          <w:sz w:val="20"/>
        </w:rPr>
      </w:pPr>
      <w:r>
        <w:rPr>
          <w:color w:val="565E6C"/>
          <w:w w:val="105"/>
          <w:sz w:val="20"/>
        </w:rPr>
        <w:t>10479,</w:t>
      </w:r>
      <w:r>
        <w:rPr>
          <w:color w:val="565E6C"/>
          <w:spacing w:val="-21"/>
          <w:w w:val="105"/>
          <w:sz w:val="20"/>
        </w:rPr>
        <w:t> </w:t>
      </w:r>
      <w:r>
        <w:rPr>
          <w:color w:val="565E6C"/>
          <w:w w:val="105"/>
          <w:sz w:val="20"/>
        </w:rPr>
        <w:t>rue</w:t>
      </w:r>
      <w:r>
        <w:rPr>
          <w:color w:val="565E6C"/>
          <w:spacing w:val="-19"/>
          <w:w w:val="105"/>
          <w:sz w:val="20"/>
        </w:rPr>
        <w:t> </w:t>
      </w:r>
      <w:r>
        <w:rPr>
          <w:color w:val="565E6C"/>
          <w:w w:val="105"/>
          <w:sz w:val="20"/>
        </w:rPr>
        <w:t>de</w:t>
      </w:r>
      <w:r>
        <w:rPr>
          <w:color w:val="565E6C"/>
          <w:spacing w:val="-19"/>
          <w:w w:val="105"/>
          <w:sz w:val="20"/>
        </w:rPr>
        <w:t> </w:t>
      </w:r>
      <w:r>
        <w:rPr>
          <w:color w:val="565E6C"/>
          <w:w w:val="105"/>
          <w:sz w:val="20"/>
        </w:rPr>
        <w:t>la</w:t>
      </w:r>
      <w:r>
        <w:rPr>
          <w:color w:val="565E6C"/>
          <w:spacing w:val="-18"/>
          <w:w w:val="105"/>
          <w:sz w:val="20"/>
        </w:rPr>
        <w:t> </w:t>
      </w:r>
      <w:r>
        <w:rPr>
          <w:color w:val="565E6C"/>
          <w:w w:val="105"/>
          <w:sz w:val="20"/>
        </w:rPr>
        <w:t>Roche,</w:t>
      </w:r>
      <w:r>
        <w:rPr>
          <w:color w:val="565E6C"/>
          <w:spacing w:val="-21"/>
          <w:w w:val="105"/>
          <w:sz w:val="20"/>
        </w:rPr>
        <w:t> </w:t>
      </w:r>
      <w:r>
        <w:rPr>
          <w:color w:val="565E6C"/>
          <w:w w:val="105"/>
          <w:sz w:val="20"/>
        </w:rPr>
        <w:t>Montréal</w:t>
      </w:r>
      <w:r>
        <w:rPr>
          <w:color w:val="565E6C"/>
          <w:spacing w:val="-17"/>
          <w:w w:val="105"/>
          <w:sz w:val="20"/>
        </w:rPr>
        <w:t> </w:t>
      </w:r>
      <w:r>
        <w:rPr>
          <w:color w:val="565E6C"/>
          <w:w w:val="105"/>
          <w:sz w:val="20"/>
        </w:rPr>
        <w:t>(Québec)</w:t>
      </w:r>
      <w:r>
        <w:rPr>
          <w:color w:val="565E6C"/>
          <w:spacing w:val="-21"/>
          <w:w w:val="105"/>
          <w:sz w:val="20"/>
        </w:rPr>
        <w:t> </w:t>
      </w:r>
      <w:r>
        <w:rPr>
          <w:color w:val="565E6C"/>
          <w:w w:val="105"/>
          <w:sz w:val="20"/>
        </w:rPr>
        <w:t>H2C</w:t>
      </w:r>
      <w:r>
        <w:rPr>
          <w:color w:val="565E6C"/>
          <w:spacing w:val="-19"/>
          <w:w w:val="105"/>
          <w:sz w:val="20"/>
        </w:rPr>
        <w:t> </w:t>
      </w:r>
      <w:r>
        <w:rPr>
          <w:color w:val="565E6C"/>
          <w:w w:val="105"/>
          <w:sz w:val="20"/>
        </w:rPr>
        <w:t>2P3</w:t>
      </w:r>
    </w:p>
    <w:p>
      <w:pPr>
        <w:spacing w:after="0" w:line="233" w:lineRule="exact"/>
        <w:jc w:val="right"/>
        <w:rPr>
          <w:sz w:val="20"/>
        </w:rPr>
        <w:sectPr>
          <w:type w:val="continuous"/>
          <w:pgSz w:w="11900" w:h="16840"/>
          <w:pgMar w:top="1460" w:bottom="280" w:left="540" w:right="580"/>
          <w:cols w:num="2" w:equalWidth="0">
            <w:col w:w="2439" w:space="3179"/>
            <w:col w:w="5162"/>
          </w:cols>
        </w:sectPr>
      </w:pPr>
    </w:p>
    <w:p>
      <w:pPr>
        <w:pStyle w:val="BodyText"/>
        <w:spacing w:before="9"/>
        <w:rPr>
          <w:sz w:val="10"/>
        </w:rPr>
      </w:pPr>
    </w:p>
    <w:p>
      <w:pPr>
        <w:pStyle w:val="BodyText"/>
        <w:ind w:left="9249"/>
        <w:rPr>
          <w:sz w:val="20"/>
        </w:rPr>
      </w:pPr>
      <w:r>
        <w:rPr>
          <w:sz w:val="20"/>
        </w:rPr>
        <w:drawing>
          <wp:inline distT="0" distB="0" distL="0" distR="0">
            <wp:extent cx="673099" cy="16802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73099" cy="168021"/>
                    </a:xfrm>
                    <a:prstGeom prst="rect">
                      <a:avLst/>
                    </a:prstGeom>
                  </pic:spPr>
                </pic:pic>
              </a:graphicData>
            </a:graphic>
          </wp:inline>
        </w:drawing>
      </w:r>
      <w:r>
        <w:rPr>
          <w:sz w:val="20"/>
        </w:rPr>
      </w:r>
    </w:p>
    <w:p>
      <w:pPr>
        <w:pStyle w:val="BodyText"/>
        <w:spacing w:before="4"/>
        <w:rPr>
          <w:sz w:val="25"/>
        </w:rPr>
      </w:pPr>
      <w:r>
        <w:rPr/>
        <w:pict>
          <v:line style="position:absolute;mso-position-horizontal-relative:page;mso-position-vertical-relative:paragraph;z-index:-251658240;mso-wrap-distance-left:0;mso-wrap-distance-right:0" from="34.68pt,17.550655pt" to="559.680017pt,17.550655pt" stroked="true" strokeweight="1.32pt" strokecolor="#000000">
            <v:stroke dashstyle="solid"/>
            <w10:wrap type="topAndBottom"/>
          </v:line>
        </w:pict>
      </w:r>
    </w:p>
    <w:p>
      <w:pPr>
        <w:pStyle w:val="BodyText"/>
        <w:rPr>
          <w:sz w:val="20"/>
        </w:rPr>
      </w:pPr>
    </w:p>
    <w:p>
      <w:pPr>
        <w:pStyle w:val="BodyText"/>
        <w:rPr>
          <w:sz w:val="16"/>
        </w:rPr>
      </w:pPr>
    </w:p>
    <w:p>
      <w:pPr>
        <w:spacing w:before="105"/>
        <w:ind w:left="3476" w:right="3450" w:firstLine="0"/>
        <w:jc w:val="center"/>
        <w:rPr>
          <w:b/>
          <w:sz w:val="21"/>
        </w:rPr>
      </w:pPr>
      <w:r>
        <w:rPr>
          <w:b/>
          <w:sz w:val="21"/>
          <w:u w:val="single"/>
        </w:rPr>
        <w:t>PROFIL</w:t>
      </w:r>
    </w:p>
    <w:p>
      <w:pPr>
        <w:pStyle w:val="BodyText"/>
        <w:spacing w:before="10"/>
        <w:rPr>
          <w:b/>
        </w:rPr>
      </w:pPr>
    </w:p>
    <w:p>
      <w:pPr>
        <w:spacing w:line="249" w:lineRule="auto" w:before="0"/>
        <w:ind w:left="160" w:right="129" w:hanging="1"/>
        <w:jc w:val="both"/>
        <w:rPr>
          <w:sz w:val="21"/>
        </w:rPr>
      </w:pPr>
      <w:r>
        <w:rPr>
          <w:b/>
          <w:sz w:val="21"/>
        </w:rPr>
        <w:t>Adjointe juridique bilingue et commissaire à l’assermentation </w:t>
      </w:r>
      <w:r>
        <w:rPr>
          <w:sz w:val="21"/>
        </w:rPr>
        <w:t>possédant une solide expérience dans  le domaine juridique et des assurances. Expertise en droit civil, corporatif, du travail, santé et sécurité au travail, litige et service à la</w:t>
      </w:r>
      <w:r>
        <w:rPr>
          <w:spacing w:val="2"/>
          <w:sz w:val="21"/>
        </w:rPr>
        <w:t> </w:t>
      </w:r>
      <w:r>
        <w:rPr>
          <w:sz w:val="21"/>
        </w:rPr>
        <w:t>clientèle.</w:t>
      </w:r>
    </w:p>
    <w:p>
      <w:pPr>
        <w:pStyle w:val="BodyText"/>
        <w:spacing w:before="2"/>
      </w:pPr>
    </w:p>
    <w:p>
      <w:pPr>
        <w:pStyle w:val="BodyText"/>
        <w:spacing w:line="244" w:lineRule="auto"/>
        <w:ind w:left="160" w:right="129"/>
        <w:jc w:val="both"/>
      </w:pPr>
      <w:r>
        <w:rPr/>
        <w:t>Professionnelle efficace reconnue pour mon excellent sens de l’organisation, ma rigueur, ma minutie, ma discrétion, ma vivacité d’esprit, ma logique et ma  débrouillardise.  Personne  productive,  discerne  et règle rapidement tous problèmes avec une gestion du temps marquée par ma facilité à déterminer les priorités et à respecter les délais</w:t>
      </w:r>
      <w:r>
        <w:rPr>
          <w:spacing w:val="11"/>
        </w:rPr>
        <w:t> </w:t>
      </w:r>
      <w:r>
        <w:rPr/>
        <w:t>imposés.</w:t>
      </w:r>
    </w:p>
    <w:p>
      <w:pPr>
        <w:pStyle w:val="BodyText"/>
        <w:spacing w:before="8"/>
        <w:rPr>
          <w:sz w:val="24"/>
        </w:rPr>
      </w:pPr>
    </w:p>
    <w:p>
      <w:pPr>
        <w:pStyle w:val="BodyText"/>
        <w:spacing w:line="244" w:lineRule="auto"/>
        <w:ind w:left="160" w:right="128"/>
        <w:jc w:val="both"/>
      </w:pPr>
      <w:r>
        <w:rPr/>
        <w:t>Orientée vers les résultats, démontre un talent pour les communications verbales et écrites, de même que pour la traduction. Gère bien la pression et m’adapte aisément à différents environnements. Adaptation facile aux particularités et exigences du travail ainsi qu’aux membres de l’équipe avec mon orientation ‘’client’’ développée. Innovatrice, apprécie relever des défis d’envergure et cherche toujours à atteindre mes objectifs et buts fixés.</w:t>
      </w:r>
    </w:p>
    <w:p>
      <w:pPr>
        <w:pStyle w:val="BodyText"/>
        <w:rPr>
          <w:sz w:val="24"/>
        </w:rPr>
      </w:pPr>
    </w:p>
    <w:p>
      <w:pPr>
        <w:spacing w:before="208"/>
        <w:ind w:left="3478" w:right="3450" w:firstLine="0"/>
        <w:jc w:val="center"/>
        <w:rPr>
          <w:b/>
          <w:sz w:val="21"/>
        </w:rPr>
      </w:pPr>
      <w:r>
        <w:rPr>
          <w:b/>
          <w:sz w:val="21"/>
          <w:u w:val="single"/>
        </w:rPr>
        <w:t>CONNAISSANCES INFORMATIQUES</w:t>
      </w:r>
    </w:p>
    <w:p>
      <w:pPr>
        <w:pStyle w:val="BodyText"/>
        <w:spacing w:before="1"/>
        <w:rPr>
          <w:b/>
          <w:sz w:val="17"/>
        </w:rPr>
      </w:pPr>
    </w:p>
    <w:p>
      <w:pPr>
        <w:spacing w:line="280" w:lineRule="auto" w:before="104"/>
        <w:ind w:left="160" w:right="1742" w:firstLine="0"/>
        <w:jc w:val="left"/>
        <w:rPr>
          <w:sz w:val="21"/>
        </w:rPr>
      </w:pPr>
      <w:r>
        <w:rPr>
          <w:sz w:val="21"/>
        </w:rPr>
        <w:t>Recherches sur </w:t>
      </w:r>
      <w:r>
        <w:rPr>
          <w:i/>
          <w:sz w:val="21"/>
        </w:rPr>
        <w:t>Internet, Azimut </w:t>
      </w:r>
      <w:r>
        <w:rPr>
          <w:sz w:val="21"/>
        </w:rPr>
        <w:t>Cidreq, Strategis et sites corporatifs gouvernementaux</w:t>
      </w:r>
      <w:r>
        <w:rPr>
          <w:i/>
          <w:sz w:val="21"/>
        </w:rPr>
        <w:t>. </w:t>
      </w:r>
      <w:r>
        <w:rPr>
          <w:sz w:val="21"/>
        </w:rPr>
        <w:t>Suite office, Outlook, </w:t>
      </w:r>
      <w:r>
        <w:rPr>
          <w:i/>
          <w:sz w:val="21"/>
        </w:rPr>
        <w:t>En-Act</w:t>
      </w:r>
      <w:r>
        <w:rPr>
          <w:sz w:val="21"/>
        </w:rPr>
        <w:t>, </w:t>
      </w:r>
      <w:r>
        <w:rPr>
          <w:i/>
          <w:sz w:val="21"/>
        </w:rPr>
        <w:t>Amicus</w:t>
      </w:r>
      <w:r>
        <w:rPr>
          <w:sz w:val="21"/>
        </w:rPr>
        <w:t>, </w:t>
      </w:r>
      <w:r>
        <w:rPr>
          <w:i/>
          <w:sz w:val="21"/>
        </w:rPr>
        <w:t>Abak </w:t>
      </w:r>
      <w:r>
        <w:rPr>
          <w:sz w:val="21"/>
        </w:rPr>
        <w:t>(Excel et Power Point débutant).</w:t>
      </w:r>
    </w:p>
    <w:p>
      <w:pPr>
        <w:pStyle w:val="BodyText"/>
        <w:rPr>
          <w:sz w:val="24"/>
        </w:rPr>
      </w:pPr>
    </w:p>
    <w:p>
      <w:pPr>
        <w:spacing w:before="209"/>
        <w:ind w:left="3476" w:right="3450" w:firstLine="0"/>
        <w:jc w:val="center"/>
        <w:rPr>
          <w:b/>
          <w:sz w:val="21"/>
        </w:rPr>
      </w:pPr>
      <w:r>
        <w:rPr>
          <w:b/>
          <w:sz w:val="21"/>
          <w:u w:val="single"/>
        </w:rPr>
        <w:t>EXPÉRIENCE PROFESSIONNELLE</w:t>
      </w:r>
    </w:p>
    <w:p>
      <w:pPr>
        <w:pStyle w:val="BodyText"/>
        <w:spacing w:before="4"/>
        <w:rPr>
          <w:b/>
          <w:sz w:val="16"/>
        </w:rPr>
      </w:pPr>
    </w:p>
    <w:p>
      <w:pPr>
        <w:tabs>
          <w:tab w:pos="10399" w:val="right" w:leader="none"/>
        </w:tabs>
        <w:spacing w:before="104"/>
        <w:ind w:left="160" w:right="0" w:firstLine="0"/>
        <w:jc w:val="both"/>
        <w:rPr>
          <w:b/>
          <w:sz w:val="21"/>
        </w:rPr>
      </w:pPr>
      <w:r>
        <w:rPr>
          <w:b/>
          <w:sz w:val="21"/>
        </w:rPr>
        <w:t>MORNEAU  SHEPELL/AST SANTÉ SÉCURITÉ AU</w:t>
      </w:r>
      <w:r>
        <w:rPr>
          <w:b/>
          <w:spacing w:val="12"/>
          <w:sz w:val="21"/>
        </w:rPr>
        <w:t> </w:t>
      </w:r>
      <w:r>
        <w:rPr>
          <w:b/>
          <w:sz w:val="21"/>
        </w:rPr>
        <w:t>TRAVAIL,</w:t>
      </w:r>
      <w:r>
        <w:rPr>
          <w:b/>
          <w:spacing w:val="15"/>
          <w:sz w:val="21"/>
        </w:rPr>
        <w:t> </w:t>
      </w:r>
      <w:r>
        <w:rPr>
          <w:b/>
          <w:sz w:val="21"/>
        </w:rPr>
        <w:t>Montréal</w:t>
        <w:tab/>
        <w:t>2013 -</w:t>
      </w:r>
      <w:r>
        <w:rPr>
          <w:b/>
          <w:spacing w:val="21"/>
          <w:sz w:val="21"/>
        </w:rPr>
        <w:t> </w:t>
      </w:r>
      <w:r>
        <w:rPr>
          <w:b/>
          <w:sz w:val="21"/>
        </w:rPr>
        <w:t>2016</w:t>
      </w:r>
    </w:p>
    <w:p>
      <w:pPr>
        <w:spacing w:before="60"/>
        <w:ind w:left="160" w:right="0" w:firstLine="0"/>
        <w:jc w:val="both"/>
        <w:rPr>
          <w:sz w:val="17"/>
        </w:rPr>
      </w:pPr>
      <w:r>
        <w:rPr>
          <w:w w:val="105"/>
          <w:sz w:val="17"/>
        </w:rPr>
        <w:t>(Entreprise offrant des mutuelles, services variés aux employeur en gestion et prévention.)</w:t>
      </w:r>
    </w:p>
    <w:p>
      <w:pPr>
        <w:pStyle w:val="BodyText"/>
        <w:spacing w:before="5"/>
        <w:rPr>
          <w:sz w:val="26"/>
        </w:rPr>
      </w:pPr>
    </w:p>
    <w:p>
      <w:pPr>
        <w:pStyle w:val="Heading1"/>
        <w:jc w:val="both"/>
      </w:pPr>
      <w:r>
        <w:rPr/>
        <w:t>Assistante juridique en droit de la santé et sécurité au travail</w:t>
      </w:r>
    </w:p>
    <w:p>
      <w:pPr>
        <w:pStyle w:val="BodyText"/>
        <w:spacing w:before="53"/>
        <w:ind w:left="160"/>
        <w:jc w:val="both"/>
      </w:pPr>
      <w:r>
        <w:rPr/>
        <w:t>Relevant de la directrice du service juridique</w:t>
      </w:r>
    </w:p>
    <w:p>
      <w:pPr>
        <w:pStyle w:val="ListParagraph"/>
        <w:numPr>
          <w:ilvl w:val="0"/>
          <w:numId w:val="1"/>
        </w:numPr>
        <w:tabs>
          <w:tab w:pos="437" w:val="left" w:leader="none"/>
        </w:tabs>
        <w:spacing w:line="240" w:lineRule="auto" w:before="42" w:after="0"/>
        <w:ind w:left="436" w:right="0" w:hanging="277"/>
        <w:jc w:val="both"/>
        <w:rPr>
          <w:sz w:val="21"/>
        </w:rPr>
      </w:pPr>
      <w:r>
        <w:rPr>
          <w:sz w:val="21"/>
        </w:rPr>
        <w:t>Procéder à la réorganisation complète du secrétariat et le développement des</w:t>
      </w:r>
      <w:r>
        <w:rPr>
          <w:spacing w:val="27"/>
          <w:sz w:val="21"/>
        </w:rPr>
        <w:t> </w:t>
      </w:r>
      <w:r>
        <w:rPr>
          <w:sz w:val="21"/>
        </w:rPr>
        <w:t>tâches.</w:t>
      </w:r>
    </w:p>
    <w:p>
      <w:pPr>
        <w:pStyle w:val="ListParagraph"/>
        <w:numPr>
          <w:ilvl w:val="0"/>
          <w:numId w:val="1"/>
        </w:numPr>
        <w:tabs>
          <w:tab w:pos="437" w:val="left" w:leader="none"/>
        </w:tabs>
        <w:spacing w:line="280" w:lineRule="auto" w:before="43" w:after="0"/>
        <w:ind w:left="436" w:right="128" w:hanging="276"/>
        <w:jc w:val="both"/>
        <w:rPr>
          <w:sz w:val="21"/>
        </w:rPr>
      </w:pPr>
      <w:r>
        <w:rPr>
          <w:sz w:val="21"/>
        </w:rPr>
        <w:t>Contribuer de façon significative à la mise en place d’un outil informatique spécialement conçu pour le service de secrétariat juridique ce qui a grandement amélioré l’efficacité, la rapidité du travail et réduit les marges</w:t>
      </w:r>
      <w:r>
        <w:rPr>
          <w:spacing w:val="-3"/>
          <w:sz w:val="21"/>
        </w:rPr>
        <w:t> </w:t>
      </w:r>
      <w:r>
        <w:rPr>
          <w:sz w:val="21"/>
        </w:rPr>
        <w:t>d’erreurs.</w:t>
      </w:r>
    </w:p>
    <w:p>
      <w:pPr>
        <w:pStyle w:val="ListParagraph"/>
        <w:numPr>
          <w:ilvl w:val="0"/>
          <w:numId w:val="1"/>
        </w:numPr>
        <w:tabs>
          <w:tab w:pos="437" w:val="left" w:leader="none"/>
        </w:tabs>
        <w:spacing w:line="280" w:lineRule="auto" w:before="4" w:after="0"/>
        <w:ind w:left="436" w:right="129" w:hanging="276"/>
        <w:jc w:val="both"/>
        <w:rPr>
          <w:sz w:val="21"/>
        </w:rPr>
      </w:pPr>
      <w:r>
        <w:rPr>
          <w:sz w:val="21"/>
        </w:rPr>
        <w:t>Rédiger un manuel de formation de secrétaires afin de faciliter l’apprentissage des  nouvelles  assistantes.</w:t>
      </w:r>
    </w:p>
    <w:p>
      <w:pPr>
        <w:pStyle w:val="ListParagraph"/>
        <w:numPr>
          <w:ilvl w:val="0"/>
          <w:numId w:val="1"/>
        </w:numPr>
        <w:tabs>
          <w:tab w:pos="437" w:val="left" w:leader="none"/>
        </w:tabs>
        <w:spacing w:line="283" w:lineRule="auto" w:before="0" w:after="0"/>
        <w:ind w:left="436" w:right="128" w:hanging="276"/>
        <w:jc w:val="both"/>
        <w:rPr>
          <w:sz w:val="21"/>
        </w:rPr>
      </w:pPr>
      <w:r>
        <w:rPr>
          <w:sz w:val="21"/>
        </w:rPr>
        <w:t>Assurer un service de qualité dans les meilleurs délais et améliorer grandement le travail  du  sercrétariat juridique.</w:t>
      </w:r>
    </w:p>
    <w:p>
      <w:pPr>
        <w:pStyle w:val="ListParagraph"/>
        <w:numPr>
          <w:ilvl w:val="0"/>
          <w:numId w:val="1"/>
        </w:numPr>
        <w:tabs>
          <w:tab w:pos="437" w:val="left" w:leader="none"/>
        </w:tabs>
        <w:spacing w:line="280" w:lineRule="auto" w:before="0" w:after="0"/>
        <w:ind w:left="436" w:right="128" w:hanging="276"/>
        <w:jc w:val="both"/>
        <w:rPr>
          <w:sz w:val="21"/>
        </w:rPr>
      </w:pPr>
      <w:r>
        <w:rPr>
          <w:sz w:val="21"/>
        </w:rPr>
        <w:t>Produire les contestations et comparutions auprès de la CNESST (Commission des normes, de l’équité    et de la santé et sécurité au travail) et du TAT (Tribunal du travail) en droit de la santé et sécurité au travail ainsi qu’en droit du</w:t>
      </w:r>
      <w:r>
        <w:rPr>
          <w:spacing w:val="-7"/>
          <w:sz w:val="21"/>
        </w:rPr>
        <w:t> </w:t>
      </w:r>
      <w:r>
        <w:rPr>
          <w:sz w:val="21"/>
        </w:rPr>
        <w:t>travail.</w:t>
      </w:r>
    </w:p>
    <w:p>
      <w:pPr>
        <w:spacing w:after="0" w:line="280" w:lineRule="auto"/>
        <w:jc w:val="both"/>
        <w:rPr>
          <w:sz w:val="21"/>
        </w:rPr>
        <w:sectPr>
          <w:type w:val="continuous"/>
          <w:pgSz w:w="11900" w:h="16840"/>
          <w:pgMar w:top="1460" w:bottom="280" w:left="540" w:right="580"/>
        </w:sectPr>
      </w:pPr>
    </w:p>
    <w:p>
      <w:pPr>
        <w:pStyle w:val="BodyText"/>
        <w:spacing w:before="3"/>
        <w:rPr>
          <w:sz w:val="19"/>
        </w:rPr>
      </w:pPr>
    </w:p>
    <w:p>
      <w:pPr>
        <w:pStyle w:val="ListParagraph"/>
        <w:numPr>
          <w:ilvl w:val="0"/>
          <w:numId w:val="1"/>
        </w:numPr>
        <w:tabs>
          <w:tab w:pos="437" w:val="left" w:leader="none"/>
        </w:tabs>
        <w:spacing w:line="283" w:lineRule="auto" w:before="105" w:after="0"/>
        <w:ind w:left="436" w:right="128" w:hanging="276"/>
        <w:jc w:val="both"/>
        <w:rPr>
          <w:sz w:val="21"/>
        </w:rPr>
      </w:pPr>
      <w:r>
        <w:rPr>
          <w:sz w:val="21"/>
        </w:rPr>
        <w:t>Gérer avec succès les agendas de 3 à 7 avocats et acheminer les demandes de remises afin  de  permettre aux avocats de compléter leurs dossiers.</w:t>
      </w:r>
    </w:p>
    <w:p>
      <w:pPr>
        <w:pStyle w:val="ListParagraph"/>
        <w:numPr>
          <w:ilvl w:val="0"/>
          <w:numId w:val="1"/>
        </w:numPr>
        <w:tabs>
          <w:tab w:pos="437" w:val="left" w:leader="none"/>
        </w:tabs>
        <w:spacing w:line="280" w:lineRule="auto" w:before="0" w:after="0"/>
        <w:ind w:left="436" w:right="128" w:hanging="277"/>
        <w:jc w:val="both"/>
        <w:rPr>
          <w:sz w:val="21"/>
        </w:rPr>
      </w:pPr>
      <w:r>
        <w:rPr>
          <w:sz w:val="21"/>
        </w:rPr>
        <w:t>Assumer le soutien à la directrice du service juridique en préparant la correspondance dictée, en compilant des statistiques et en produisant des tableaux de</w:t>
      </w:r>
      <w:r>
        <w:rPr>
          <w:spacing w:val="8"/>
          <w:sz w:val="21"/>
        </w:rPr>
        <w:t> </w:t>
      </w:r>
      <w:r>
        <w:rPr>
          <w:sz w:val="21"/>
        </w:rPr>
        <w:t>statistiques.</w:t>
      </w:r>
    </w:p>
    <w:p>
      <w:pPr>
        <w:pStyle w:val="Heading1"/>
        <w:tabs>
          <w:tab w:pos="10400" w:val="right" w:leader="none"/>
        </w:tabs>
        <w:spacing w:before="276"/>
      </w:pPr>
      <w:r>
        <w:rPr/>
        <w:t>ORENSTEIN &amp;</w:t>
      </w:r>
      <w:r>
        <w:rPr>
          <w:spacing w:val="24"/>
        </w:rPr>
        <w:t> </w:t>
      </w:r>
      <w:r>
        <w:rPr/>
        <w:t>ASSOCIATES,</w:t>
      </w:r>
      <w:r>
        <w:rPr>
          <w:spacing w:val="13"/>
        </w:rPr>
        <w:t> </w:t>
      </w:r>
      <w:r>
        <w:rPr/>
        <w:t>Montréal</w:t>
        <w:tab/>
        <w:t>2004 -</w:t>
      </w:r>
      <w:r>
        <w:rPr>
          <w:spacing w:val="22"/>
        </w:rPr>
        <w:t> </w:t>
      </w:r>
      <w:r>
        <w:rPr/>
        <w:t>2011</w:t>
      </w:r>
    </w:p>
    <w:p>
      <w:pPr>
        <w:spacing w:before="56"/>
        <w:ind w:left="160" w:right="0" w:firstLine="0"/>
        <w:jc w:val="both"/>
        <w:rPr>
          <w:sz w:val="17"/>
        </w:rPr>
      </w:pPr>
      <w:r>
        <w:rPr>
          <w:w w:val="105"/>
          <w:sz w:val="21"/>
        </w:rPr>
        <w:t>(</w:t>
      </w:r>
      <w:r>
        <w:rPr>
          <w:w w:val="105"/>
          <w:sz w:val="17"/>
        </w:rPr>
        <w:t>Cabinet de droit se spécialisant en droit du travail, droit successiorial offrant également des services de droit civil et corporatif.)</w:t>
      </w:r>
    </w:p>
    <w:p>
      <w:pPr>
        <w:pStyle w:val="BodyText"/>
        <w:rPr>
          <w:sz w:val="27"/>
        </w:rPr>
      </w:pPr>
    </w:p>
    <w:p>
      <w:pPr>
        <w:pStyle w:val="Heading1"/>
        <w:jc w:val="both"/>
      </w:pPr>
      <w:r>
        <w:rPr/>
        <w:t>Assistante juridique au département de droit corporatif</w:t>
      </w:r>
    </w:p>
    <w:p>
      <w:pPr>
        <w:pStyle w:val="BodyText"/>
        <w:spacing w:before="56"/>
        <w:ind w:left="160"/>
        <w:jc w:val="both"/>
      </w:pPr>
      <w:r>
        <w:rPr/>
        <w:t>Relevant d’un avocat sénior</w:t>
      </w:r>
    </w:p>
    <w:p>
      <w:pPr>
        <w:pStyle w:val="ListParagraph"/>
        <w:numPr>
          <w:ilvl w:val="0"/>
          <w:numId w:val="1"/>
        </w:numPr>
        <w:tabs>
          <w:tab w:pos="437" w:val="left" w:leader="none"/>
        </w:tabs>
        <w:spacing w:line="244" w:lineRule="auto" w:before="41" w:after="0"/>
        <w:ind w:left="436" w:right="131" w:hanging="276"/>
        <w:jc w:val="both"/>
        <w:rPr>
          <w:sz w:val="21"/>
        </w:rPr>
      </w:pPr>
      <w:r>
        <w:rPr>
          <w:sz w:val="21"/>
        </w:rPr>
        <w:t>Établir une nouvelle méthode de tenue de dossiers, de classement et des  commandes de fournitures,    ce qui a grandement amélioré le rendement, facilité le travail clérical et éliminé  les  pertes  et  les erreurs de façon considérables dans les commandes de</w:t>
      </w:r>
      <w:r>
        <w:rPr>
          <w:spacing w:val="5"/>
          <w:sz w:val="21"/>
        </w:rPr>
        <w:t> </w:t>
      </w:r>
      <w:r>
        <w:rPr>
          <w:sz w:val="21"/>
        </w:rPr>
        <w:t>fournitures.</w:t>
      </w:r>
    </w:p>
    <w:p>
      <w:pPr>
        <w:pStyle w:val="ListParagraph"/>
        <w:numPr>
          <w:ilvl w:val="0"/>
          <w:numId w:val="1"/>
        </w:numPr>
        <w:tabs>
          <w:tab w:pos="437" w:val="left" w:leader="none"/>
        </w:tabs>
        <w:spacing w:line="244" w:lineRule="auto" w:before="2" w:after="0"/>
        <w:ind w:left="436" w:right="131" w:hanging="276"/>
        <w:jc w:val="both"/>
        <w:rPr>
          <w:sz w:val="21"/>
        </w:rPr>
      </w:pPr>
      <w:r>
        <w:rPr>
          <w:sz w:val="21"/>
        </w:rPr>
        <w:t>Faire les recherches nécessaires, obtenir les renseignements exigés, remplir les formulaires,  transmettre les informations et données aux services gouvernementaux et effectuer toutes les vérifications dans le but d’incorporer les</w:t>
      </w:r>
      <w:r>
        <w:rPr>
          <w:spacing w:val="-1"/>
          <w:sz w:val="21"/>
        </w:rPr>
        <w:t> </w:t>
      </w:r>
      <w:r>
        <w:rPr>
          <w:sz w:val="21"/>
        </w:rPr>
        <w:t>compagnies.</w:t>
      </w:r>
    </w:p>
    <w:p>
      <w:pPr>
        <w:pStyle w:val="ListParagraph"/>
        <w:numPr>
          <w:ilvl w:val="0"/>
          <w:numId w:val="1"/>
        </w:numPr>
        <w:tabs>
          <w:tab w:pos="437" w:val="left" w:leader="none"/>
        </w:tabs>
        <w:spacing w:line="283" w:lineRule="auto" w:before="0" w:after="0"/>
        <w:ind w:left="436" w:right="128" w:hanging="276"/>
        <w:jc w:val="both"/>
        <w:rPr>
          <w:sz w:val="21"/>
        </w:rPr>
      </w:pPr>
      <w:r>
        <w:rPr>
          <w:sz w:val="21"/>
        </w:rPr>
        <w:t>Produire des résolutions et émissions de tous types de certificats d’actions, sous la supervision d’un avocat</w:t>
      </w:r>
      <w:r>
        <w:rPr>
          <w:spacing w:val="2"/>
          <w:sz w:val="21"/>
        </w:rPr>
        <w:t> </w:t>
      </w:r>
      <w:r>
        <w:rPr>
          <w:sz w:val="21"/>
        </w:rPr>
        <w:t>sénior.</w:t>
      </w:r>
    </w:p>
    <w:p>
      <w:pPr>
        <w:pStyle w:val="ListParagraph"/>
        <w:numPr>
          <w:ilvl w:val="0"/>
          <w:numId w:val="1"/>
        </w:numPr>
        <w:tabs>
          <w:tab w:pos="437" w:val="left" w:leader="none"/>
        </w:tabs>
        <w:spacing w:line="280" w:lineRule="auto" w:before="0" w:after="0"/>
        <w:ind w:left="436" w:right="129" w:hanging="276"/>
        <w:jc w:val="both"/>
        <w:rPr>
          <w:sz w:val="21"/>
        </w:rPr>
      </w:pPr>
      <w:r>
        <w:rPr>
          <w:sz w:val="21"/>
        </w:rPr>
        <w:t>Préparer tous les formulaires et rapports pertinants pour les services gouvernementaux Registraire des entreprises, Corporation Canada et Ontario</w:t>
      </w:r>
      <w:r>
        <w:rPr>
          <w:spacing w:val="2"/>
          <w:sz w:val="21"/>
        </w:rPr>
        <w:t> </w:t>
      </w:r>
      <w:r>
        <w:rPr>
          <w:sz w:val="21"/>
        </w:rPr>
        <w:t>(Calura).</w:t>
      </w:r>
    </w:p>
    <w:p>
      <w:pPr>
        <w:pStyle w:val="ListParagraph"/>
        <w:numPr>
          <w:ilvl w:val="0"/>
          <w:numId w:val="1"/>
        </w:numPr>
        <w:tabs>
          <w:tab w:pos="490" w:val="left" w:leader="none"/>
        </w:tabs>
        <w:spacing w:line="283" w:lineRule="auto" w:before="0" w:after="0"/>
        <w:ind w:left="436" w:right="131" w:hanging="277"/>
        <w:jc w:val="both"/>
        <w:rPr>
          <w:sz w:val="21"/>
        </w:rPr>
      </w:pPr>
      <w:r>
        <w:rPr/>
        <w:tab/>
      </w:r>
      <w:r>
        <w:rPr>
          <w:sz w:val="21"/>
        </w:rPr>
        <w:t>Effectuer des recherches pour les avocats du cabinet en droit du travail, litige et droit de  successions, de même que la facturation, l’entrée de données et la</w:t>
      </w:r>
      <w:r>
        <w:rPr>
          <w:spacing w:val="12"/>
          <w:sz w:val="21"/>
        </w:rPr>
        <w:t> </w:t>
      </w:r>
      <w:r>
        <w:rPr>
          <w:sz w:val="21"/>
        </w:rPr>
        <w:t>collection.</w:t>
      </w:r>
    </w:p>
    <w:p>
      <w:pPr>
        <w:pStyle w:val="ListParagraph"/>
        <w:numPr>
          <w:ilvl w:val="0"/>
          <w:numId w:val="1"/>
        </w:numPr>
        <w:tabs>
          <w:tab w:pos="437" w:val="left" w:leader="none"/>
        </w:tabs>
        <w:spacing w:line="243" w:lineRule="exact" w:before="0" w:after="0"/>
        <w:ind w:left="436" w:right="0" w:hanging="277"/>
        <w:jc w:val="both"/>
        <w:rPr>
          <w:sz w:val="21"/>
        </w:rPr>
      </w:pPr>
      <w:r>
        <w:rPr>
          <w:sz w:val="21"/>
        </w:rPr>
        <w:t>Procéder à la mise à jour des données et manuels de droit servant d’outils à</w:t>
      </w:r>
      <w:r>
        <w:rPr>
          <w:spacing w:val="8"/>
          <w:sz w:val="21"/>
        </w:rPr>
        <w:t> </w:t>
      </w:r>
      <w:r>
        <w:rPr>
          <w:sz w:val="21"/>
        </w:rPr>
        <w:t>tous les avocats.</w:t>
      </w:r>
    </w:p>
    <w:p>
      <w:pPr>
        <w:pStyle w:val="ListParagraph"/>
        <w:numPr>
          <w:ilvl w:val="0"/>
          <w:numId w:val="1"/>
        </w:numPr>
        <w:tabs>
          <w:tab w:pos="437" w:val="left" w:leader="none"/>
        </w:tabs>
        <w:spacing w:line="240" w:lineRule="auto" w:before="38" w:after="0"/>
        <w:ind w:left="436" w:right="0" w:hanging="277"/>
        <w:jc w:val="both"/>
        <w:rPr>
          <w:sz w:val="21"/>
        </w:rPr>
      </w:pPr>
      <w:r>
        <w:rPr>
          <w:sz w:val="21"/>
        </w:rPr>
        <w:t>Soutenir la présidente dans l’organisation des réunions internes et produire les</w:t>
      </w:r>
      <w:r>
        <w:rPr>
          <w:spacing w:val="1"/>
          <w:sz w:val="21"/>
        </w:rPr>
        <w:t> </w:t>
      </w:r>
      <w:r>
        <w:rPr>
          <w:sz w:val="21"/>
        </w:rPr>
        <w:t>procès-verbaux.</w:t>
      </w:r>
    </w:p>
    <w:p>
      <w:pPr>
        <w:pStyle w:val="BodyText"/>
        <w:rPr>
          <w:sz w:val="24"/>
        </w:rPr>
      </w:pPr>
    </w:p>
    <w:p>
      <w:pPr>
        <w:pStyle w:val="Heading1"/>
        <w:tabs>
          <w:tab w:pos="9271" w:val="left" w:leader="none"/>
        </w:tabs>
        <w:spacing w:before="196"/>
      </w:pPr>
      <w:r>
        <w:rPr/>
        <w:t>CABINET DE M</w:t>
      </w:r>
      <w:r>
        <w:rPr>
          <w:vertAlign w:val="superscript"/>
        </w:rPr>
        <w:t>E</w:t>
      </w:r>
      <w:r>
        <w:rPr>
          <w:vertAlign w:val="baseline"/>
        </w:rPr>
        <w:t> BENOIT</w:t>
      </w:r>
      <w:r>
        <w:rPr>
          <w:spacing w:val="42"/>
          <w:vertAlign w:val="baseline"/>
        </w:rPr>
        <w:t> </w:t>
      </w:r>
      <w:r>
        <w:rPr>
          <w:vertAlign w:val="baseline"/>
        </w:rPr>
        <w:t>LAROSE,</w:t>
      </w:r>
      <w:r>
        <w:rPr>
          <w:spacing w:val="7"/>
          <w:vertAlign w:val="baseline"/>
        </w:rPr>
        <w:t> </w:t>
      </w:r>
      <w:r>
        <w:rPr>
          <w:vertAlign w:val="baseline"/>
        </w:rPr>
        <w:t>Montréal</w:t>
        <w:tab/>
        <w:t>2003 -</w:t>
      </w:r>
      <w:r>
        <w:rPr>
          <w:spacing w:val="5"/>
          <w:vertAlign w:val="baseline"/>
        </w:rPr>
        <w:t> </w:t>
      </w:r>
      <w:r>
        <w:rPr>
          <w:vertAlign w:val="baseline"/>
        </w:rPr>
        <w:t>2004</w:t>
      </w:r>
    </w:p>
    <w:p>
      <w:pPr>
        <w:spacing w:before="60"/>
        <w:ind w:left="160" w:right="0" w:firstLine="0"/>
        <w:jc w:val="both"/>
        <w:rPr>
          <w:sz w:val="17"/>
        </w:rPr>
      </w:pPr>
      <w:r>
        <w:rPr>
          <w:w w:val="105"/>
          <w:sz w:val="17"/>
        </w:rPr>
        <w:t>(Cabinet de droit offrant des services juridiques en droit civil.)</w:t>
      </w:r>
    </w:p>
    <w:p>
      <w:pPr>
        <w:pStyle w:val="BodyText"/>
        <w:spacing w:before="4"/>
        <w:rPr>
          <w:sz w:val="26"/>
        </w:rPr>
      </w:pPr>
    </w:p>
    <w:p>
      <w:pPr>
        <w:pStyle w:val="Heading1"/>
        <w:spacing w:before="1"/>
      </w:pPr>
      <w:r>
        <w:rPr/>
        <w:t>Assistante juridique</w:t>
      </w:r>
    </w:p>
    <w:p>
      <w:pPr>
        <w:pStyle w:val="ListParagraph"/>
        <w:numPr>
          <w:ilvl w:val="0"/>
          <w:numId w:val="1"/>
        </w:numPr>
        <w:tabs>
          <w:tab w:pos="437" w:val="left" w:leader="none"/>
        </w:tabs>
        <w:spacing w:line="240" w:lineRule="auto" w:before="53" w:after="0"/>
        <w:ind w:left="436" w:right="0" w:hanging="277"/>
        <w:jc w:val="left"/>
        <w:rPr>
          <w:sz w:val="21"/>
        </w:rPr>
      </w:pPr>
      <w:r>
        <w:rPr>
          <w:sz w:val="21"/>
        </w:rPr>
        <w:t>Effectuer les tâches de secrétariat selon les directives établies par Le</w:t>
      </w:r>
      <w:r>
        <w:rPr>
          <w:spacing w:val="17"/>
          <w:sz w:val="21"/>
        </w:rPr>
        <w:t> </w:t>
      </w:r>
      <w:r>
        <w:rPr>
          <w:sz w:val="21"/>
        </w:rPr>
        <w:t>Barreau.</w:t>
      </w:r>
    </w:p>
    <w:p>
      <w:pPr>
        <w:pStyle w:val="ListParagraph"/>
        <w:numPr>
          <w:ilvl w:val="0"/>
          <w:numId w:val="1"/>
        </w:numPr>
        <w:tabs>
          <w:tab w:pos="437" w:val="left" w:leader="none"/>
        </w:tabs>
        <w:spacing w:line="240" w:lineRule="auto" w:before="44" w:after="0"/>
        <w:ind w:left="436" w:right="0" w:hanging="277"/>
        <w:jc w:val="left"/>
        <w:rPr>
          <w:sz w:val="21"/>
        </w:rPr>
      </w:pPr>
      <w:r>
        <w:rPr>
          <w:sz w:val="21"/>
        </w:rPr>
        <w:t>Soutenir l’avocat dans les tâches cléricales et</w:t>
      </w:r>
      <w:r>
        <w:rPr>
          <w:spacing w:val="8"/>
          <w:sz w:val="21"/>
        </w:rPr>
        <w:t> </w:t>
      </w:r>
      <w:r>
        <w:rPr>
          <w:sz w:val="21"/>
        </w:rPr>
        <w:t>administratives.</w:t>
      </w:r>
    </w:p>
    <w:p>
      <w:pPr>
        <w:pStyle w:val="ListParagraph"/>
        <w:numPr>
          <w:ilvl w:val="0"/>
          <w:numId w:val="1"/>
        </w:numPr>
        <w:tabs>
          <w:tab w:pos="437" w:val="left" w:leader="none"/>
        </w:tabs>
        <w:spacing w:line="240" w:lineRule="auto" w:before="41" w:after="0"/>
        <w:ind w:left="436" w:right="0" w:hanging="277"/>
        <w:jc w:val="left"/>
        <w:rPr>
          <w:sz w:val="21"/>
        </w:rPr>
      </w:pPr>
      <w:r>
        <w:rPr>
          <w:sz w:val="21"/>
        </w:rPr>
        <w:t>Produire des recherches sur Internet et vérifications de plumitifs au palais de</w:t>
      </w:r>
      <w:r>
        <w:rPr>
          <w:spacing w:val="31"/>
          <w:sz w:val="21"/>
        </w:rPr>
        <w:t> </w:t>
      </w:r>
      <w:r>
        <w:rPr>
          <w:sz w:val="21"/>
        </w:rPr>
        <w:t>justice.</w:t>
      </w:r>
    </w:p>
    <w:p>
      <w:pPr>
        <w:pStyle w:val="ListParagraph"/>
        <w:numPr>
          <w:ilvl w:val="0"/>
          <w:numId w:val="1"/>
        </w:numPr>
        <w:tabs>
          <w:tab w:pos="437" w:val="left" w:leader="none"/>
        </w:tabs>
        <w:spacing w:line="244" w:lineRule="auto" w:before="42" w:after="0"/>
        <w:ind w:left="436" w:right="131" w:hanging="276"/>
        <w:jc w:val="left"/>
        <w:rPr>
          <w:sz w:val="21"/>
        </w:rPr>
      </w:pPr>
      <w:r>
        <w:rPr>
          <w:sz w:val="21"/>
        </w:rPr>
        <w:t>Faire timbrer, signifier et déposer les actions au palais de justice selon les délais et échéanciers prescrits.</w:t>
      </w:r>
    </w:p>
    <w:p>
      <w:pPr>
        <w:pStyle w:val="BodyText"/>
        <w:spacing w:line="280" w:lineRule="auto" w:before="195"/>
        <w:ind w:left="160" w:right="128"/>
        <w:jc w:val="both"/>
      </w:pPr>
      <w:r>
        <w:rPr/>
        <w:t>Le début de ma carrière se situe dans le domaine de l’assurance.   J’ai débuté comme secrétaire, pratiqué    à titre d’expert en sinistre pour ensuite me spécialiser comme souscripteur tout d’abord aux lignes commerciales pour terminer aux lignes</w:t>
      </w:r>
      <w:r>
        <w:rPr>
          <w:spacing w:val="3"/>
        </w:rPr>
        <w:t> </w:t>
      </w:r>
      <w:r>
        <w:rPr/>
        <w:t>personnelles.</w:t>
      </w:r>
    </w:p>
    <w:p>
      <w:pPr>
        <w:pStyle w:val="BodyText"/>
        <w:spacing w:before="9"/>
        <w:rPr>
          <w:sz w:val="23"/>
        </w:rPr>
      </w:pPr>
    </w:p>
    <w:p>
      <w:pPr>
        <w:pStyle w:val="Heading1"/>
        <w:tabs>
          <w:tab w:pos="9271" w:val="left" w:leader="none"/>
        </w:tabs>
      </w:pPr>
      <w:r>
        <w:rPr/>
        <w:t>GLOBAL-EXPERT,</w:t>
      </w:r>
      <w:r>
        <w:rPr>
          <w:spacing w:val="15"/>
        </w:rPr>
        <w:t> </w:t>
      </w:r>
      <w:r>
        <w:rPr/>
        <w:t>Montréal</w:t>
        <w:tab/>
        <w:t>2001-2002</w:t>
      </w:r>
    </w:p>
    <w:p>
      <w:pPr>
        <w:pStyle w:val="BodyText"/>
        <w:spacing w:before="56"/>
        <w:ind w:left="160"/>
      </w:pPr>
      <w:r>
        <w:rPr/>
        <w:t>(Cabinet de courtage offrant des services d’assurances générales et commerciales.)</w:t>
      </w:r>
    </w:p>
    <w:p>
      <w:pPr>
        <w:pStyle w:val="Heading1"/>
        <w:spacing w:before="32"/>
      </w:pPr>
      <w:r>
        <w:rPr/>
        <w:t>Souscripteur aux lignes personnelles</w:t>
      </w:r>
    </w:p>
    <w:p>
      <w:pPr>
        <w:pStyle w:val="BodyText"/>
        <w:rPr>
          <w:b/>
          <w:sz w:val="28"/>
        </w:rPr>
      </w:pPr>
    </w:p>
    <w:p>
      <w:pPr>
        <w:tabs>
          <w:tab w:pos="9271" w:val="left" w:leader="none"/>
        </w:tabs>
        <w:spacing w:before="0"/>
        <w:ind w:left="160" w:right="0" w:firstLine="0"/>
        <w:jc w:val="left"/>
        <w:rPr>
          <w:b/>
          <w:sz w:val="21"/>
        </w:rPr>
      </w:pPr>
      <w:r>
        <w:rPr>
          <w:b/>
          <w:sz w:val="21"/>
        </w:rPr>
        <w:t>ASSURANCES ANGELONE</w:t>
      </w:r>
      <w:r>
        <w:rPr>
          <w:b/>
          <w:spacing w:val="27"/>
          <w:sz w:val="21"/>
        </w:rPr>
        <w:t> </w:t>
      </w:r>
      <w:r>
        <w:rPr>
          <w:b/>
          <w:sz w:val="21"/>
        </w:rPr>
        <w:t>INC,</w:t>
      </w:r>
      <w:r>
        <w:rPr>
          <w:b/>
          <w:spacing w:val="14"/>
          <w:sz w:val="21"/>
        </w:rPr>
        <w:t> </w:t>
      </w:r>
      <w:r>
        <w:rPr>
          <w:b/>
          <w:sz w:val="21"/>
        </w:rPr>
        <w:t>Montréal</w:t>
        <w:tab/>
        <w:t>1998 -</w:t>
      </w:r>
      <w:r>
        <w:rPr>
          <w:b/>
          <w:spacing w:val="5"/>
          <w:sz w:val="21"/>
        </w:rPr>
        <w:t> </w:t>
      </w:r>
      <w:r>
        <w:rPr>
          <w:b/>
          <w:sz w:val="21"/>
        </w:rPr>
        <w:t>2001</w:t>
      </w:r>
    </w:p>
    <w:p>
      <w:pPr>
        <w:pStyle w:val="BodyText"/>
        <w:spacing w:before="56"/>
        <w:ind w:left="160"/>
      </w:pPr>
      <w:r>
        <w:rPr/>
        <w:t>(Cabinet de courtage offrant des services d’assurances générales et commerciales.)</w:t>
      </w:r>
    </w:p>
    <w:p>
      <w:pPr>
        <w:pStyle w:val="Heading1"/>
        <w:spacing w:before="29"/>
      </w:pPr>
      <w:r>
        <w:rPr/>
        <w:t>Souscripteur aux lignes personnelles</w:t>
      </w:r>
    </w:p>
    <w:p>
      <w:pPr>
        <w:pStyle w:val="BodyText"/>
        <w:spacing w:before="11"/>
        <w:rPr>
          <w:b/>
          <w:sz w:val="8"/>
        </w:rPr>
      </w:pPr>
    </w:p>
    <w:p>
      <w:pPr>
        <w:spacing w:before="104"/>
        <w:ind w:left="55" w:right="0" w:firstLine="0"/>
        <w:jc w:val="center"/>
        <w:rPr>
          <w:rFonts w:ascii="Century Schoolbook"/>
          <w:sz w:val="19"/>
        </w:rPr>
      </w:pPr>
      <w:r>
        <w:rPr>
          <w:rFonts w:ascii="Century Schoolbook"/>
          <w:color w:val="565E6C"/>
          <w:w w:val="101"/>
          <w:sz w:val="19"/>
        </w:rPr>
        <w:t>2</w:t>
      </w:r>
    </w:p>
    <w:p>
      <w:pPr>
        <w:spacing w:after="0"/>
        <w:jc w:val="center"/>
        <w:rPr>
          <w:rFonts w:ascii="Century Schoolbook"/>
          <w:sz w:val="19"/>
        </w:rPr>
        <w:sectPr>
          <w:headerReference w:type="default" r:id="rId7"/>
          <w:pgSz w:w="11900" w:h="16840"/>
          <w:pgMar w:header="1533" w:footer="0" w:top="1800" w:bottom="280" w:left="540" w:right="580"/>
          <w:pgNumType w:start="2"/>
        </w:sectPr>
      </w:pPr>
    </w:p>
    <w:p>
      <w:pPr>
        <w:pStyle w:val="BodyText"/>
        <w:rPr>
          <w:rFonts w:ascii="Century Schoolbook"/>
          <w:sz w:val="20"/>
        </w:rPr>
      </w:pPr>
    </w:p>
    <w:p>
      <w:pPr>
        <w:pStyle w:val="BodyText"/>
        <w:rPr>
          <w:rFonts w:ascii="Century Schoolbook"/>
          <w:sz w:val="20"/>
        </w:rPr>
      </w:pPr>
    </w:p>
    <w:p>
      <w:pPr>
        <w:pStyle w:val="BodyText"/>
        <w:rPr>
          <w:rFonts w:ascii="Century Schoolbook"/>
          <w:sz w:val="20"/>
        </w:rPr>
      </w:pPr>
    </w:p>
    <w:p>
      <w:pPr>
        <w:pStyle w:val="BodyText"/>
        <w:spacing w:before="5"/>
        <w:rPr>
          <w:rFonts w:ascii="Century Schoolbook"/>
          <w:sz w:val="14"/>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52"/>
        <w:gridCol w:w="1588"/>
      </w:tblGrid>
      <w:tr>
        <w:trPr>
          <w:trHeight w:val="276" w:hRule="atLeast"/>
        </w:trPr>
        <w:tc>
          <w:tcPr>
            <w:tcW w:w="8752" w:type="dxa"/>
          </w:tcPr>
          <w:p>
            <w:pPr>
              <w:pStyle w:val="TableParagraph"/>
              <w:spacing w:before="4"/>
              <w:rPr>
                <w:b/>
                <w:sz w:val="21"/>
              </w:rPr>
            </w:pPr>
            <w:r>
              <w:rPr>
                <w:b/>
                <w:sz w:val="21"/>
              </w:rPr>
              <w:t>QUESNEL, TREMBLAY, CHARLEBOIS, Montréal</w:t>
            </w:r>
          </w:p>
        </w:tc>
        <w:tc>
          <w:tcPr>
            <w:tcW w:w="1588" w:type="dxa"/>
          </w:tcPr>
          <w:p>
            <w:pPr>
              <w:pStyle w:val="TableParagraph"/>
              <w:spacing w:before="4"/>
              <w:ind w:left="0" w:right="51"/>
              <w:jc w:val="right"/>
              <w:rPr>
                <w:b/>
                <w:sz w:val="21"/>
              </w:rPr>
            </w:pPr>
            <w:r>
              <w:rPr>
                <w:b/>
                <w:sz w:val="21"/>
              </w:rPr>
              <w:t>1996 - 1998</w:t>
            </w:r>
          </w:p>
        </w:tc>
      </w:tr>
      <w:tr>
        <w:trPr>
          <w:trHeight w:val="704" w:hRule="atLeast"/>
        </w:trPr>
        <w:tc>
          <w:tcPr>
            <w:tcW w:w="8752" w:type="dxa"/>
          </w:tcPr>
          <w:p>
            <w:pPr>
              <w:pStyle w:val="TableParagraph"/>
              <w:spacing w:before="28"/>
              <w:rPr>
                <w:sz w:val="21"/>
              </w:rPr>
            </w:pPr>
            <w:r>
              <w:rPr>
                <w:sz w:val="21"/>
              </w:rPr>
              <w:t>(Cabinet de courtage offrant des services d’assurances générales et commerciales.)</w:t>
            </w:r>
          </w:p>
          <w:p>
            <w:pPr>
              <w:pStyle w:val="TableParagraph"/>
              <w:spacing w:before="30"/>
              <w:rPr>
                <w:b/>
                <w:sz w:val="21"/>
              </w:rPr>
            </w:pPr>
            <w:r>
              <w:rPr>
                <w:b/>
                <w:sz w:val="21"/>
              </w:rPr>
              <w:t>Souscripteur aux lignes personnelles</w:t>
            </w:r>
          </w:p>
        </w:tc>
        <w:tc>
          <w:tcPr>
            <w:tcW w:w="1588" w:type="dxa"/>
          </w:tcPr>
          <w:p>
            <w:pPr>
              <w:pStyle w:val="TableParagraph"/>
              <w:ind w:left="0"/>
              <w:rPr>
                <w:rFonts w:ascii="Times New Roman"/>
                <w:sz w:val="20"/>
              </w:rPr>
            </w:pPr>
          </w:p>
        </w:tc>
      </w:tr>
      <w:tr>
        <w:trPr>
          <w:trHeight w:val="447" w:hRule="atLeast"/>
        </w:trPr>
        <w:tc>
          <w:tcPr>
            <w:tcW w:w="8752" w:type="dxa"/>
          </w:tcPr>
          <w:p>
            <w:pPr>
              <w:pStyle w:val="TableParagraph"/>
              <w:spacing w:before="181"/>
              <w:rPr>
                <w:b/>
                <w:sz w:val="21"/>
              </w:rPr>
            </w:pPr>
            <w:r>
              <w:rPr>
                <w:b/>
                <w:sz w:val="21"/>
              </w:rPr>
              <w:t>KNOW VICARS M</w:t>
            </w:r>
            <w:r>
              <w:rPr>
                <w:b/>
                <w:sz w:val="21"/>
                <w:vertAlign w:val="superscript"/>
              </w:rPr>
              <w:t>C</w:t>
            </w:r>
            <w:r>
              <w:rPr>
                <w:b/>
                <w:sz w:val="21"/>
                <w:vertAlign w:val="baseline"/>
              </w:rPr>
              <w:t>CLAIN, Montréal</w:t>
            </w:r>
          </w:p>
        </w:tc>
        <w:tc>
          <w:tcPr>
            <w:tcW w:w="1588" w:type="dxa"/>
          </w:tcPr>
          <w:p>
            <w:pPr>
              <w:pStyle w:val="TableParagraph"/>
              <w:spacing w:before="181"/>
              <w:ind w:left="0" w:right="48"/>
              <w:jc w:val="right"/>
              <w:rPr>
                <w:b/>
                <w:sz w:val="21"/>
              </w:rPr>
            </w:pPr>
            <w:r>
              <w:rPr>
                <w:b/>
                <w:sz w:val="21"/>
              </w:rPr>
              <w:t>1992 - 1995</w:t>
            </w:r>
          </w:p>
        </w:tc>
      </w:tr>
      <w:tr>
        <w:trPr>
          <w:trHeight w:val="287" w:hRule="atLeast"/>
        </w:trPr>
        <w:tc>
          <w:tcPr>
            <w:tcW w:w="8752" w:type="dxa"/>
          </w:tcPr>
          <w:p>
            <w:pPr>
              <w:pStyle w:val="TableParagraph"/>
              <w:spacing w:line="244" w:lineRule="exact" w:before="23"/>
              <w:rPr>
                <w:sz w:val="21"/>
              </w:rPr>
            </w:pPr>
            <w:r>
              <w:rPr>
                <w:b/>
                <w:sz w:val="21"/>
              </w:rPr>
              <w:t>(</w:t>
            </w:r>
            <w:r>
              <w:rPr>
                <w:sz w:val="21"/>
              </w:rPr>
              <w:t>Cabinet de courtage offrant des services d’assurances générales et commerciales.)</w:t>
            </w:r>
          </w:p>
        </w:tc>
        <w:tc>
          <w:tcPr>
            <w:tcW w:w="1588" w:type="dxa"/>
          </w:tcPr>
          <w:p>
            <w:pPr>
              <w:pStyle w:val="TableParagraph"/>
              <w:ind w:left="0"/>
              <w:rPr>
                <w:rFonts w:ascii="Times New Roman"/>
                <w:sz w:val="20"/>
              </w:rPr>
            </w:pPr>
          </w:p>
        </w:tc>
      </w:tr>
      <w:tr>
        <w:trPr>
          <w:trHeight w:val="287" w:hRule="atLeast"/>
        </w:trPr>
        <w:tc>
          <w:tcPr>
            <w:tcW w:w="8752" w:type="dxa"/>
          </w:tcPr>
          <w:p>
            <w:pPr>
              <w:pStyle w:val="TableParagraph"/>
              <w:spacing w:before="21"/>
              <w:rPr>
                <w:b/>
                <w:sz w:val="21"/>
              </w:rPr>
            </w:pPr>
            <w:r>
              <w:rPr>
                <w:b/>
                <w:sz w:val="21"/>
              </w:rPr>
              <w:t>Souscripteur aux lignes commerciales (1992-1995)</w:t>
            </w:r>
          </w:p>
        </w:tc>
        <w:tc>
          <w:tcPr>
            <w:tcW w:w="1588" w:type="dxa"/>
          </w:tcPr>
          <w:p>
            <w:pPr>
              <w:pStyle w:val="TableParagraph"/>
              <w:ind w:left="0"/>
              <w:rPr>
                <w:rFonts w:ascii="Times New Roman"/>
                <w:sz w:val="20"/>
              </w:rPr>
            </w:pPr>
          </w:p>
        </w:tc>
      </w:tr>
      <w:tr>
        <w:trPr>
          <w:trHeight w:val="434" w:hRule="atLeast"/>
        </w:trPr>
        <w:tc>
          <w:tcPr>
            <w:tcW w:w="8752" w:type="dxa"/>
          </w:tcPr>
          <w:p>
            <w:pPr>
              <w:pStyle w:val="TableParagraph"/>
              <w:spacing w:before="23"/>
              <w:rPr>
                <w:b/>
                <w:sz w:val="21"/>
              </w:rPr>
            </w:pPr>
            <w:r>
              <w:rPr>
                <w:b/>
                <w:sz w:val="21"/>
              </w:rPr>
              <w:t>Secrétaire (1992)</w:t>
            </w:r>
          </w:p>
        </w:tc>
        <w:tc>
          <w:tcPr>
            <w:tcW w:w="1588" w:type="dxa"/>
          </w:tcPr>
          <w:p>
            <w:pPr>
              <w:pStyle w:val="TableParagraph"/>
              <w:ind w:left="0"/>
              <w:rPr>
                <w:rFonts w:ascii="Times New Roman"/>
                <w:sz w:val="20"/>
              </w:rPr>
            </w:pPr>
          </w:p>
        </w:tc>
      </w:tr>
      <w:tr>
        <w:trPr>
          <w:trHeight w:val="440" w:hRule="atLeast"/>
        </w:trPr>
        <w:tc>
          <w:tcPr>
            <w:tcW w:w="8752" w:type="dxa"/>
          </w:tcPr>
          <w:p>
            <w:pPr>
              <w:pStyle w:val="TableParagraph"/>
              <w:spacing w:before="167"/>
              <w:rPr>
                <w:b/>
                <w:sz w:val="21"/>
              </w:rPr>
            </w:pPr>
            <w:r>
              <w:rPr>
                <w:b/>
                <w:sz w:val="21"/>
              </w:rPr>
              <w:t>KOCISKO SENERAL, Montréal</w:t>
            </w:r>
          </w:p>
        </w:tc>
        <w:tc>
          <w:tcPr>
            <w:tcW w:w="1588" w:type="dxa"/>
          </w:tcPr>
          <w:p>
            <w:pPr>
              <w:pStyle w:val="TableParagraph"/>
              <w:spacing w:before="167"/>
              <w:ind w:left="0" w:right="48"/>
              <w:jc w:val="right"/>
              <w:rPr>
                <w:b/>
                <w:sz w:val="21"/>
              </w:rPr>
            </w:pPr>
            <w:r>
              <w:rPr>
                <w:b/>
                <w:sz w:val="21"/>
              </w:rPr>
              <w:t>1991 - 1992</w:t>
            </w:r>
          </w:p>
        </w:tc>
      </w:tr>
      <w:tr>
        <w:trPr>
          <w:trHeight w:val="716" w:hRule="atLeast"/>
        </w:trPr>
        <w:tc>
          <w:tcPr>
            <w:tcW w:w="8752" w:type="dxa"/>
          </w:tcPr>
          <w:p>
            <w:pPr>
              <w:pStyle w:val="TableParagraph"/>
              <w:spacing w:before="29"/>
              <w:rPr>
                <w:sz w:val="21"/>
              </w:rPr>
            </w:pPr>
            <w:r>
              <w:rPr>
                <w:sz w:val="21"/>
              </w:rPr>
              <w:t>(Cabinet de courtage offrant des services d’assurances générales et commerciales.)</w:t>
            </w:r>
          </w:p>
          <w:p>
            <w:pPr>
              <w:pStyle w:val="TableParagraph"/>
              <w:spacing w:before="30"/>
              <w:rPr>
                <w:b/>
                <w:sz w:val="21"/>
              </w:rPr>
            </w:pPr>
            <w:r>
              <w:rPr>
                <w:b/>
                <w:sz w:val="21"/>
              </w:rPr>
              <w:t>Responsable du département des réclamations/expert en sinistres</w:t>
            </w:r>
          </w:p>
        </w:tc>
        <w:tc>
          <w:tcPr>
            <w:tcW w:w="1588" w:type="dxa"/>
          </w:tcPr>
          <w:p>
            <w:pPr>
              <w:pStyle w:val="TableParagraph"/>
              <w:ind w:left="0"/>
              <w:rPr>
                <w:rFonts w:ascii="Times New Roman"/>
                <w:sz w:val="20"/>
              </w:rPr>
            </w:pPr>
          </w:p>
        </w:tc>
      </w:tr>
      <w:tr>
        <w:trPr>
          <w:trHeight w:val="440" w:hRule="atLeast"/>
        </w:trPr>
        <w:tc>
          <w:tcPr>
            <w:tcW w:w="8752" w:type="dxa"/>
          </w:tcPr>
          <w:p>
            <w:pPr>
              <w:pStyle w:val="TableParagraph"/>
              <w:spacing w:before="167"/>
              <w:rPr>
                <w:b/>
                <w:sz w:val="21"/>
              </w:rPr>
            </w:pPr>
            <w:r>
              <w:rPr>
                <w:b/>
                <w:sz w:val="21"/>
              </w:rPr>
              <w:t>BERTOLDI PICARD, Montréal</w:t>
            </w:r>
          </w:p>
        </w:tc>
        <w:tc>
          <w:tcPr>
            <w:tcW w:w="1588" w:type="dxa"/>
          </w:tcPr>
          <w:p>
            <w:pPr>
              <w:pStyle w:val="TableParagraph"/>
              <w:spacing w:before="167"/>
              <w:ind w:left="0" w:right="48"/>
              <w:jc w:val="right"/>
              <w:rPr>
                <w:b/>
                <w:sz w:val="21"/>
              </w:rPr>
            </w:pPr>
            <w:r>
              <w:rPr>
                <w:b/>
                <w:sz w:val="21"/>
              </w:rPr>
              <w:t>1990 - 1991</w:t>
            </w:r>
          </w:p>
        </w:tc>
      </w:tr>
      <w:tr>
        <w:trPr>
          <w:trHeight w:val="571" w:hRule="atLeast"/>
        </w:trPr>
        <w:tc>
          <w:tcPr>
            <w:tcW w:w="8752" w:type="dxa"/>
          </w:tcPr>
          <w:p>
            <w:pPr>
              <w:pStyle w:val="TableParagraph"/>
              <w:spacing w:before="29"/>
              <w:rPr>
                <w:sz w:val="21"/>
              </w:rPr>
            </w:pPr>
            <w:r>
              <w:rPr>
                <w:sz w:val="21"/>
              </w:rPr>
              <w:t>(Bureau d’experts en sinistres)</w:t>
            </w:r>
          </w:p>
          <w:p>
            <w:pPr>
              <w:pStyle w:val="TableParagraph"/>
              <w:spacing w:line="246" w:lineRule="exact" w:before="30"/>
              <w:rPr>
                <w:b/>
                <w:sz w:val="21"/>
              </w:rPr>
            </w:pPr>
            <w:r>
              <w:rPr>
                <w:b/>
                <w:sz w:val="21"/>
              </w:rPr>
              <w:t>Experte en sinistres (1990-1991)</w:t>
            </w:r>
          </w:p>
        </w:tc>
        <w:tc>
          <w:tcPr>
            <w:tcW w:w="1588" w:type="dxa"/>
          </w:tcPr>
          <w:p>
            <w:pPr>
              <w:pStyle w:val="TableParagraph"/>
              <w:ind w:left="0"/>
              <w:rPr>
                <w:rFonts w:ascii="Times New Roman"/>
                <w:sz w:val="20"/>
              </w:rPr>
            </w:pPr>
          </w:p>
        </w:tc>
      </w:tr>
      <w:tr>
        <w:trPr>
          <w:trHeight w:val="270" w:hRule="atLeast"/>
        </w:trPr>
        <w:tc>
          <w:tcPr>
            <w:tcW w:w="8752" w:type="dxa"/>
          </w:tcPr>
          <w:p>
            <w:pPr>
              <w:pStyle w:val="TableParagraph"/>
              <w:spacing w:line="228" w:lineRule="exact" w:before="22"/>
              <w:rPr>
                <w:b/>
                <w:sz w:val="21"/>
              </w:rPr>
            </w:pPr>
            <w:r>
              <w:rPr>
                <w:b/>
                <w:sz w:val="21"/>
              </w:rPr>
              <w:t>Secrétaire (1990)</w:t>
            </w:r>
          </w:p>
        </w:tc>
        <w:tc>
          <w:tcPr>
            <w:tcW w:w="1588" w:type="dxa"/>
          </w:tcPr>
          <w:p>
            <w:pPr>
              <w:pStyle w:val="TableParagraph"/>
              <w:ind w:left="0"/>
              <w:rPr>
                <w:rFonts w:ascii="Times New Roman"/>
                <w:sz w:val="20"/>
              </w:rPr>
            </w:pPr>
          </w:p>
        </w:tc>
      </w:tr>
    </w:tbl>
    <w:p>
      <w:pPr>
        <w:pStyle w:val="BodyText"/>
        <w:rPr>
          <w:rFonts w:ascii="Century Schoolbook"/>
          <w:sz w:val="20"/>
        </w:rPr>
      </w:pPr>
    </w:p>
    <w:p>
      <w:pPr>
        <w:pStyle w:val="BodyText"/>
        <w:spacing w:before="11"/>
        <w:rPr>
          <w:rFonts w:ascii="Century Schoolbook"/>
          <w:sz w:val="19"/>
        </w:rPr>
      </w:pPr>
    </w:p>
    <w:p>
      <w:pPr>
        <w:spacing w:before="105"/>
        <w:ind w:left="3478" w:right="3450" w:firstLine="0"/>
        <w:jc w:val="center"/>
        <w:rPr>
          <w:b/>
          <w:sz w:val="21"/>
        </w:rPr>
      </w:pPr>
      <w:r>
        <w:rPr>
          <w:b/>
          <w:sz w:val="21"/>
          <w:u w:val="single"/>
        </w:rPr>
        <w:t>FORMATION ACADÉMIQUE</w:t>
      </w:r>
    </w:p>
    <w:p>
      <w:pPr>
        <w:pStyle w:val="BodyText"/>
        <w:spacing w:before="10"/>
        <w:rPr>
          <w:b/>
          <w:sz w:val="16"/>
        </w:rPr>
      </w:pPr>
    </w:p>
    <w:p>
      <w:pPr>
        <w:pStyle w:val="BodyText"/>
        <w:spacing w:line="245" w:lineRule="exact" w:before="105"/>
        <w:ind w:left="160"/>
      </w:pPr>
      <w:r>
        <w:rPr/>
        <w:t>ÉCOLE PROGRESSIVE, Montréal</w:t>
      </w:r>
    </w:p>
    <w:p>
      <w:pPr>
        <w:pStyle w:val="Heading1"/>
        <w:numPr>
          <w:ilvl w:val="1"/>
          <w:numId w:val="1"/>
        </w:numPr>
        <w:tabs>
          <w:tab w:pos="862" w:val="left" w:leader="none"/>
        </w:tabs>
        <w:spacing w:line="245" w:lineRule="exact" w:before="0" w:after="0"/>
        <w:ind w:left="861" w:right="0" w:hanging="351"/>
        <w:jc w:val="left"/>
      </w:pPr>
      <w:r>
        <w:rPr/>
        <w:t>Diplôme d’études secondaires</w:t>
      </w:r>
      <w:r>
        <w:rPr>
          <w:spacing w:val="2"/>
        </w:rPr>
        <w:t> </w:t>
      </w:r>
      <w:r>
        <w:rPr/>
        <w:t>(D.E.S.)</w:t>
      </w:r>
    </w:p>
    <w:p>
      <w:pPr>
        <w:pStyle w:val="ListParagraph"/>
        <w:numPr>
          <w:ilvl w:val="1"/>
          <w:numId w:val="1"/>
        </w:numPr>
        <w:tabs>
          <w:tab w:pos="862" w:val="left" w:leader="none"/>
        </w:tabs>
        <w:spacing w:line="240" w:lineRule="auto" w:before="3" w:after="0"/>
        <w:ind w:left="861" w:right="0" w:hanging="351"/>
        <w:jc w:val="left"/>
        <w:rPr>
          <w:b/>
          <w:sz w:val="21"/>
        </w:rPr>
      </w:pPr>
      <w:r>
        <w:rPr>
          <w:b/>
          <w:sz w:val="21"/>
        </w:rPr>
        <w:t>Diplôme d’études professionnelle avec spécialité en secrétariat</w:t>
      </w:r>
      <w:r>
        <w:rPr>
          <w:b/>
          <w:spacing w:val="18"/>
          <w:sz w:val="21"/>
        </w:rPr>
        <w:t> </w:t>
      </w:r>
      <w:r>
        <w:rPr>
          <w:b/>
          <w:sz w:val="21"/>
        </w:rPr>
        <w:t>(D.E.P.)</w:t>
      </w:r>
    </w:p>
    <w:p>
      <w:pPr>
        <w:pStyle w:val="BodyText"/>
        <w:spacing w:before="11"/>
        <w:rPr>
          <w:b/>
          <w:sz w:val="22"/>
        </w:rPr>
      </w:pPr>
    </w:p>
    <w:p>
      <w:pPr>
        <w:pStyle w:val="BodyText"/>
        <w:spacing w:line="242" w:lineRule="exact"/>
        <w:ind w:left="160"/>
      </w:pPr>
      <w:r>
        <w:rPr/>
        <w:t>INSTITUT REINE-MARIE, Montréal</w:t>
      </w:r>
    </w:p>
    <w:p>
      <w:pPr>
        <w:pStyle w:val="Heading1"/>
        <w:numPr>
          <w:ilvl w:val="1"/>
          <w:numId w:val="1"/>
        </w:numPr>
        <w:tabs>
          <w:tab w:pos="862" w:val="left" w:leader="none"/>
        </w:tabs>
        <w:spacing w:line="242" w:lineRule="exact" w:before="0" w:after="0"/>
        <w:ind w:left="861" w:right="0" w:hanging="351"/>
        <w:jc w:val="left"/>
      </w:pPr>
      <w:r>
        <w:rPr/>
        <w:t>Études secondaires 1, 2 et</w:t>
      </w:r>
      <w:r>
        <w:rPr>
          <w:spacing w:val="-6"/>
        </w:rPr>
        <w:t> </w:t>
      </w:r>
      <w:r>
        <w:rPr/>
        <w:t>3</w:t>
      </w:r>
    </w:p>
    <w:p>
      <w:pPr>
        <w:pStyle w:val="BodyText"/>
        <w:rPr>
          <w:b/>
          <w:sz w:val="24"/>
        </w:rPr>
      </w:pPr>
    </w:p>
    <w:p>
      <w:pPr>
        <w:pStyle w:val="BodyText"/>
        <w:spacing w:before="4"/>
        <w:rPr>
          <w:b/>
          <w:sz w:val="19"/>
        </w:rPr>
      </w:pPr>
    </w:p>
    <w:p>
      <w:pPr>
        <w:spacing w:before="1"/>
        <w:ind w:left="3476" w:right="3450" w:firstLine="0"/>
        <w:jc w:val="center"/>
        <w:rPr>
          <w:b/>
          <w:sz w:val="21"/>
        </w:rPr>
      </w:pPr>
      <w:r>
        <w:rPr>
          <w:b/>
          <w:sz w:val="21"/>
          <w:u w:val="single"/>
        </w:rPr>
        <w:t>FORMATION CONTINUE</w:t>
      </w:r>
    </w:p>
    <w:p>
      <w:pPr>
        <w:pStyle w:val="BodyText"/>
        <w:spacing w:before="9"/>
        <w:rPr>
          <w:b/>
          <w:sz w:val="13"/>
        </w:rPr>
      </w:pPr>
    </w:p>
    <w:p>
      <w:pPr>
        <w:pStyle w:val="BodyText"/>
        <w:tabs>
          <w:tab w:pos="5066" w:val="left" w:leader="none"/>
        </w:tabs>
        <w:spacing w:before="105"/>
        <w:ind w:left="160"/>
      </w:pPr>
      <w:r>
        <w:rPr/>
        <w:t>Cours spécifiques au domaine</w:t>
      </w:r>
      <w:r>
        <w:rPr>
          <w:spacing w:val="39"/>
        </w:rPr>
        <w:t> </w:t>
      </w:r>
      <w:r>
        <w:rPr/>
        <w:t>de</w:t>
      </w:r>
      <w:r>
        <w:rPr>
          <w:spacing w:val="9"/>
        </w:rPr>
        <w:t> </w:t>
      </w:r>
      <w:r>
        <w:rPr/>
        <w:t>l’assurance:</w:t>
      </w:r>
      <w:r>
        <w:rPr>
          <w:rFonts w:ascii="Times New Roman" w:hAnsi="Times New Roman"/>
        </w:rPr>
        <w:tab/>
      </w:r>
      <w:r>
        <w:rPr/>
        <w:t>C-11 introduction à</w:t>
      </w:r>
      <w:r>
        <w:rPr>
          <w:spacing w:val="6"/>
        </w:rPr>
        <w:t> </w:t>
      </w:r>
      <w:r>
        <w:rPr/>
        <w:t>l’assurance</w:t>
      </w:r>
    </w:p>
    <w:p>
      <w:pPr>
        <w:pStyle w:val="ListParagraph"/>
        <w:numPr>
          <w:ilvl w:val="1"/>
          <w:numId w:val="2"/>
        </w:numPr>
        <w:tabs>
          <w:tab w:pos="5593" w:val="left" w:leader="none"/>
        </w:tabs>
        <w:spacing w:line="240" w:lineRule="auto" w:before="5" w:after="0"/>
        <w:ind w:left="5592" w:right="0" w:hanging="527"/>
        <w:jc w:val="left"/>
        <w:rPr>
          <w:sz w:val="21"/>
        </w:rPr>
      </w:pPr>
      <w:r>
        <w:rPr>
          <w:sz w:val="21"/>
        </w:rPr>
        <w:t>assurance</w:t>
      </w:r>
      <w:r>
        <w:rPr>
          <w:spacing w:val="1"/>
          <w:sz w:val="21"/>
        </w:rPr>
        <w:t> </w:t>
      </w:r>
      <w:r>
        <w:rPr>
          <w:sz w:val="21"/>
        </w:rPr>
        <w:t>automobile</w:t>
      </w:r>
    </w:p>
    <w:p>
      <w:pPr>
        <w:pStyle w:val="ListParagraph"/>
        <w:numPr>
          <w:ilvl w:val="1"/>
          <w:numId w:val="2"/>
        </w:numPr>
        <w:tabs>
          <w:tab w:pos="5593" w:val="left" w:leader="none"/>
        </w:tabs>
        <w:spacing w:line="242" w:lineRule="auto" w:before="6" w:after="0"/>
        <w:ind w:left="5066" w:right="2134" w:firstLine="0"/>
        <w:jc w:val="left"/>
        <w:rPr>
          <w:sz w:val="21"/>
        </w:rPr>
      </w:pPr>
      <w:r>
        <w:rPr>
          <w:sz w:val="21"/>
        </w:rPr>
        <w:t>assurance responsabilité civile C-14 assurance</w:t>
      </w:r>
      <w:r>
        <w:rPr>
          <w:spacing w:val="7"/>
          <w:sz w:val="21"/>
        </w:rPr>
        <w:t> </w:t>
      </w:r>
      <w:r>
        <w:rPr>
          <w:sz w:val="21"/>
        </w:rPr>
        <w:t>résidentielle</w:t>
      </w:r>
    </w:p>
    <w:p>
      <w:pPr>
        <w:pStyle w:val="BodyText"/>
        <w:spacing w:before="3"/>
        <w:ind w:left="5066"/>
      </w:pPr>
      <w:r>
        <w:rPr/>
        <w:t>C-17 assurance commerciale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0"/>
        </w:rPr>
      </w:pPr>
    </w:p>
    <w:p>
      <w:pPr>
        <w:spacing w:before="0"/>
        <w:ind w:left="55" w:right="0" w:firstLine="0"/>
        <w:jc w:val="center"/>
        <w:rPr>
          <w:rFonts w:ascii="Century Schoolbook"/>
          <w:sz w:val="19"/>
        </w:rPr>
      </w:pPr>
      <w:r>
        <w:rPr>
          <w:rFonts w:ascii="Century Schoolbook"/>
          <w:color w:val="565E6C"/>
          <w:w w:val="101"/>
          <w:sz w:val="19"/>
        </w:rPr>
        <w:t>3</w:t>
      </w:r>
    </w:p>
    <w:sectPr>
      <w:pgSz w:w="11900" w:h="16840"/>
      <w:pgMar w:header="1533" w:footer="0" w:top="1800" w:bottom="280" w:left="5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Rockwell">
    <w:altName w:val="Rockwell"/>
    <w:charset w:val="0"/>
    <w:family w:val="roman"/>
    <w:pitch w:val="variable"/>
  </w:font>
  <w:font w:name="Century Schoolbook">
    <w:altName w:val="Century Schoolbook"/>
    <w:charset w:val="0"/>
    <w:family w:val="roman"/>
    <w:pitch w:val="variable"/>
  </w:font>
  <w:font w:name="Wingdings">
    <w:altName w:val="Wingdings"/>
    <w:charset w:val="2"/>
    <w:family w:val="auto"/>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4.039986pt;margin-top:75.673546pt;width:68.8pt;height:15.75pt;mso-position-horizontal-relative:page;mso-position-vertical-relative:page;z-index:-251890688" type="#_x0000_t202" filled="false" stroked="false">
          <v:textbox inset="0,0,0,0">
            <w:txbxContent>
              <w:p>
                <w:pPr>
                  <w:spacing w:before="23"/>
                  <w:ind w:left="20" w:right="0" w:firstLine="0"/>
                  <w:jc w:val="left"/>
                  <w:rPr>
                    <w:b/>
                    <w:sz w:val="23"/>
                  </w:rPr>
                </w:pPr>
                <w:r>
                  <w:rPr>
                    <w:b/>
                    <w:color w:val="565E6C"/>
                    <w:sz w:val="23"/>
                  </w:rPr>
                  <w:t>Line Dorais</w:t>
                </w:r>
              </w:p>
            </w:txbxContent>
          </v:textbox>
          <w10:wrap type="none"/>
        </v:shape>
      </w:pict>
    </w:r>
    <w:r>
      <w:rPr/>
      <w:pict>
        <v:shape style="position:absolute;margin-left:489.55899pt;margin-top:75.673546pt;width:41.15pt;height:15.75pt;mso-position-horizontal-relative:page;mso-position-vertical-relative:page;z-index:-251889664" type="#_x0000_t202" filled="false" stroked="false">
          <v:textbox inset="0,0,0,0">
            <w:txbxContent>
              <w:p>
                <w:pPr>
                  <w:spacing w:before="23"/>
                  <w:ind w:left="20" w:right="0" w:firstLine="0"/>
                  <w:jc w:val="left"/>
                  <w:rPr>
                    <w:b/>
                    <w:sz w:val="23"/>
                  </w:rPr>
                </w:pPr>
                <w:r>
                  <w:rPr>
                    <w:b/>
                    <w:color w:val="565E6C"/>
                    <w:sz w:val="23"/>
                  </w:rPr>
                  <w:t>Page </w:t>
                </w:r>
                <w:r>
                  <w:rPr/>
                  <w:fldChar w:fldCharType="begin"/>
                </w:r>
                <w:r>
                  <w:rPr>
                    <w:b/>
                    <w:color w:val="565E6C"/>
                    <w:sz w:val="23"/>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upperLetter"/>
      <w:lvlText w:val="%1"/>
      <w:lvlJc w:val="left"/>
      <w:pPr>
        <w:ind w:left="5592" w:hanging="526"/>
        <w:jc w:val="left"/>
      </w:pPr>
      <w:rPr>
        <w:rFonts w:hint="default"/>
        <w:lang w:val="fr-FR" w:eastAsia="fr-FR" w:bidi="fr-FR"/>
      </w:rPr>
    </w:lvl>
    <w:lvl w:ilvl="1">
      <w:start w:val="12"/>
      <w:numFmt w:val="decimal"/>
      <w:lvlText w:val="%1-%2"/>
      <w:lvlJc w:val="left"/>
      <w:pPr>
        <w:ind w:left="5592" w:hanging="526"/>
        <w:jc w:val="left"/>
      </w:pPr>
      <w:rPr>
        <w:rFonts w:hint="default" w:ascii="Rockwell" w:hAnsi="Rockwell" w:eastAsia="Rockwell" w:cs="Rockwell"/>
        <w:spacing w:val="-2"/>
        <w:w w:val="102"/>
        <w:sz w:val="21"/>
        <w:szCs w:val="21"/>
        <w:lang w:val="fr-FR" w:eastAsia="fr-FR" w:bidi="fr-FR"/>
      </w:rPr>
    </w:lvl>
    <w:lvl w:ilvl="2">
      <w:start w:val="0"/>
      <w:numFmt w:val="bullet"/>
      <w:lvlText w:val="•"/>
      <w:lvlJc w:val="left"/>
      <w:pPr>
        <w:ind w:left="6636" w:hanging="526"/>
      </w:pPr>
      <w:rPr>
        <w:rFonts w:hint="default"/>
        <w:lang w:val="fr-FR" w:eastAsia="fr-FR" w:bidi="fr-FR"/>
      </w:rPr>
    </w:lvl>
    <w:lvl w:ilvl="3">
      <w:start w:val="0"/>
      <w:numFmt w:val="bullet"/>
      <w:lvlText w:val="•"/>
      <w:lvlJc w:val="left"/>
      <w:pPr>
        <w:ind w:left="7154" w:hanging="526"/>
      </w:pPr>
      <w:rPr>
        <w:rFonts w:hint="default"/>
        <w:lang w:val="fr-FR" w:eastAsia="fr-FR" w:bidi="fr-FR"/>
      </w:rPr>
    </w:lvl>
    <w:lvl w:ilvl="4">
      <w:start w:val="0"/>
      <w:numFmt w:val="bullet"/>
      <w:lvlText w:val="•"/>
      <w:lvlJc w:val="left"/>
      <w:pPr>
        <w:ind w:left="7672" w:hanging="526"/>
      </w:pPr>
      <w:rPr>
        <w:rFonts w:hint="default"/>
        <w:lang w:val="fr-FR" w:eastAsia="fr-FR" w:bidi="fr-FR"/>
      </w:rPr>
    </w:lvl>
    <w:lvl w:ilvl="5">
      <w:start w:val="0"/>
      <w:numFmt w:val="bullet"/>
      <w:lvlText w:val="•"/>
      <w:lvlJc w:val="left"/>
      <w:pPr>
        <w:ind w:left="8190" w:hanging="526"/>
      </w:pPr>
      <w:rPr>
        <w:rFonts w:hint="default"/>
        <w:lang w:val="fr-FR" w:eastAsia="fr-FR" w:bidi="fr-FR"/>
      </w:rPr>
    </w:lvl>
    <w:lvl w:ilvl="6">
      <w:start w:val="0"/>
      <w:numFmt w:val="bullet"/>
      <w:lvlText w:val="•"/>
      <w:lvlJc w:val="left"/>
      <w:pPr>
        <w:ind w:left="8708" w:hanging="526"/>
      </w:pPr>
      <w:rPr>
        <w:rFonts w:hint="default"/>
        <w:lang w:val="fr-FR" w:eastAsia="fr-FR" w:bidi="fr-FR"/>
      </w:rPr>
    </w:lvl>
    <w:lvl w:ilvl="7">
      <w:start w:val="0"/>
      <w:numFmt w:val="bullet"/>
      <w:lvlText w:val="•"/>
      <w:lvlJc w:val="left"/>
      <w:pPr>
        <w:ind w:left="9226" w:hanging="526"/>
      </w:pPr>
      <w:rPr>
        <w:rFonts w:hint="default"/>
        <w:lang w:val="fr-FR" w:eastAsia="fr-FR" w:bidi="fr-FR"/>
      </w:rPr>
    </w:lvl>
    <w:lvl w:ilvl="8">
      <w:start w:val="0"/>
      <w:numFmt w:val="bullet"/>
      <w:lvlText w:val="•"/>
      <w:lvlJc w:val="left"/>
      <w:pPr>
        <w:ind w:left="9744" w:hanging="526"/>
      </w:pPr>
      <w:rPr>
        <w:rFonts w:hint="default"/>
        <w:lang w:val="fr-FR" w:eastAsia="fr-FR" w:bidi="fr-FR"/>
      </w:rPr>
    </w:lvl>
  </w:abstractNum>
  <w:abstractNum w:abstractNumId="0">
    <w:multiLevelType w:val="hybridMultilevel"/>
    <w:lvl w:ilvl="0">
      <w:start w:val="0"/>
      <w:numFmt w:val="bullet"/>
      <w:lvlText w:val=""/>
      <w:lvlJc w:val="left"/>
      <w:pPr>
        <w:ind w:left="436" w:hanging="276"/>
      </w:pPr>
      <w:rPr>
        <w:rFonts w:hint="default" w:ascii="Wingdings" w:hAnsi="Wingdings" w:eastAsia="Wingdings" w:cs="Wingdings"/>
        <w:w w:val="102"/>
        <w:sz w:val="21"/>
        <w:szCs w:val="21"/>
        <w:lang w:val="fr-FR" w:eastAsia="fr-FR" w:bidi="fr-FR"/>
      </w:rPr>
    </w:lvl>
    <w:lvl w:ilvl="1">
      <w:start w:val="0"/>
      <w:numFmt w:val="bullet"/>
      <w:lvlText w:val=""/>
      <w:lvlJc w:val="left"/>
      <w:pPr>
        <w:ind w:left="861" w:hanging="351"/>
      </w:pPr>
      <w:rPr>
        <w:rFonts w:hint="default" w:ascii="Wingdings" w:hAnsi="Wingdings" w:eastAsia="Wingdings" w:cs="Wingdings"/>
        <w:w w:val="102"/>
        <w:sz w:val="21"/>
        <w:szCs w:val="21"/>
        <w:lang w:val="fr-FR" w:eastAsia="fr-FR" w:bidi="fr-FR"/>
      </w:rPr>
    </w:lvl>
    <w:lvl w:ilvl="2">
      <w:start w:val="0"/>
      <w:numFmt w:val="bullet"/>
      <w:lvlText w:val="•"/>
      <w:lvlJc w:val="left"/>
      <w:pPr>
        <w:ind w:left="1962" w:hanging="351"/>
      </w:pPr>
      <w:rPr>
        <w:rFonts w:hint="default"/>
        <w:lang w:val="fr-FR" w:eastAsia="fr-FR" w:bidi="fr-FR"/>
      </w:rPr>
    </w:lvl>
    <w:lvl w:ilvl="3">
      <w:start w:val="0"/>
      <w:numFmt w:val="bullet"/>
      <w:lvlText w:val="•"/>
      <w:lvlJc w:val="left"/>
      <w:pPr>
        <w:ind w:left="3064" w:hanging="351"/>
      </w:pPr>
      <w:rPr>
        <w:rFonts w:hint="default"/>
        <w:lang w:val="fr-FR" w:eastAsia="fr-FR" w:bidi="fr-FR"/>
      </w:rPr>
    </w:lvl>
    <w:lvl w:ilvl="4">
      <w:start w:val="0"/>
      <w:numFmt w:val="bullet"/>
      <w:lvlText w:val="•"/>
      <w:lvlJc w:val="left"/>
      <w:pPr>
        <w:ind w:left="4166" w:hanging="351"/>
      </w:pPr>
      <w:rPr>
        <w:rFonts w:hint="default"/>
        <w:lang w:val="fr-FR" w:eastAsia="fr-FR" w:bidi="fr-FR"/>
      </w:rPr>
    </w:lvl>
    <w:lvl w:ilvl="5">
      <w:start w:val="0"/>
      <w:numFmt w:val="bullet"/>
      <w:lvlText w:val="•"/>
      <w:lvlJc w:val="left"/>
      <w:pPr>
        <w:ind w:left="5268" w:hanging="351"/>
      </w:pPr>
      <w:rPr>
        <w:rFonts w:hint="default"/>
        <w:lang w:val="fr-FR" w:eastAsia="fr-FR" w:bidi="fr-FR"/>
      </w:rPr>
    </w:lvl>
    <w:lvl w:ilvl="6">
      <w:start w:val="0"/>
      <w:numFmt w:val="bullet"/>
      <w:lvlText w:val="•"/>
      <w:lvlJc w:val="left"/>
      <w:pPr>
        <w:ind w:left="6371" w:hanging="351"/>
      </w:pPr>
      <w:rPr>
        <w:rFonts w:hint="default"/>
        <w:lang w:val="fr-FR" w:eastAsia="fr-FR" w:bidi="fr-FR"/>
      </w:rPr>
    </w:lvl>
    <w:lvl w:ilvl="7">
      <w:start w:val="0"/>
      <w:numFmt w:val="bullet"/>
      <w:lvlText w:val="•"/>
      <w:lvlJc w:val="left"/>
      <w:pPr>
        <w:ind w:left="7473" w:hanging="351"/>
      </w:pPr>
      <w:rPr>
        <w:rFonts w:hint="default"/>
        <w:lang w:val="fr-FR" w:eastAsia="fr-FR" w:bidi="fr-FR"/>
      </w:rPr>
    </w:lvl>
    <w:lvl w:ilvl="8">
      <w:start w:val="0"/>
      <w:numFmt w:val="bullet"/>
      <w:lvlText w:val="•"/>
      <w:lvlJc w:val="left"/>
      <w:pPr>
        <w:ind w:left="8575" w:hanging="351"/>
      </w:pPr>
      <w:rPr>
        <w:rFonts w:hint="default"/>
        <w:lang w:val="fr-FR" w:eastAsia="fr-FR" w:bidi="fr-FR"/>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ckwell" w:hAnsi="Rockwell" w:eastAsia="Rockwell" w:cs="Rockwell"/>
      <w:lang w:val="fr-FR" w:eastAsia="fr-FR" w:bidi="fr-FR"/>
    </w:rPr>
  </w:style>
  <w:style w:styleId="BodyText" w:type="paragraph">
    <w:name w:val="Body Text"/>
    <w:basedOn w:val="Normal"/>
    <w:uiPriority w:val="1"/>
    <w:qFormat/>
    <w:pPr/>
    <w:rPr>
      <w:rFonts w:ascii="Rockwell" w:hAnsi="Rockwell" w:eastAsia="Rockwell" w:cs="Rockwell"/>
      <w:sz w:val="21"/>
      <w:szCs w:val="21"/>
      <w:lang w:val="fr-FR" w:eastAsia="fr-FR" w:bidi="fr-FR"/>
    </w:rPr>
  </w:style>
  <w:style w:styleId="Heading1" w:type="paragraph">
    <w:name w:val="Heading 1"/>
    <w:basedOn w:val="Normal"/>
    <w:uiPriority w:val="1"/>
    <w:qFormat/>
    <w:pPr>
      <w:ind w:left="160"/>
      <w:outlineLvl w:val="1"/>
    </w:pPr>
    <w:rPr>
      <w:rFonts w:ascii="Rockwell" w:hAnsi="Rockwell" w:eastAsia="Rockwell" w:cs="Rockwell"/>
      <w:b/>
      <w:bCs/>
      <w:sz w:val="21"/>
      <w:szCs w:val="21"/>
      <w:lang w:val="fr-FR" w:eastAsia="fr-FR" w:bidi="fr-FR"/>
    </w:rPr>
  </w:style>
  <w:style w:styleId="ListParagraph" w:type="paragraph">
    <w:name w:val="List Paragraph"/>
    <w:basedOn w:val="Normal"/>
    <w:uiPriority w:val="1"/>
    <w:qFormat/>
    <w:pPr>
      <w:ind w:left="436" w:hanging="276"/>
      <w:jc w:val="both"/>
    </w:pPr>
    <w:rPr>
      <w:rFonts w:ascii="Rockwell" w:hAnsi="Rockwell" w:eastAsia="Rockwell" w:cs="Rockwell"/>
      <w:lang w:val="fr-FR" w:eastAsia="fr-FR" w:bidi="fr-FR"/>
    </w:rPr>
  </w:style>
  <w:style w:styleId="TableParagraph" w:type="paragraph">
    <w:name w:val="Table Paragraph"/>
    <w:basedOn w:val="Normal"/>
    <w:uiPriority w:val="1"/>
    <w:qFormat/>
    <w:pPr>
      <w:ind w:left="50"/>
    </w:pPr>
    <w:rPr>
      <w:rFonts w:ascii="Rockwell" w:hAnsi="Rockwell" w:eastAsia="Rockwell" w:cs="Rockwell"/>
      <w:lang w:val="fr-FR" w:eastAsia="fr-FR" w:bidi="fr-F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oraisdorais39@gmail.com"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Line</dc:creator>
  <dc:title>FINAL DRAFT FRENCH CV 2016</dc:title>
  <dcterms:created xsi:type="dcterms:W3CDTF">2020-02-18T23:32:08Z</dcterms:created>
  <dcterms:modified xsi:type="dcterms:W3CDTF">2020-02-18T23:32:08Z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2016-08-29T00:00:00Z</vt:filetime>
  </property>
  <property fmtid="{D5CDD505-2E9C-101B-9397-08002B2CF9AE}" pid="3" name="Creator">
    <vt:lpwstr>PDFCreator 2.3.1.19</vt:lpwstr>
  </property>
  <property fmtid="{D5CDD505-2E9C-101B-9397-08002B2CF9AE}" pid="4" name="LastSaved">
    <vt:filetime>2020-02-18T00:00:00Z</vt:filetime>
  </property>
</Properties>
</file>