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 w:after="8"/>
        <w:ind w:left="0" w:right="147" w:firstLine="0"/>
        <w:jc w:val="right"/>
        <w:rPr>
          <w:sz w:val="28"/>
        </w:rPr>
      </w:pPr>
      <w:r>
        <w:rPr>
          <w:sz w:val="28"/>
        </w:rPr>
        <w:t>FLORIANNE</w:t>
      </w:r>
      <w:r>
        <w:rPr>
          <w:spacing w:val="-6"/>
          <w:sz w:val="28"/>
        </w:rPr>
        <w:t> </w:t>
      </w:r>
      <w:r>
        <w:rPr>
          <w:sz w:val="28"/>
        </w:rPr>
        <w:t>BUCCI</w:t>
      </w:r>
    </w:p>
    <w:p>
      <w:pPr>
        <w:pStyle w:val="BodyText"/>
        <w:spacing w:line="44" w:lineRule="exact"/>
        <w:ind w:left="125"/>
        <w:rPr>
          <w:sz w:val="4"/>
        </w:rPr>
      </w:pPr>
      <w:r>
        <w:rPr>
          <w:position w:val="0"/>
          <w:sz w:val="4"/>
        </w:rPr>
        <w:pict>
          <v:group style="width:446.35pt;height:2.2pt;mso-position-horizontal-relative:char;mso-position-vertical-relative:line" coordorigin="0,0" coordsize="8927,44">
            <v:line style="position:absolute" from="0,36" to="8927,36" stroked="true" strokeweight=".72pt" strokecolor="#000000">
              <v:stroke dashstyle="solid"/>
            </v:line>
            <v:line style="position:absolute" from="0,7" to="8927,7" stroked="true" strokeweight=".72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line="222" w:lineRule="exact" w:before="0"/>
        <w:ind w:left="0" w:right="152" w:firstLine="0"/>
        <w:jc w:val="right"/>
        <w:rPr>
          <w:i/>
          <w:sz w:val="20"/>
        </w:rPr>
      </w:pPr>
      <w:r>
        <w:rPr>
          <w:i/>
          <w:sz w:val="20"/>
        </w:rPr>
        <w:t>975 Crois du Ruisseau Apt 201, Saint Laurent Québec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H4L1E2</w:t>
      </w:r>
    </w:p>
    <w:p>
      <w:pPr>
        <w:spacing w:line="229" w:lineRule="exact" w:before="0"/>
        <w:ind w:left="0" w:right="146" w:firstLine="0"/>
        <w:jc w:val="right"/>
        <w:rPr>
          <w:i/>
          <w:sz w:val="20"/>
        </w:rPr>
      </w:pPr>
      <w:hyperlink r:id="rId5">
        <w:r>
          <w:rPr>
            <w:i/>
            <w:color w:val="0000FF"/>
            <w:w w:val="95"/>
            <w:sz w:val="20"/>
            <w:u w:val="single" w:color="0000FF"/>
          </w:rPr>
          <w:t>florianne.bucci@hotmail.com</w:t>
        </w:r>
      </w:hyperlink>
    </w:p>
    <w:p>
      <w:pPr>
        <w:spacing w:before="0"/>
        <w:ind w:left="0" w:right="145" w:firstLine="0"/>
        <w:jc w:val="right"/>
        <w:rPr>
          <w:i/>
          <w:sz w:val="20"/>
        </w:rPr>
      </w:pPr>
      <w:r>
        <w:rPr>
          <w:i/>
          <w:sz w:val="20"/>
        </w:rPr>
        <w:t>(514)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585-6258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6"/>
        </w:rPr>
      </w:pPr>
    </w:p>
    <w:p>
      <w:pPr>
        <w:spacing w:before="92"/>
        <w:ind w:left="162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COMPÉTENCES CLÉS</w:t>
      </w:r>
    </w:p>
    <w:p>
      <w:pPr>
        <w:pStyle w:val="BodyText"/>
        <w:spacing w:line="44" w:lineRule="exact"/>
        <w:ind w:left="125"/>
        <w:rPr>
          <w:sz w:val="4"/>
        </w:rPr>
      </w:pPr>
      <w:r>
        <w:rPr>
          <w:position w:val="0"/>
          <w:sz w:val="4"/>
        </w:rPr>
        <w:pict>
          <v:group style="width:444.8pt;height:2.2pt;mso-position-horizontal-relative:char;mso-position-vertical-relative:line" coordorigin="0,0" coordsize="8896,44">
            <v:line style="position:absolute" from="0,36" to="8896,36" stroked="true" strokeweight=".72pt" strokecolor="#000000">
              <v:stroke dashstyle="solid"/>
            </v:line>
            <v:line style="position:absolute" from="0,7" to="8896,7" stroked="true" strokeweight=".72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5"/>
        <w:rPr>
          <w:b/>
          <w:i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52" w:lineRule="exact" w:before="92" w:after="0"/>
        <w:ind w:left="1155" w:right="0" w:hanging="567"/>
        <w:jc w:val="left"/>
        <w:rPr>
          <w:sz w:val="22"/>
        </w:rPr>
      </w:pPr>
      <w:r>
        <w:rPr>
          <w:sz w:val="22"/>
        </w:rPr>
        <w:t>Maîtrise le français, l’anglais, et</w:t>
      </w:r>
      <w:r>
        <w:rPr>
          <w:spacing w:val="-6"/>
          <w:sz w:val="22"/>
        </w:rPr>
        <w:t> </w:t>
      </w:r>
      <w:r>
        <w:rPr>
          <w:sz w:val="22"/>
        </w:rPr>
        <w:t>l’italien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52" w:lineRule="exact" w:before="0" w:after="0"/>
        <w:ind w:left="1155" w:right="0" w:hanging="567"/>
        <w:jc w:val="left"/>
        <w:rPr>
          <w:sz w:val="22"/>
        </w:rPr>
      </w:pPr>
      <w:r>
        <w:rPr>
          <w:sz w:val="22"/>
        </w:rPr>
        <w:t>Excellente compréhension du service à la</w:t>
      </w:r>
      <w:r>
        <w:rPr>
          <w:spacing w:val="-10"/>
          <w:sz w:val="22"/>
        </w:rPr>
        <w:t> </w:t>
      </w:r>
      <w:r>
        <w:rPr>
          <w:sz w:val="22"/>
        </w:rPr>
        <w:t>clientèle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52" w:lineRule="exact" w:before="1" w:after="0"/>
        <w:ind w:left="1155" w:right="0" w:hanging="567"/>
        <w:jc w:val="left"/>
        <w:rPr>
          <w:sz w:val="22"/>
        </w:rPr>
      </w:pPr>
      <w:r>
        <w:rPr>
          <w:sz w:val="22"/>
        </w:rPr>
        <w:t>Aptitudes pour la communication et la création d’une atmosphère de</w:t>
      </w:r>
      <w:r>
        <w:rPr>
          <w:spacing w:val="-10"/>
          <w:sz w:val="22"/>
        </w:rPr>
        <w:t> </w:t>
      </w:r>
      <w:r>
        <w:rPr>
          <w:sz w:val="22"/>
        </w:rPr>
        <w:t>coopération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52" w:lineRule="exact" w:before="0" w:after="0"/>
        <w:ind w:left="1155" w:right="0" w:hanging="567"/>
        <w:jc w:val="left"/>
        <w:rPr>
          <w:sz w:val="22"/>
        </w:rPr>
      </w:pPr>
      <w:r>
        <w:rPr>
          <w:sz w:val="22"/>
        </w:rPr>
        <w:t>Dépassement d’objectifs de vente et de</w:t>
      </w:r>
      <w:r>
        <w:rPr>
          <w:spacing w:val="-8"/>
          <w:sz w:val="22"/>
        </w:rPr>
        <w:t> </w:t>
      </w:r>
      <w:r>
        <w:rPr>
          <w:sz w:val="22"/>
        </w:rPr>
        <w:t>rendement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52" w:lineRule="exact" w:before="0" w:after="0"/>
        <w:ind w:left="1155" w:right="0" w:hanging="567"/>
        <w:jc w:val="left"/>
        <w:rPr>
          <w:sz w:val="22"/>
        </w:rPr>
      </w:pPr>
      <w:r>
        <w:rPr>
          <w:sz w:val="22"/>
        </w:rPr>
        <w:t>Facilité à établir un lien de confiance avec la clientèle et l’équipe de</w:t>
      </w:r>
      <w:r>
        <w:rPr>
          <w:spacing w:val="-17"/>
          <w:sz w:val="22"/>
        </w:rPr>
        <w:t> </w:t>
      </w:r>
      <w:r>
        <w:rPr>
          <w:sz w:val="22"/>
        </w:rPr>
        <w:t>travail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40" w:lineRule="auto" w:before="2" w:after="0"/>
        <w:ind w:left="1155" w:right="0" w:hanging="567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251885568" from="83.664001pt,67.519554pt" to="528.454001pt,67.519554pt" stroked="true" strokeweight=".72pt" strokecolor="#000000">
            <v:stroke dashstyle="solid"/>
            <w10:wrap type="none"/>
          </v:line>
        </w:pict>
      </w:r>
      <w:r>
        <w:rPr>
          <w:sz w:val="22"/>
        </w:rPr>
        <w:t>Capacité d’adaptation aux</w:t>
      </w:r>
      <w:r>
        <w:rPr>
          <w:spacing w:val="-5"/>
          <w:sz w:val="22"/>
        </w:rPr>
        <w:t> </w:t>
      </w:r>
      <w:r>
        <w:rPr>
          <w:sz w:val="22"/>
        </w:rPr>
        <w:t>changements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8"/>
        <w:gridCol w:w="2828"/>
      </w:tblGrid>
      <w:tr>
        <w:trPr>
          <w:trHeight w:val="273" w:hRule="atLeast"/>
        </w:trPr>
        <w:tc>
          <w:tcPr>
            <w:tcW w:w="60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/>
              <w:ind w:left="2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EXPÉRIENCE PROFESSIONNELLE</w:t>
            </w:r>
          </w:p>
        </w:tc>
        <w:tc>
          <w:tcPr>
            <w:tcW w:w="282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31" w:hRule="atLeast"/>
        </w:trPr>
        <w:tc>
          <w:tcPr>
            <w:tcW w:w="60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8"/>
              <w:rPr>
                <w:b/>
                <w:sz w:val="22"/>
              </w:rPr>
            </w:pPr>
            <w:r>
              <w:rPr>
                <w:b/>
                <w:sz w:val="22"/>
              </w:rPr>
              <w:t>RE/MAX 2001 Inc.,</w:t>
            </w:r>
          </w:p>
          <w:p>
            <w:pPr>
              <w:pStyle w:val="TableParagraph"/>
              <w:spacing w:before="1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Courtier immobilier résidentiel</w:t>
            </w:r>
          </w:p>
        </w:tc>
        <w:tc>
          <w:tcPr>
            <w:tcW w:w="28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right="8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2015-2017</w:t>
            </w:r>
          </w:p>
        </w:tc>
      </w:tr>
      <w:tr>
        <w:trPr>
          <w:trHeight w:val="724" w:hRule="atLeast"/>
        </w:trPr>
        <w:tc>
          <w:tcPr>
            <w:tcW w:w="6098" w:type="dxa"/>
          </w:tcPr>
          <w:p>
            <w:pPr>
              <w:pStyle w:val="TableParagraph"/>
              <w:spacing w:before="110"/>
              <w:ind w:left="28"/>
              <w:rPr>
                <w:b/>
                <w:sz w:val="22"/>
              </w:rPr>
            </w:pPr>
            <w:r>
              <w:rPr>
                <w:b/>
                <w:sz w:val="22"/>
              </w:rPr>
              <w:t>Laura Canada, Laval</w:t>
            </w:r>
          </w:p>
          <w:p>
            <w:pPr>
              <w:pStyle w:val="TableParagraph"/>
              <w:spacing w:before="1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Gérante</w:t>
            </w:r>
          </w:p>
        </w:tc>
        <w:tc>
          <w:tcPr>
            <w:tcW w:w="2828" w:type="dxa"/>
          </w:tcPr>
          <w:p>
            <w:pPr>
              <w:pStyle w:val="TableParagraph"/>
              <w:spacing w:before="110"/>
              <w:ind w:right="8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2013-2014</w:t>
            </w:r>
          </w:p>
        </w:tc>
      </w:tr>
      <w:tr>
        <w:trPr>
          <w:trHeight w:val="603" w:hRule="atLeast"/>
        </w:trPr>
        <w:tc>
          <w:tcPr>
            <w:tcW w:w="6098" w:type="dxa"/>
          </w:tcPr>
          <w:p>
            <w:pPr>
              <w:pStyle w:val="TableParagraph"/>
              <w:spacing w:line="252" w:lineRule="exact" w:before="122"/>
              <w:ind w:left="28"/>
              <w:rPr>
                <w:b/>
                <w:sz w:val="22"/>
              </w:rPr>
            </w:pPr>
            <w:r>
              <w:rPr>
                <w:b/>
                <w:sz w:val="22"/>
              </w:rPr>
              <w:t>Téléperformance Canada, Montréal</w:t>
            </w:r>
          </w:p>
          <w:p>
            <w:pPr>
              <w:pStyle w:val="TableParagraph"/>
              <w:spacing w:line="209" w:lineRule="exact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Directrice Régionale: Relations clients et opérations</w:t>
            </w:r>
          </w:p>
        </w:tc>
        <w:tc>
          <w:tcPr>
            <w:tcW w:w="2828" w:type="dxa"/>
          </w:tcPr>
          <w:p>
            <w:pPr>
              <w:pStyle w:val="TableParagraph"/>
              <w:spacing w:before="122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2007-2013</w:t>
            </w:r>
          </w:p>
        </w:tc>
      </w:tr>
    </w:tbl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93" w:after="0"/>
        <w:ind w:left="562" w:right="144" w:hanging="401"/>
        <w:jc w:val="both"/>
        <w:rPr>
          <w:sz w:val="22"/>
        </w:rPr>
      </w:pPr>
      <w:r>
        <w:rPr>
          <w:sz w:val="22"/>
        </w:rPr>
        <w:t>Gérer une équipe de cadres et d’agents de centre d’appels pour les départements de ventes, service à la clientèle et télémarketing (Outbound: Manuvie., RBC Inbound: Bell Canada, ExpressVue, Koodo,Dell</w:t>
      </w:r>
      <w:r>
        <w:rPr>
          <w:spacing w:val="-2"/>
          <w:sz w:val="22"/>
        </w:rPr>
        <w:t> </w:t>
      </w:r>
      <w:r>
        <w:rPr>
          <w:sz w:val="22"/>
        </w:rPr>
        <w:t>ect.)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2" w:right="0" w:hanging="401"/>
        <w:jc w:val="both"/>
        <w:rPr>
          <w:sz w:val="22"/>
        </w:rPr>
      </w:pPr>
      <w:r>
        <w:rPr>
          <w:sz w:val="22"/>
        </w:rPr>
        <w:t>Gérer un centre d’appels à distance (Tunisie) en collaborant avec les équipes du</w:t>
      </w:r>
      <w:r>
        <w:rPr>
          <w:spacing w:val="-11"/>
          <w:sz w:val="22"/>
        </w:rPr>
        <w:t> </w:t>
      </w:r>
      <w:r>
        <w:rPr>
          <w:sz w:val="22"/>
        </w:rPr>
        <w:t>district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1" w:after="0"/>
        <w:ind w:left="562" w:right="0" w:hanging="401"/>
        <w:jc w:val="both"/>
        <w:rPr>
          <w:sz w:val="22"/>
        </w:rPr>
      </w:pPr>
      <w:r>
        <w:rPr>
          <w:sz w:val="22"/>
        </w:rPr>
        <w:t>Rencontrer les clients hors pays (Égypte) pour promouvoir les services de</w:t>
      </w:r>
      <w:r>
        <w:rPr>
          <w:spacing w:val="-12"/>
          <w:sz w:val="22"/>
        </w:rPr>
        <w:t> </w:t>
      </w:r>
      <w:r>
        <w:rPr>
          <w:sz w:val="22"/>
        </w:rPr>
        <w:t>l’organisation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3"/>
        <w:gridCol w:w="2111"/>
      </w:tblGrid>
      <w:tr>
        <w:trPr>
          <w:trHeight w:val="532" w:hRule="atLeast"/>
        </w:trPr>
        <w:tc>
          <w:tcPr>
            <w:tcW w:w="6793" w:type="dxa"/>
          </w:tcPr>
          <w:p>
            <w:pPr>
              <w:pStyle w:val="TableParagraph"/>
              <w:spacing w:line="244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Bell Canada, Montréal</w:t>
            </w:r>
          </w:p>
          <w:p>
            <w:pPr>
              <w:pStyle w:val="TableParagraph"/>
              <w:spacing w:line="229" w:lineRule="exact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Directrice régionale des opérations</w:t>
            </w:r>
          </w:p>
        </w:tc>
        <w:tc>
          <w:tcPr>
            <w:tcW w:w="2111" w:type="dxa"/>
          </w:tcPr>
          <w:p>
            <w:pPr>
              <w:pStyle w:val="TableParagraph"/>
              <w:spacing w:line="244" w:lineRule="exact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1997-2007</w:t>
            </w:r>
          </w:p>
        </w:tc>
      </w:tr>
      <w:tr>
        <w:trPr>
          <w:trHeight w:val="285" w:hRule="atLeast"/>
        </w:trPr>
        <w:tc>
          <w:tcPr>
            <w:tcW w:w="6793" w:type="dxa"/>
          </w:tcPr>
          <w:p>
            <w:pPr>
              <w:pStyle w:val="TableParagraph"/>
              <w:spacing w:line="215" w:lineRule="exact" w:before="51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Département des réparations (8 cadres, 140 employés)</w:t>
            </w:r>
          </w:p>
        </w:tc>
        <w:tc>
          <w:tcPr>
            <w:tcW w:w="2111" w:type="dxa"/>
          </w:tcPr>
          <w:p>
            <w:pPr>
              <w:pStyle w:val="TableParagraph"/>
              <w:spacing w:line="215" w:lineRule="exact" w:before="51"/>
              <w:ind w:right="6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2006-2007</w:t>
            </w:r>
          </w:p>
        </w:tc>
      </w:tr>
      <w:tr>
        <w:trPr>
          <w:trHeight w:val="230" w:hRule="atLeast"/>
        </w:trPr>
        <w:tc>
          <w:tcPr>
            <w:tcW w:w="6793" w:type="dxa"/>
          </w:tcPr>
          <w:p>
            <w:pPr>
              <w:pStyle w:val="TableParagraph"/>
              <w:spacing w:line="210" w:lineRule="exact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Service des opérateurs et opératrices (8 cadres, 160 employés)</w:t>
            </w:r>
          </w:p>
        </w:tc>
        <w:tc>
          <w:tcPr>
            <w:tcW w:w="2111" w:type="dxa"/>
          </w:tcPr>
          <w:p>
            <w:pPr>
              <w:pStyle w:val="TableParagraph"/>
              <w:spacing w:line="210" w:lineRule="exact"/>
              <w:ind w:right="6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2005-2006</w:t>
            </w:r>
          </w:p>
        </w:tc>
      </w:tr>
      <w:tr>
        <w:trPr>
          <w:trHeight w:val="225" w:hRule="atLeast"/>
        </w:trPr>
        <w:tc>
          <w:tcPr>
            <w:tcW w:w="6793" w:type="dxa"/>
          </w:tcPr>
          <w:p>
            <w:pPr>
              <w:pStyle w:val="TableParagraph"/>
              <w:spacing w:line="205" w:lineRule="exact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Marché du consommateur( Groupe Ventes) (13 cadres, 260 employés)</w:t>
            </w:r>
          </w:p>
        </w:tc>
        <w:tc>
          <w:tcPr>
            <w:tcW w:w="2111" w:type="dxa"/>
          </w:tcPr>
          <w:p>
            <w:pPr>
              <w:pStyle w:val="TableParagraph"/>
              <w:spacing w:line="205" w:lineRule="exact"/>
              <w:ind w:right="6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2004-2005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3" w:lineRule="exact" w:before="93" w:after="0"/>
        <w:ind w:left="562" w:right="0" w:hanging="401"/>
        <w:jc w:val="left"/>
        <w:rPr>
          <w:sz w:val="22"/>
        </w:rPr>
      </w:pPr>
      <w:r>
        <w:rPr>
          <w:sz w:val="22"/>
        </w:rPr>
        <w:t>Gérer efficacement diverses équipes ayant des bureaux à Montréal, Ottawa, Toronto, et en</w:t>
      </w:r>
      <w:r>
        <w:rPr>
          <w:spacing w:val="-21"/>
          <w:sz w:val="22"/>
        </w:rPr>
        <w:t> </w:t>
      </w:r>
      <w:r>
        <w:rPr>
          <w:sz w:val="22"/>
        </w:rPr>
        <w:t>Inde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Évaluer l’efficacité, la qualité de service et la productivité des</w:t>
      </w:r>
      <w:r>
        <w:rPr>
          <w:spacing w:val="-12"/>
          <w:sz w:val="22"/>
        </w:rPr>
        <w:t> </w:t>
      </w:r>
      <w:r>
        <w:rPr>
          <w:sz w:val="22"/>
        </w:rPr>
        <w:t>employés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Développer et optimiser des stratégies de</w:t>
      </w:r>
      <w:r>
        <w:rPr>
          <w:spacing w:val="-5"/>
          <w:sz w:val="22"/>
        </w:rPr>
        <w:t> </w:t>
      </w:r>
      <w:r>
        <w:rPr>
          <w:sz w:val="22"/>
        </w:rPr>
        <w:t>ventes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" w:after="0"/>
        <w:ind w:left="562" w:right="152" w:hanging="401"/>
        <w:jc w:val="left"/>
        <w:rPr>
          <w:sz w:val="22"/>
        </w:rPr>
      </w:pPr>
      <w:r>
        <w:rPr>
          <w:sz w:val="22"/>
        </w:rPr>
        <w:t>Proposer et mettre en application des approches novatrices en matière de gestion des ressources humaines par la gestion</w:t>
      </w:r>
      <w:r>
        <w:rPr>
          <w:spacing w:val="-1"/>
          <w:sz w:val="22"/>
        </w:rPr>
        <w:t> </w:t>
      </w:r>
      <w:r>
        <w:rPr>
          <w:sz w:val="22"/>
        </w:rPr>
        <w:t>participative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1" w:after="0"/>
        <w:ind w:left="562" w:right="0" w:hanging="401"/>
        <w:jc w:val="left"/>
        <w:rPr>
          <w:sz w:val="22"/>
        </w:rPr>
      </w:pPr>
      <w:r>
        <w:rPr>
          <w:sz w:val="22"/>
        </w:rPr>
        <w:t>Entretenir de bonnes relations d’affaires avec les</w:t>
      </w:r>
      <w:r>
        <w:rPr>
          <w:spacing w:val="-7"/>
          <w:sz w:val="22"/>
        </w:rPr>
        <w:t> </w:t>
      </w:r>
      <w:r>
        <w:rPr>
          <w:sz w:val="22"/>
        </w:rPr>
        <w:t>partenaires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Gérer et respecter le budget pour chaque</w:t>
      </w:r>
      <w:r>
        <w:rPr>
          <w:spacing w:val="-6"/>
          <w:sz w:val="22"/>
        </w:rPr>
        <w:t> </w:t>
      </w:r>
      <w:r>
        <w:rPr>
          <w:sz w:val="22"/>
        </w:rPr>
        <w:t>département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37" w:lineRule="auto" w:before="1" w:after="0"/>
        <w:ind w:left="521" w:right="176" w:hanging="360"/>
        <w:jc w:val="both"/>
        <w:rPr>
          <w:rFonts w:ascii="Wingdings" w:hAnsi="Wingdings"/>
          <w:i/>
          <w:sz w:val="22"/>
        </w:rPr>
      </w:pPr>
      <w:r>
        <w:rPr>
          <w:i/>
          <w:sz w:val="20"/>
        </w:rPr>
        <w:t>Création et présentation d’un exposé sur le mode de vie au Canada aux employés d’un centre de l’Inde </w:t>
      </w:r>
      <w:r>
        <w:rPr>
          <w:i/>
          <w:sz w:val="20"/>
        </w:rPr>
        <w:t>répondant aux appels du Québec. Visite en Inde pendant 2 mois pour apporter les changements nécessaires qui ont permis d’améliorer leur compréhension de la clientèle et d’augmenter de 30% la qualité des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appels.</w:t>
      </w:r>
    </w:p>
    <w:p>
      <w:pPr>
        <w:spacing w:after="0" w:line="237" w:lineRule="auto"/>
        <w:jc w:val="both"/>
        <w:rPr>
          <w:rFonts w:ascii="Wingdings" w:hAnsi="Wingdings"/>
          <w:sz w:val="22"/>
        </w:rPr>
        <w:sectPr>
          <w:type w:val="continuous"/>
          <w:pgSz w:w="12240" w:h="15840"/>
          <w:pgMar w:top="1040" w:bottom="280" w:left="1540" w:right="1520"/>
        </w:sectPr>
      </w:pPr>
    </w:p>
    <w:p>
      <w:pPr>
        <w:spacing w:before="72"/>
        <w:ind w:left="162" w:right="0" w:firstLine="0"/>
        <w:jc w:val="left"/>
        <w:rPr>
          <w:b/>
          <w:i/>
          <w:sz w:val="20"/>
        </w:rPr>
      </w:pPr>
      <w:r>
        <w:rPr/>
        <w:pict>
          <v:line style="position:absolute;mso-position-horizontal-relative:page;mso-position-vertical-relative:page;z-index:-251883520" from="83.664001pt,505.149994pt" to="528.454001pt,505.149994pt" stroked="true" strokeweight=".72pt" strokecolor="#000000">
            <v:stroke dashstyle="solid"/>
            <w10:wrap type="none"/>
          </v:line>
        </w:pict>
      </w:r>
      <w:r>
        <w:rPr>
          <w:b/>
          <w:i/>
          <w:sz w:val="20"/>
        </w:rPr>
        <w:t>Directrice régionale</w:t>
      </w:r>
    </w:p>
    <w:p>
      <w:pPr>
        <w:tabs>
          <w:tab w:pos="8953" w:val="right" w:leader="none"/>
        </w:tabs>
        <w:spacing w:before="111"/>
        <w:ind w:left="162" w:right="0" w:firstLine="0"/>
        <w:jc w:val="left"/>
        <w:rPr>
          <w:sz w:val="20"/>
        </w:rPr>
      </w:pPr>
      <w:r>
        <w:rPr>
          <w:i/>
          <w:sz w:val="20"/>
        </w:rPr>
        <w:t>Groupe ressources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(Marché consommateur)</w:t>
        <w:tab/>
      </w:r>
      <w:r>
        <w:rPr>
          <w:sz w:val="20"/>
        </w:rPr>
        <w:t>2003-2004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Superviser les équipes de plusieurs départements en lien avec le marché</w:t>
      </w:r>
      <w:r>
        <w:rPr>
          <w:spacing w:val="-15"/>
          <w:sz w:val="22"/>
        </w:rPr>
        <w:t> </w:t>
      </w:r>
      <w:r>
        <w:rPr>
          <w:sz w:val="22"/>
        </w:rPr>
        <w:t>consommateur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Développer et optimiser des stratégies de</w:t>
      </w:r>
      <w:r>
        <w:rPr>
          <w:spacing w:val="-5"/>
          <w:sz w:val="22"/>
        </w:rPr>
        <w:t> </w:t>
      </w:r>
      <w:r>
        <w:rPr>
          <w:sz w:val="22"/>
        </w:rPr>
        <w:t>ventes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Améliorer la satisfaction des employés et optimiser la performance globale des</w:t>
      </w:r>
      <w:r>
        <w:rPr>
          <w:spacing w:val="-13"/>
          <w:sz w:val="22"/>
        </w:rPr>
        <w:t> </w:t>
      </w:r>
      <w:r>
        <w:rPr>
          <w:sz w:val="22"/>
        </w:rPr>
        <w:t>effectifs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" w:after="0"/>
        <w:ind w:left="562" w:right="152" w:hanging="401"/>
        <w:jc w:val="left"/>
        <w:rPr>
          <w:sz w:val="22"/>
        </w:rPr>
      </w:pPr>
      <w:r>
        <w:rPr>
          <w:sz w:val="22"/>
        </w:rPr>
        <w:t>Négocier un plan incitatif pour l’équipe de soutien (motivation et augmentation de la productivité)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" w:after="0"/>
        <w:ind w:left="562" w:right="145" w:hanging="401"/>
        <w:jc w:val="left"/>
        <w:rPr>
          <w:sz w:val="22"/>
        </w:rPr>
      </w:pPr>
      <w:r>
        <w:rPr>
          <w:sz w:val="22"/>
        </w:rPr>
        <w:t>Développer des plans de travail et s’assurer que la ligne directrice de l’organisation respecte la vision à long</w:t>
      </w:r>
      <w:r>
        <w:rPr>
          <w:spacing w:val="-6"/>
          <w:sz w:val="22"/>
        </w:rPr>
        <w:t> </w:t>
      </w:r>
      <w:r>
        <w:rPr>
          <w:sz w:val="22"/>
        </w:rPr>
        <w:t>terme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0" w:after="0"/>
        <w:ind w:left="562" w:right="152" w:hanging="401"/>
        <w:jc w:val="left"/>
        <w:rPr>
          <w:sz w:val="22"/>
        </w:rPr>
      </w:pPr>
      <w:r>
        <w:rPr>
          <w:sz w:val="22"/>
        </w:rPr>
        <w:t>Proposer et mettre en application des approches novatrices en matière de gestion des ressources humaines par la gestion</w:t>
      </w:r>
      <w:r>
        <w:rPr>
          <w:spacing w:val="-1"/>
          <w:sz w:val="22"/>
        </w:rPr>
        <w:t> </w:t>
      </w:r>
      <w:r>
        <w:rPr>
          <w:sz w:val="22"/>
        </w:rPr>
        <w:t>participative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0" w:after="0"/>
        <w:ind w:left="521" w:right="174" w:hanging="360"/>
        <w:jc w:val="both"/>
        <w:rPr>
          <w:rFonts w:ascii="Wingdings" w:hAnsi="Wingdings"/>
          <w:i/>
          <w:sz w:val="20"/>
        </w:rPr>
      </w:pPr>
      <w:r>
        <w:rPr>
          <w:i/>
          <w:sz w:val="24"/>
        </w:rPr>
        <w:t>V</w:t>
      </w:r>
      <w:r>
        <w:rPr>
          <w:i/>
          <w:sz w:val="20"/>
        </w:rPr>
        <w:t>oir au bon fonctionnement de la mise sur pied d’un projet de site internet (C@inet) offrant aux clients </w:t>
      </w:r>
      <w:r>
        <w:rPr>
          <w:i/>
          <w:sz w:val="20"/>
        </w:rPr>
        <w:t>la possibilité de communiquer rapidement avec leur agent, ce qui a réduit le nombre d’appels et facilité la communication et la qualité du service à la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clientèle.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1" w:after="0"/>
        <w:ind w:left="521" w:right="186" w:hanging="360"/>
        <w:jc w:val="both"/>
        <w:rPr>
          <w:rFonts w:ascii="Wingdings" w:hAnsi="Wingdings"/>
          <w:i/>
          <w:sz w:val="20"/>
        </w:rPr>
      </w:pPr>
      <w:r>
        <w:rPr>
          <w:i/>
          <w:sz w:val="20"/>
        </w:rPr>
        <w:t>Succès marquants des équipes de ventes; gagnants des plusieurs voyages dont Walt Disney, Paris, </w:t>
      </w:r>
      <w:r>
        <w:rPr>
          <w:i/>
          <w:sz w:val="20"/>
        </w:rPr>
        <w:t>Mexique et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Jamaïque.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0" w:after="0"/>
        <w:ind w:left="522" w:right="0" w:hanging="360"/>
        <w:jc w:val="both"/>
        <w:rPr>
          <w:rFonts w:ascii="Wingdings" w:hAnsi="Wingdings"/>
          <w:i/>
          <w:sz w:val="20"/>
        </w:rPr>
      </w:pPr>
      <w:r>
        <w:rPr>
          <w:i/>
          <w:sz w:val="20"/>
        </w:rPr>
        <w:t>Réduction du nombre d’employés dans le but d’améliorer les opérations en évitant les griefs</w:t>
      </w:r>
      <w:r>
        <w:rPr>
          <w:i/>
          <w:spacing w:val="-25"/>
          <w:sz w:val="20"/>
        </w:rPr>
        <w:t> </w:t>
      </w:r>
      <w:r>
        <w:rPr>
          <w:i/>
          <w:sz w:val="20"/>
        </w:rPr>
        <w:t>syndicaux.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8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4"/>
        <w:gridCol w:w="1551"/>
      </w:tblGrid>
      <w:tr>
        <w:trPr>
          <w:trHeight w:val="311" w:hRule="atLeast"/>
        </w:trPr>
        <w:tc>
          <w:tcPr>
            <w:tcW w:w="7344" w:type="dxa"/>
          </w:tcPr>
          <w:p>
            <w:pPr>
              <w:pStyle w:val="TableParagraph"/>
              <w:spacing w:before="10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Directrice du service à la clientèle</w:t>
            </w:r>
          </w:p>
        </w:tc>
        <w:tc>
          <w:tcPr>
            <w:tcW w:w="1551" w:type="dxa"/>
          </w:tcPr>
          <w:p>
            <w:pPr>
              <w:pStyle w:val="TableParagraph"/>
              <w:spacing w:line="244" w:lineRule="exact"/>
              <w:ind w:right="73"/>
              <w:jc w:val="right"/>
              <w:rPr>
                <w:sz w:val="22"/>
              </w:rPr>
            </w:pPr>
            <w:r>
              <w:rPr>
                <w:sz w:val="22"/>
              </w:rPr>
              <w:t>2000-2003</w:t>
            </w:r>
          </w:p>
        </w:tc>
      </w:tr>
      <w:tr>
        <w:trPr>
          <w:trHeight w:val="379" w:hRule="atLeast"/>
        </w:trPr>
        <w:tc>
          <w:tcPr>
            <w:tcW w:w="7344" w:type="dxa"/>
          </w:tcPr>
          <w:p>
            <w:pPr>
              <w:pStyle w:val="TableParagraph"/>
              <w:spacing w:before="77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Adjointe principale, service à la clientèle</w:t>
            </w:r>
          </w:p>
        </w:tc>
        <w:tc>
          <w:tcPr>
            <w:tcW w:w="1551" w:type="dxa"/>
          </w:tcPr>
          <w:p>
            <w:pPr>
              <w:pStyle w:val="TableParagraph"/>
              <w:spacing w:before="58"/>
              <w:ind w:right="73"/>
              <w:jc w:val="right"/>
              <w:rPr>
                <w:sz w:val="22"/>
              </w:rPr>
            </w:pPr>
            <w:r>
              <w:rPr>
                <w:sz w:val="22"/>
              </w:rPr>
              <w:t>1998-2000</w:t>
            </w:r>
          </w:p>
        </w:tc>
      </w:tr>
      <w:tr>
        <w:trPr>
          <w:trHeight w:val="612" w:hRule="atLeast"/>
        </w:trPr>
        <w:tc>
          <w:tcPr>
            <w:tcW w:w="7344" w:type="dxa"/>
          </w:tcPr>
          <w:p>
            <w:pPr>
              <w:pStyle w:val="TableParagraph"/>
              <w:spacing w:before="77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Représentante</w:t>
            </w:r>
          </w:p>
        </w:tc>
        <w:tc>
          <w:tcPr>
            <w:tcW w:w="1551" w:type="dxa"/>
          </w:tcPr>
          <w:p>
            <w:pPr>
              <w:pStyle w:val="TableParagraph"/>
              <w:spacing w:before="58"/>
              <w:ind w:right="73"/>
              <w:jc w:val="right"/>
              <w:rPr>
                <w:sz w:val="22"/>
              </w:rPr>
            </w:pPr>
            <w:r>
              <w:rPr>
                <w:sz w:val="22"/>
              </w:rPr>
              <w:t>1997-1998</w:t>
            </w:r>
          </w:p>
        </w:tc>
      </w:tr>
      <w:tr>
        <w:trPr>
          <w:trHeight w:val="1262" w:hRule="atLeast"/>
        </w:trPr>
        <w:tc>
          <w:tcPr>
            <w:tcW w:w="7344" w:type="dxa"/>
          </w:tcPr>
          <w:p>
            <w:pPr>
              <w:pStyle w:val="TableParagraph"/>
              <w:spacing w:before="4"/>
              <w:rPr>
                <w:i/>
                <w:sz w:val="25"/>
              </w:rPr>
            </w:pPr>
          </w:p>
          <w:p>
            <w:pPr>
              <w:pStyle w:val="TableParagraph"/>
              <w:ind w:left="28"/>
              <w:rPr>
                <w:b/>
                <w:sz w:val="22"/>
              </w:rPr>
            </w:pPr>
            <w:r>
              <w:rPr>
                <w:b/>
                <w:sz w:val="22"/>
              </w:rPr>
              <w:t>Banque Royale du Canada</w:t>
            </w:r>
          </w:p>
          <w:p>
            <w:pPr>
              <w:pStyle w:val="TableParagraph"/>
              <w:spacing w:before="126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Agente de crédit / chef caissière</w:t>
            </w:r>
          </w:p>
        </w:tc>
        <w:tc>
          <w:tcPr>
            <w:tcW w:w="1551" w:type="dxa"/>
          </w:tcPr>
          <w:p>
            <w:pPr>
              <w:pStyle w:val="TableParagraph"/>
              <w:spacing w:before="4"/>
              <w:rPr>
                <w:i/>
                <w:sz w:val="25"/>
              </w:rPr>
            </w:pPr>
          </w:p>
          <w:p>
            <w:pPr>
              <w:pStyle w:val="TableParagraph"/>
              <w:ind w:right="7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1978-1988</w:t>
            </w:r>
          </w:p>
        </w:tc>
      </w:tr>
      <w:tr>
        <w:trPr>
          <w:trHeight w:val="635" w:hRule="atLeast"/>
        </w:trPr>
        <w:tc>
          <w:tcPr>
            <w:tcW w:w="73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FORMATION</w:t>
            </w:r>
          </w:p>
        </w:tc>
        <w:tc>
          <w:tcPr>
            <w:tcW w:w="15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73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0"/>
              <w:ind w:left="28"/>
              <w:rPr>
                <w:sz w:val="20"/>
              </w:rPr>
            </w:pPr>
            <w:r>
              <w:rPr>
                <w:b/>
                <w:i/>
                <w:sz w:val="22"/>
              </w:rPr>
              <w:t>OACIQ </w:t>
            </w:r>
            <w:r>
              <w:rPr>
                <w:sz w:val="20"/>
              </w:rPr>
              <w:t>Collège d’Enseignement en Immobilier</w:t>
            </w:r>
          </w:p>
        </w:tc>
        <w:tc>
          <w:tcPr>
            <w:tcW w:w="15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0"/>
              <w:ind w:right="71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380" w:hRule="atLeast"/>
        </w:trPr>
        <w:tc>
          <w:tcPr>
            <w:tcW w:w="7344" w:type="dxa"/>
          </w:tcPr>
          <w:p>
            <w:pPr>
              <w:pStyle w:val="TableParagraph"/>
              <w:spacing w:before="58"/>
              <w:ind w:left="28"/>
              <w:rPr>
                <w:sz w:val="20"/>
              </w:rPr>
            </w:pPr>
            <w:r>
              <w:rPr>
                <w:b/>
                <w:i/>
                <w:sz w:val="22"/>
              </w:rPr>
              <w:t>Les finances, c’est nos affaires, </w:t>
            </w:r>
            <w:r>
              <w:rPr>
                <w:sz w:val="20"/>
              </w:rPr>
              <w:t>Développement dimensions International</w:t>
            </w:r>
          </w:p>
        </w:tc>
        <w:tc>
          <w:tcPr>
            <w:tcW w:w="1551" w:type="dxa"/>
          </w:tcPr>
          <w:p>
            <w:pPr>
              <w:pStyle w:val="TableParagraph"/>
              <w:spacing w:before="58"/>
              <w:ind w:right="71"/>
              <w:jc w:val="right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  <w:tr>
        <w:trPr>
          <w:trHeight w:val="380" w:hRule="atLeast"/>
        </w:trPr>
        <w:tc>
          <w:tcPr>
            <w:tcW w:w="7344" w:type="dxa"/>
          </w:tcPr>
          <w:p>
            <w:pPr>
              <w:pStyle w:val="TableParagraph"/>
              <w:spacing w:before="60"/>
              <w:ind w:left="28"/>
              <w:rPr>
                <w:sz w:val="20"/>
              </w:rPr>
            </w:pPr>
            <w:r>
              <w:rPr>
                <w:b/>
                <w:i/>
                <w:sz w:val="22"/>
              </w:rPr>
              <w:t>Attestation programme avancé de gestion du rendement</w:t>
            </w:r>
            <w:r>
              <w:rPr>
                <w:sz w:val="22"/>
              </w:rPr>
              <w:t>, </w:t>
            </w:r>
            <w:r>
              <w:rPr>
                <w:sz w:val="20"/>
              </w:rPr>
              <w:t>Bell</w:t>
            </w:r>
          </w:p>
        </w:tc>
        <w:tc>
          <w:tcPr>
            <w:tcW w:w="1551" w:type="dxa"/>
          </w:tcPr>
          <w:p>
            <w:pPr>
              <w:pStyle w:val="TableParagraph"/>
              <w:spacing w:before="60"/>
              <w:ind w:right="71"/>
              <w:jc w:val="right"/>
              <w:rPr>
                <w:sz w:val="22"/>
              </w:rPr>
            </w:pPr>
            <w:r>
              <w:rPr>
                <w:sz w:val="22"/>
              </w:rPr>
              <w:t>1999</w:t>
            </w:r>
          </w:p>
        </w:tc>
      </w:tr>
      <w:tr>
        <w:trPr>
          <w:trHeight w:val="311" w:hRule="atLeast"/>
        </w:trPr>
        <w:tc>
          <w:tcPr>
            <w:tcW w:w="7344" w:type="dxa"/>
          </w:tcPr>
          <w:p>
            <w:pPr>
              <w:pStyle w:val="TableParagraph"/>
              <w:spacing w:line="233" w:lineRule="exact" w:before="58"/>
              <w:ind w:left="28"/>
              <w:rPr>
                <w:sz w:val="20"/>
              </w:rPr>
            </w:pPr>
            <w:r>
              <w:rPr>
                <w:b/>
                <w:i/>
                <w:sz w:val="22"/>
              </w:rPr>
              <w:t>Diplôme d’études collégiales - conseil voyage, </w:t>
            </w:r>
            <w:r>
              <w:rPr>
                <w:sz w:val="20"/>
              </w:rPr>
              <w:t>École des conseillers en voyage</w:t>
            </w:r>
          </w:p>
        </w:tc>
        <w:tc>
          <w:tcPr>
            <w:tcW w:w="1551" w:type="dxa"/>
          </w:tcPr>
          <w:p>
            <w:pPr>
              <w:pStyle w:val="TableParagraph"/>
              <w:spacing w:line="233" w:lineRule="exact" w:before="58"/>
              <w:ind w:right="71"/>
              <w:jc w:val="right"/>
              <w:rPr>
                <w:sz w:val="22"/>
              </w:rPr>
            </w:pPr>
            <w:r>
              <w:rPr>
                <w:sz w:val="22"/>
              </w:rPr>
              <w:t>1978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4"/>
        </w:rPr>
      </w:pPr>
    </w:p>
    <w:p>
      <w:pPr>
        <w:spacing w:before="89" w:after="21"/>
        <w:ind w:left="5236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Florianne Bucci (514) 585-6258</w:t>
      </w:r>
    </w:p>
    <w:p>
      <w:pPr>
        <w:pStyle w:val="BodyText"/>
        <w:spacing w:line="29" w:lineRule="exact"/>
        <w:ind w:left="128"/>
        <w:rPr>
          <w:sz w:val="2"/>
        </w:rPr>
      </w:pPr>
      <w:r>
        <w:rPr>
          <w:position w:val="0"/>
          <w:sz w:val="2"/>
        </w:rPr>
        <w:pict>
          <v:group style="width:446.35pt;height:1.45pt;mso-position-horizontal-relative:char;mso-position-vertical-relative:line" coordorigin="0,0" coordsize="8927,29">
            <v:line style="position:absolute" from="0,24" to="8927,24" stroked="true" strokeweight=".48004pt" strokecolor="#000000">
              <v:stroke dashstyle="solid"/>
            </v:line>
            <v:line style="position:absolute" from="0,5" to="8927,5" stroked="true" strokeweight=".47998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sectPr>
      <w:pgSz w:w="12240" w:h="15840"/>
      <w:pgMar w:top="1440" w:bottom="280" w:left="15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522" w:hanging="360"/>
      </w:pPr>
      <w:rPr>
        <w:rFonts w:hint="default"/>
        <w:w w:val="10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386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118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fr-FR" w:eastAsia="fr-FR" w:bidi="fr-FR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562" w:hanging="401"/>
      </w:pPr>
      <w:rPr>
        <w:rFonts w:hint="default" w:ascii="Wingdings" w:hAnsi="Wingdings" w:eastAsia="Wingdings" w:cs="Wingdings"/>
        <w:w w:val="100"/>
        <w:sz w:val="22"/>
        <w:szCs w:val="22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422" w:hanging="401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284" w:hanging="401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146" w:hanging="401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008" w:hanging="401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870" w:hanging="401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732" w:hanging="401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594" w:hanging="401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456" w:hanging="401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0"/>
      <w:numFmt w:val="bullet"/>
      <w:lvlText w:val=""/>
      <w:lvlJc w:val="left"/>
      <w:pPr>
        <w:ind w:left="1155" w:hanging="567"/>
      </w:pPr>
      <w:rPr>
        <w:rFonts w:hint="default" w:ascii="Wingdings" w:hAnsi="Wingdings" w:eastAsia="Wingdings" w:cs="Wingdings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962" w:hanging="567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764" w:hanging="567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566" w:hanging="567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368" w:hanging="567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170" w:hanging="567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972" w:hanging="567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774" w:hanging="567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576" w:hanging="567"/>
      </w:pPr>
      <w:rPr>
        <w:rFonts w:hint="default"/>
        <w:lang w:val="fr-FR" w:eastAsia="fr-FR" w:bidi="fr-FR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562" w:hanging="401"/>
    </w:pPr>
    <w:rPr>
      <w:rFonts w:ascii="Times New Roman" w:hAnsi="Times New Roman" w:eastAsia="Times New Roman" w:cs="Times New Roman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lorianne.bucci@hot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 Plus</dc:creator>
  <dc:title>PATRICK LÉTOURNEAU</dc:title>
  <dcterms:created xsi:type="dcterms:W3CDTF">2020-02-18T23:43:56Z</dcterms:created>
  <dcterms:modified xsi:type="dcterms:W3CDTF">2020-02-18T23:43:56Z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2020-02-18T00:00:00Z</vt:filetime>
  </property>
</Properties>
</file>