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BDBC" w14:textId="77777777" w:rsidR="00CC333D" w:rsidRPr="00A9521C" w:rsidRDefault="00CC333D" w:rsidP="00CC333D">
      <w:pPr>
        <w:jc w:val="center"/>
        <w:rPr>
          <w:rFonts w:ascii="Calibri" w:eastAsia="Calibri" w:hAnsi="Calibri" w:cs="Calibri"/>
          <w:color w:val="000000" w:themeColor="text1"/>
          <w:sz w:val="32"/>
          <w:szCs w:val="32"/>
        </w:rPr>
      </w:pPr>
      <w:bookmarkStart w:id="0" w:name="_Toc236573754"/>
      <w:r w:rsidRPr="00A9521C">
        <w:rPr>
          <w:rFonts w:ascii="Calibri" w:eastAsia="Calibri" w:hAnsi="Calibri" w:cs="Calibri"/>
          <w:b/>
          <w:bCs/>
          <w:color w:val="000000" w:themeColor="text1"/>
          <w:sz w:val="32"/>
          <w:szCs w:val="32"/>
        </w:rPr>
        <w:t>UNIVERSIDAD DEL VALLE DE GUATEMALA</w:t>
      </w:r>
    </w:p>
    <w:p w14:paraId="7FF698A7" w14:textId="77777777" w:rsidR="00CC333D" w:rsidRPr="00A9521C" w:rsidRDefault="00CC333D" w:rsidP="00CC333D">
      <w:pPr>
        <w:jc w:val="center"/>
        <w:rPr>
          <w:rFonts w:ascii="Calibri" w:eastAsia="Calibri" w:hAnsi="Calibri" w:cs="Calibri"/>
          <w:color w:val="000000" w:themeColor="text1"/>
        </w:rPr>
      </w:pPr>
      <w:r w:rsidRPr="00A9521C">
        <w:rPr>
          <w:rFonts w:ascii="Calibri" w:eastAsia="Calibri" w:hAnsi="Calibri" w:cs="Calibri"/>
          <w:color w:val="000000" w:themeColor="text1"/>
        </w:rPr>
        <w:t>_____________________________________________</w:t>
      </w:r>
    </w:p>
    <w:p w14:paraId="324B4A30" w14:textId="77777777" w:rsidR="00CC333D" w:rsidRPr="00BC35A2" w:rsidRDefault="00CC333D" w:rsidP="00CC333D">
      <w:pPr>
        <w:spacing w:line="259" w:lineRule="auto"/>
        <w:jc w:val="center"/>
        <w:rPr>
          <w:rFonts w:ascii="Calibri" w:eastAsia="Calibri" w:hAnsi="Calibri" w:cs="Calibri"/>
          <w:color w:val="auto"/>
        </w:rPr>
      </w:pPr>
      <w:r w:rsidRPr="00BC35A2">
        <w:rPr>
          <w:rFonts w:ascii="Calibri" w:eastAsia="Calibri" w:hAnsi="Calibri" w:cs="Calibri"/>
          <w:color w:val="000000" w:themeColor="text1"/>
        </w:rPr>
        <w:t xml:space="preserve">Data </w:t>
      </w:r>
      <w:proofErr w:type="spellStart"/>
      <w:r w:rsidRPr="00BC35A2">
        <w:rPr>
          <w:rFonts w:ascii="Calibri" w:eastAsia="Calibri" w:hAnsi="Calibri" w:cs="Calibri"/>
          <w:color w:val="000000" w:themeColor="text1"/>
        </w:rPr>
        <w:t>Science</w:t>
      </w:r>
      <w:proofErr w:type="spellEnd"/>
    </w:p>
    <w:p w14:paraId="0D69CF4F"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Sección 30</w:t>
      </w:r>
    </w:p>
    <w:p w14:paraId="2F42C232"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2F20D05B" w14:textId="77777777" w:rsidR="00CC333D" w:rsidRPr="00BC35A2" w:rsidRDefault="00CC333D" w:rsidP="00CC333D">
      <w:pPr>
        <w:jc w:val="center"/>
        <w:rPr>
          <w:rFonts w:ascii="Calibri" w:eastAsia="Calibri" w:hAnsi="Calibri" w:cs="Calibri"/>
          <w:color w:val="000000" w:themeColor="text1"/>
        </w:rPr>
      </w:pPr>
      <w:r w:rsidRPr="046ABA83">
        <w:rPr>
          <w:rFonts w:ascii="Calibri" w:eastAsia="Calibri" w:hAnsi="Calibri" w:cs="Calibri"/>
          <w:color w:val="000000" w:themeColor="text1"/>
        </w:rPr>
        <w:t>  </w:t>
      </w:r>
    </w:p>
    <w:p w14:paraId="18E604E2"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4B561310"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40263929"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156BA666" w14:textId="74F273C2" w:rsidR="00CC333D" w:rsidRPr="00BC35A2" w:rsidRDefault="00CC333D" w:rsidP="00CC333D">
      <w:pPr>
        <w:jc w:val="center"/>
        <w:rPr>
          <w:rFonts w:ascii="Calibri" w:eastAsia="Calibri" w:hAnsi="Calibri" w:cs="Calibri"/>
          <w:color w:val="auto"/>
        </w:rPr>
      </w:pPr>
      <w:r w:rsidRPr="4D02505E">
        <w:rPr>
          <w:rFonts w:ascii="Calibri" w:eastAsia="Calibri" w:hAnsi="Calibri" w:cs="Calibri"/>
          <w:b/>
          <w:bCs/>
          <w:color w:val="000000" w:themeColor="text1"/>
          <w:sz w:val="32"/>
          <w:szCs w:val="32"/>
        </w:rPr>
        <w:t>Laboratorio </w:t>
      </w:r>
      <w:r w:rsidR="00C97122">
        <w:rPr>
          <w:rFonts w:ascii="Calibri" w:eastAsia="Calibri" w:hAnsi="Calibri" w:cs="Calibri"/>
          <w:b/>
          <w:bCs/>
          <w:color w:val="000000" w:themeColor="text1"/>
          <w:sz w:val="32"/>
          <w:szCs w:val="32"/>
        </w:rPr>
        <w:t>10</w:t>
      </w:r>
      <w:r w:rsidRPr="4D02505E">
        <w:rPr>
          <w:rFonts w:ascii="Calibri" w:eastAsia="Calibri" w:hAnsi="Calibri" w:cs="Calibri"/>
          <w:b/>
          <w:bCs/>
          <w:color w:val="000000" w:themeColor="text1"/>
          <w:sz w:val="32"/>
          <w:szCs w:val="32"/>
        </w:rPr>
        <w:t>:</w:t>
      </w:r>
    </w:p>
    <w:p w14:paraId="4364D6F2" w14:textId="08315365" w:rsidR="00CC333D" w:rsidRPr="00BC35A2" w:rsidRDefault="00C97122" w:rsidP="00CC333D">
      <w:pPr>
        <w:jc w:val="center"/>
        <w:rPr>
          <w:rFonts w:ascii="Calibri" w:eastAsia="Calibri" w:hAnsi="Calibri" w:cs="Calibri"/>
          <w:color w:val="000000" w:themeColor="text1"/>
        </w:rPr>
      </w:pPr>
      <w:r>
        <w:rPr>
          <w:rFonts w:ascii="Calibri" w:eastAsia="Calibri" w:hAnsi="Calibri" w:cs="Calibri"/>
          <w:b/>
          <w:bCs/>
          <w:color w:val="000000" w:themeColor="text1"/>
          <w:sz w:val="32"/>
          <w:szCs w:val="32"/>
        </w:rPr>
        <w:t>Visualización Interactiva: Documento de diseño</w:t>
      </w:r>
    </w:p>
    <w:p w14:paraId="0E96DA2F"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4C3CEF80" w14:textId="77777777" w:rsidR="00CC333D" w:rsidRPr="00BC35A2" w:rsidRDefault="00CC333D" w:rsidP="00CC333D">
      <w:pPr>
        <w:jc w:val="center"/>
        <w:rPr>
          <w:rFonts w:ascii="Calibri" w:eastAsia="Calibri" w:hAnsi="Calibri" w:cs="Calibri"/>
          <w:color w:val="000000" w:themeColor="text1"/>
        </w:rPr>
      </w:pPr>
    </w:p>
    <w:p w14:paraId="58BCE4B4" w14:textId="77777777" w:rsidR="00CC333D" w:rsidRPr="00BC35A2" w:rsidRDefault="00CC333D" w:rsidP="00CC333D">
      <w:pPr>
        <w:rPr>
          <w:rFonts w:ascii="Calibri" w:eastAsia="Calibri" w:hAnsi="Calibri" w:cs="Calibri"/>
          <w:color w:val="000000" w:themeColor="text1"/>
        </w:rPr>
      </w:pPr>
    </w:p>
    <w:p w14:paraId="619EBA1C"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2156B384"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1631A5A6"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Facultad de Ingeniería </w:t>
      </w:r>
    </w:p>
    <w:p w14:paraId="09AC8ADA"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3B5793DA" w14:textId="77777777" w:rsidR="00CC333D" w:rsidRPr="00A9521C" w:rsidRDefault="00CC333D" w:rsidP="00CC333D">
      <w:pPr>
        <w:jc w:val="center"/>
        <w:rPr>
          <w:rFonts w:ascii="Calibri" w:eastAsia="Calibri" w:hAnsi="Calibri" w:cs="Calibri"/>
          <w:color w:val="000000" w:themeColor="text1"/>
          <w:sz w:val="24"/>
          <w:szCs w:val="24"/>
        </w:rPr>
      </w:pPr>
    </w:p>
    <w:p w14:paraId="29CFF70D"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2A4573EF"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457D52DE"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73E0ED94"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r w:rsidRPr="00A9521C">
        <w:rPr>
          <w:rFonts w:ascii="Calibri" w:eastAsia="Calibri" w:hAnsi="Calibri" w:cs="Calibri"/>
          <w:color w:val="auto"/>
        </w:rPr>
        <w:br/>
      </w:r>
      <w:r w:rsidRPr="00A9521C">
        <w:rPr>
          <w:rFonts w:ascii="Calibri" w:eastAsia="Calibri" w:hAnsi="Calibri" w:cs="Calibri"/>
          <w:color w:val="000000" w:themeColor="text1"/>
          <w:sz w:val="24"/>
          <w:szCs w:val="24"/>
        </w:rPr>
        <w:t>Gabriel Bran, 23590  </w:t>
      </w:r>
      <w:r w:rsidRPr="00A9521C">
        <w:rPr>
          <w:rFonts w:ascii="Calibri" w:eastAsia="Calibri" w:hAnsi="Calibri" w:cs="Calibri"/>
          <w:color w:val="auto"/>
        </w:rPr>
        <w:br/>
      </w:r>
      <w:r w:rsidRPr="00A9521C">
        <w:rPr>
          <w:rFonts w:ascii="Calibri" w:eastAsia="Calibri" w:hAnsi="Calibri" w:cs="Calibri"/>
          <w:color w:val="000000" w:themeColor="text1"/>
          <w:sz w:val="24"/>
          <w:szCs w:val="24"/>
        </w:rPr>
        <w:t>David Domínguez, 23712  </w:t>
      </w:r>
      <w:r w:rsidRPr="00A9521C">
        <w:rPr>
          <w:rFonts w:ascii="Calibri" w:eastAsia="Calibri" w:hAnsi="Calibri" w:cs="Calibri"/>
          <w:color w:val="auto"/>
        </w:rPr>
        <w:br/>
      </w:r>
      <w:r w:rsidRPr="00A9521C">
        <w:rPr>
          <w:rFonts w:ascii="Calibri" w:eastAsia="Calibri" w:hAnsi="Calibri" w:cs="Calibri"/>
          <w:color w:val="000000" w:themeColor="text1"/>
          <w:sz w:val="24"/>
          <w:szCs w:val="24"/>
        </w:rPr>
        <w:t>Luis Padilla, 23663 </w:t>
      </w:r>
    </w:p>
    <w:p w14:paraId="17074C4A"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0E0680BD" w14:textId="77777777" w:rsidR="00CC333D" w:rsidRPr="00A9521C" w:rsidRDefault="00CC333D" w:rsidP="00CC333D">
      <w:pPr>
        <w:rPr>
          <w:rFonts w:ascii="Calibri" w:eastAsia="Calibri" w:hAnsi="Calibri" w:cs="Calibri"/>
          <w:color w:val="000000" w:themeColor="text1"/>
          <w:sz w:val="24"/>
          <w:szCs w:val="24"/>
        </w:rPr>
      </w:pPr>
    </w:p>
    <w:p w14:paraId="2A857B93" w14:textId="77777777" w:rsidR="00CC333D" w:rsidRPr="00A9521C" w:rsidRDefault="00CC333D" w:rsidP="00CC333D">
      <w:pPr>
        <w:jc w:val="center"/>
        <w:rPr>
          <w:rFonts w:ascii="Calibri" w:eastAsia="Calibri" w:hAnsi="Calibri" w:cs="Calibri"/>
          <w:color w:val="000000" w:themeColor="text1"/>
          <w:sz w:val="24"/>
          <w:szCs w:val="24"/>
        </w:rPr>
      </w:pPr>
    </w:p>
    <w:p w14:paraId="5DE2709F"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530762C5" w14:textId="43AEFA2C" w:rsidR="00CC333D" w:rsidRPr="00A9521C" w:rsidRDefault="00CC333D" w:rsidP="00CC333D">
      <w:pPr>
        <w:jc w:val="center"/>
        <w:rPr>
          <w:rFonts w:ascii="Calibri" w:eastAsia="Calibri" w:hAnsi="Calibri" w:cs="Calibri"/>
          <w:color w:val="000000" w:themeColor="text1"/>
          <w:sz w:val="24"/>
          <w:szCs w:val="24"/>
        </w:rPr>
      </w:pPr>
      <w:r w:rsidRPr="4D02505E">
        <w:rPr>
          <w:rFonts w:ascii="Calibri" w:eastAsia="Calibri" w:hAnsi="Calibri" w:cs="Calibri"/>
          <w:color w:val="000000" w:themeColor="text1"/>
          <w:sz w:val="24"/>
          <w:szCs w:val="24"/>
        </w:rPr>
        <w:t>  </w:t>
      </w:r>
      <w:r>
        <w:br/>
      </w:r>
      <w:r w:rsidRPr="4D02505E">
        <w:rPr>
          <w:rFonts w:ascii="Calibri" w:eastAsia="Calibri" w:hAnsi="Calibri" w:cs="Calibri"/>
          <w:color w:val="000000" w:themeColor="text1"/>
          <w:sz w:val="24"/>
          <w:szCs w:val="24"/>
        </w:rPr>
        <w:t>Repo:</w:t>
      </w:r>
      <w:r w:rsidRPr="4D02505E">
        <w:rPr>
          <w:rFonts w:ascii="Calibri" w:eastAsia="Calibri" w:hAnsi="Calibri" w:cs="Calibri"/>
          <w:color w:val="000000" w:themeColor="text1"/>
          <w:sz w:val="24"/>
          <w:szCs w:val="24"/>
        </w:rPr>
        <w:t xml:space="preserve"> https://github.com/DavidDominguez-11/DS-Lab1 (rama lab10)</w:t>
      </w:r>
    </w:p>
    <w:p w14:paraId="5D6505B1" w14:textId="4AED00C8" w:rsidR="00CC333D" w:rsidRPr="00020B1E" w:rsidRDefault="00CC333D" w:rsidP="00CC333D">
      <w:pPr>
        <w:jc w:val="center"/>
        <w:rPr>
          <w:rFonts w:ascii="Calibri" w:eastAsia="Calibri" w:hAnsi="Calibri" w:cs="Calibri"/>
          <w:color w:val="000000" w:themeColor="text1"/>
          <w:sz w:val="24"/>
          <w:szCs w:val="24"/>
        </w:rPr>
      </w:pPr>
    </w:p>
    <w:p w14:paraId="0798473F" w14:textId="77777777" w:rsidR="00CC333D" w:rsidRPr="00A9521C" w:rsidRDefault="00CC333D" w:rsidP="00CC333D">
      <w:pPr>
        <w:jc w:val="center"/>
        <w:rPr>
          <w:rFonts w:ascii="Calibri" w:eastAsia="Calibri" w:hAnsi="Calibri" w:cs="Calibri"/>
          <w:color w:val="000000" w:themeColor="text1"/>
          <w:sz w:val="24"/>
          <w:szCs w:val="24"/>
        </w:rPr>
      </w:pPr>
    </w:p>
    <w:p w14:paraId="77F1FD99"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199ABBE3"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6026BD1E" w14:textId="77777777" w:rsidR="00CC333D" w:rsidRPr="00A9521C" w:rsidRDefault="00CC333D" w:rsidP="00CC333D">
      <w:pPr>
        <w:jc w:val="center"/>
        <w:rPr>
          <w:rFonts w:ascii="Calibri" w:eastAsia="Calibri" w:hAnsi="Calibri" w:cs="Calibri"/>
          <w:color w:val="000000" w:themeColor="text1"/>
          <w:sz w:val="24"/>
          <w:szCs w:val="24"/>
        </w:rPr>
      </w:pPr>
      <w:r w:rsidRPr="33DD4891">
        <w:rPr>
          <w:rFonts w:ascii="Calibri" w:eastAsia="Calibri" w:hAnsi="Calibri" w:cs="Calibri"/>
          <w:color w:val="000000" w:themeColor="text1"/>
          <w:sz w:val="24"/>
          <w:szCs w:val="24"/>
        </w:rPr>
        <w:t> </w:t>
      </w:r>
    </w:p>
    <w:p w14:paraId="493216F1"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21A6FCBC" w14:textId="77777777" w:rsidR="00CC333D" w:rsidRDefault="00CC333D" w:rsidP="00CC333D">
      <w:pPr>
        <w:jc w:val="center"/>
        <w:rPr>
          <w:rFonts w:ascii="Calibri" w:eastAsia="Calibri" w:hAnsi="Calibri" w:cs="Calibri"/>
          <w:color w:val="000000" w:themeColor="text1"/>
          <w:sz w:val="24"/>
          <w:szCs w:val="24"/>
        </w:rPr>
      </w:pPr>
      <w:r w:rsidRPr="4D02505E">
        <w:rPr>
          <w:rFonts w:ascii="Calibri" w:eastAsia="Calibri" w:hAnsi="Calibri" w:cs="Calibri"/>
          <w:color w:val="000000" w:themeColor="text1"/>
          <w:sz w:val="24"/>
          <w:szCs w:val="24"/>
        </w:rPr>
        <w:t>  </w:t>
      </w:r>
      <w:r>
        <w:br/>
      </w:r>
      <w:r w:rsidRPr="4D02505E">
        <w:rPr>
          <w:rFonts w:ascii="Calibri" w:eastAsia="Calibri" w:hAnsi="Calibri" w:cs="Calibri"/>
          <w:color w:val="000000" w:themeColor="text1"/>
          <w:sz w:val="24"/>
          <w:szCs w:val="24"/>
        </w:rPr>
        <w:t>2026</w:t>
      </w:r>
      <w:bookmarkEnd w:id="0"/>
    </w:p>
    <w:p w14:paraId="1E3A8254" w14:textId="77777777" w:rsidR="00CC333D" w:rsidRDefault="00CC333D" w:rsidP="00CC333D">
      <w:pPr>
        <w:rPr>
          <w:rFonts w:ascii="Calibri" w:eastAsia="Calibri" w:hAnsi="Calibri" w:cs="Calibri"/>
          <w:color w:val="000000" w:themeColor="text1"/>
          <w:sz w:val="24"/>
          <w:szCs w:val="24"/>
        </w:rPr>
      </w:pPr>
      <w:r>
        <w:rPr>
          <w:rFonts w:ascii="Calibri" w:eastAsia="Calibri" w:hAnsi="Calibri" w:cs="Calibri"/>
          <w:color w:val="000000" w:themeColor="text1"/>
          <w:sz w:val="24"/>
          <w:szCs w:val="24"/>
        </w:rPr>
        <w:br w:type="page"/>
      </w:r>
    </w:p>
    <w:p>
      <w:pPr>
        <w:pStyle w:val="Heading1"/>
      </w:pPr>
      <w:r>
        <w:t>1. Introducción</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El Observatorio de Turismo Sostenible de Guatemala es un tablero interactivo dirigido a directivos y tomadores de decisiones del sector turístico que no necesariamente tienen formación en estadística. Utiliza la base de movimientos migratorios de viajeros internacionales (161,036 registros, enero 2009 a junio 2026) y reutiliza los modelos de predicción de los Laboratorios 1 y 2, sin construir modelos nuevos. Este documento describe las decisiones de diseño: preguntas de gestión, alcance, herramienta, paleta, interfaz, visualizaciones, modelos y planificación.</w:t>
      </w:r>
    </w:p>
    <w:p>
      <w:pPr>
        <w:pStyle w:val="Heading1"/>
      </w:pPr>
      <w:r>
        <w:t>2. Preguntas de gestión y preguntas exploratorias</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Se seleccionaron las preguntas que pueden responderse con las fuentes disponibles. Cada una determina una página del tablero y, en conjunto, la navegación: de lo general (qué pasó) a lo específico (cuándo, de dónde, por dónde) y finalmente a lo prospectivo (qué podría pasar y qué tan confiable es).</w:t>
      </w:r>
    </w:p>
    <w:tbl>
      <w:tblPr>
        <w:tblStyle w:val="GridTable1Light3"/>
        <w:tblW w:w="5000" w:type="pct"/>
        <w:tblLook w:val="0020" w:firstRow="1"/>
      </w:tblPr>
      <w:tblGrid>
        <w:gridCol w:w="700"/>
        <w:gridCol w:w="5900"/>
        <w:gridCol w:w="2750"/>
      </w:tblGrid>
      <w:tr>
        <w:tc>
          <w:tcPr>
            <w:tcW w:type="dxa" w:w="700"/>
          </w:tcPr>
          <w:p>
            <w:pPr>
              <w:spacing w:before="36" w:after="36"/>
            </w:pPr>
            <w:r>
              <w:rPr>
                <w:rFonts w:ascii="Calibri" w:hAnsi="Calibri"/>
                <w:sz w:val="19"/>
              </w:rPr>
              <w:t>#</w:t>
            </w:r>
          </w:p>
        </w:tc>
        <w:tc>
          <w:tcPr>
            <w:tcW w:type="dxa" w:w="5900"/>
          </w:tcPr>
          <w:p>
            <w:pPr>
              <w:spacing w:before="36" w:after="36"/>
            </w:pPr>
            <w:r>
              <w:rPr>
                <w:rFonts w:ascii="Calibri" w:hAnsi="Calibri"/>
                <w:sz w:val="19"/>
              </w:rPr>
              <w:t>Pregunta de gestión</w:t>
            </w:r>
          </w:p>
        </w:tc>
        <w:tc>
          <w:tcPr>
            <w:tcW w:type="dxa" w:w="2750"/>
          </w:tcPr>
          <w:p>
            <w:pPr>
              <w:spacing w:before="36" w:after="36"/>
            </w:pPr>
            <w:r>
              <w:rPr>
                <w:rFonts w:ascii="Calibri" w:hAnsi="Calibri"/>
                <w:sz w:val="19"/>
              </w:rPr>
              <w:t>Dónde se responde</w:t>
            </w:r>
          </w:p>
        </w:tc>
      </w:tr>
      <w:tr>
        <w:tc>
          <w:tcPr>
            <w:tcW w:type="dxa" w:w="700"/>
          </w:tcPr>
          <w:p>
            <w:pPr>
              <w:spacing w:before="36" w:after="36"/>
            </w:pPr>
            <w:r>
              <w:rPr>
                <w:rFonts w:ascii="Calibri" w:hAnsi="Calibri"/>
                <w:sz w:val="19"/>
              </w:rPr>
              <w:t>P1</w:t>
            </w:r>
          </w:p>
        </w:tc>
        <w:tc>
          <w:tcPr>
            <w:tcW w:type="dxa" w:w="5900"/>
          </w:tcPr>
          <w:p>
            <w:pPr>
              <w:spacing w:before="36" w:after="36"/>
            </w:pPr>
            <w:r>
              <w:rPr>
                <w:rFonts w:ascii="Calibri" w:hAnsi="Calibri"/>
                <w:sz w:val="19"/>
              </w:rPr>
              <w:t>¿Cómo ha evolucionado el ingreso de viajeros y cómo se recuperó tras la pandemia?</w:t>
            </w:r>
          </w:p>
        </w:tc>
        <w:tc>
          <w:tcPr>
            <w:tcW w:type="dxa" w:w="2750"/>
          </w:tcPr>
          <w:p>
            <w:pPr>
              <w:spacing w:before="36" w:after="36"/>
            </w:pPr>
            <w:r>
              <w:rPr>
                <w:rFonts w:ascii="Calibri" w:hAnsi="Calibri"/>
                <w:sz w:val="19"/>
              </w:rPr>
              <w:t>Página 1: barras por año</w:t>
            </w:r>
          </w:p>
        </w:tc>
      </w:tr>
      <w:tr>
        <w:tc>
          <w:tcPr>
            <w:tcW w:type="dxa" w:w="700"/>
          </w:tcPr>
          <w:p>
            <w:pPr>
              <w:spacing w:before="36" w:after="36"/>
            </w:pPr>
            <w:r>
              <w:rPr>
                <w:rFonts w:ascii="Calibri" w:hAnsi="Calibri"/>
                <w:sz w:val="19"/>
              </w:rPr>
              <w:t>P2</w:t>
            </w:r>
          </w:p>
        </w:tc>
        <w:tc>
          <w:tcPr>
            <w:tcW w:type="dxa" w:w="5900"/>
          </w:tcPr>
          <w:p>
            <w:pPr>
              <w:spacing w:before="36" w:after="36"/>
            </w:pPr>
            <w:r>
              <w:rPr>
                <w:rFonts w:ascii="Calibri" w:hAnsi="Calibri"/>
                <w:sz w:val="19"/>
              </w:rPr>
              <w:t>¿Qué ocurrió en un año concreto: en qué meses y por qué vías ingresaron?</w:t>
            </w:r>
          </w:p>
        </w:tc>
        <w:tc>
          <w:tcPr>
            <w:tcW w:type="dxa" w:w="2750"/>
          </w:tcPr>
          <w:p>
            <w:pPr>
              <w:spacing w:before="36" w:after="36"/>
            </w:pPr>
            <w:r>
              <w:rPr>
                <w:rFonts w:ascii="Calibri" w:hAnsi="Calibri"/>
                <w:sz w:val="19"/>
              </w:rPr>
              <w:t>Página 1: detalle enlazado</w:t>
            </w:r>
          </w:p>
        </w:tc>
      </w:tr>
      <w:tr>
        <w:tc>
          <w:tcPr>
            <w:tcW w:type="dxa" w:w="700"/>
          </w:tcPr>
          <w:p>
            <w:pPr>
              <w:spacing w:before="36" w:after="36"/>
            </w:pPr>
            <w:r>
              <w:rPr>
                <w:rFonts w:ascii="Calibri" w:hAnsi="Calibri"/>
                <w:sz w:val="19"/>
              </w:rPr>
              <w:t>P3</w:t>
            </w:r>
          </w:p>
        </w:tc>
        <w:tc>
          <w:tcPr>
            <w:tcW w:type="dxa" w:w="5900"/>
          </w:tcPr>
          <w:p>
            <w:pPr>
              <w:spacing w:before="36" w:after="36"/>
            </w:pPr>
            <w:r>
              <w:rPr>
                <w:rFonts w:ascii="Calibri" w:hAnsi="Calibri"/>
                <w:sz w:val="19"/>
              </w:rPr>
              <w:t>¿En qué meses hay temporada alta y baja?</w:t>
            </w:r>
          </w:p>
        </w:tc>
        <w:tc>
          <w:tcPr>
            <w:tcW w:type="dxa" w:w="2750"/>
          </w:tcPr>
          <w:p>
            <w:pPr>
              <w:spacing w:before="36" w:after="36"/>
            </w:pPr>
            <w:r>
              <w:rPr>
                <w:rFonts w:ascii="Calibri" w:hAnsi="Calibri"/>
                <w:sz w:val="19"/>
              </w:rPr>
              <w:t>Página 2: mapa de calor</w:t>
            </w:r>
          </w:p>
        </w:tc>
      </w:tr>
      <w:tr>
        <w:tc>
          <w:tcPr>
            <w:tcW w:type="dxa" w:w="700"/>
          </w:tcPr>
          <w:p>
            <w:pPr>
              <w:spacing w:before="36" w:after="36"/>
            </w:pPr>
            <w:r>
              <w:rPr>
                <w:rFonts w:ascii="Calibri" w:hAnsi="Calibri"/>
                <w:sz w:val="19"/>
              </w:rPr>
              <w:t>P4</w:t>
            </w:r>
          </w:p>
        </w:tc>
        <w:tc>
          <w:tcPr>
            <w:tcW w:type="dxa" w:w="5900"/>
          </w:tcPr>
          <w:p>
            <w:pPr>
              <w:spacing w:before="36" w:after="36"/>
            </w:pPr>
            <w:r>
              <w:rPr>
                <w:rFonts w:ascii="Calibri" w:hAnsi="Calibri"/>
                <w:sz w:val="19"/>
              </w:rPr>
              <w:t>¿De qué regiones y países provienen los viajeros y por qué fronteras ingresan?</w:t>
            </w:r>
          </w:p>
        </w:tc>
        <w:tc>
          <w:tcPr>
            <w:tcW w:type="dxa" w:w="2750"/>
          </w:tcPr>
          <w:p>
            <w:pPr>
              <w:spacing w:before="36" w:after="36"/>
            </w:pPr>
            <w:r>
              <w:rPr>
                <w:rFonts w:ascii="Calibri" w:hAnsi="Calibri"/>
                <w:sz w:val="19"/>
              </w:rPr>
              <w:t>Página 2: treemap y barras</w:t>
            </w:r>
          </w:p>
        </w:tc>
      </w:tr>
      <w:tr>
        <w:tc>
          <w:tcPr>
            <w:tcW w:type="dxa" w:w="700"/>
          </w:tcPr>
          <w:p>
            <w:pPr>
              <w:spacing w:before="36" w:after="36"/>
            </w:pPr>
            <w:r>
              <w:rPr>
                <w:rFonts w:ascii="Calibri" w:hAnsi="Calibri"/>
                <w:sz w:val="19"/>
              </w:rPr>
              <w:t>P5</w:t>
            </w:r>
          </w:p>
        </w:tc>
        <w:tc>
          <w:tcPr>
            <w:tcW w:type="dxa" w:w="5900"/>
          </w:tcPr>
          <w:p>
            <w:pPr>
              <w:spacing w:before="36" w:after="36"/>
            </w:pPr>
            <w:r>
              <w:rPr>
                <w:rFonts w:ascii="Calibri" w:hAnsi="Calibri"/>
                <w:sz w:val="19"/>
              </w:rPr>
              <w:t>¿Qué se espera a futuro y qué tan confiable es esa estimación?</w:t>
            </w:r>
          </w:p>
        </w:tc>
        <w:tc>
          <w:tcPr>
            <w:tcW w:type="dxa" w:w="2750"/>
          </w:tcPr>
          <w:p>
            <w:pPr>
              <w:spacing w:before="36" w:after="36"/>
            </w:pPr>
            <w:r>
              <w:rPr>
                <w:rFonts w:ascii="Calibri" w:hAnsi="Calibri"/>
                <w:sz w:val="19"/>
              </w:rPr>
              <w:t>Página 3: real frente a estimado</w:t>
            </w:r>
          </w:p>
        </w:tc>
      </w:tr>
      <w:tr>
        <w:tc>
          <w:tcPr>
            <w:tcW w:type="dxa" w:w="700"/>
          </w:tcPr>
          <w:p>
            <w:pPr>
              <w:spacing w:before="36" w:after="36"/>
            </w:pPr>
            <w:r>
              <w:rPr>
                <w:rFonts w:ascii="Calibri" w:hAnsi="Calibri"/>
                <w:sz w:val="19"/>
              </w:rPr>
              <w:t>P6</w:t>
            </w:r>
          </w:p>
        </w:tc>
        <w:tc>
          <w:tcPr>
            <w:tcW w:type="dxa" w:w="5900"/>
          </w:tcPr>
          <w:p>
            <w:pPr>
              <w:spacing w:before="36" w:after="36"/>
            </w:pPr>
            <w:r>
              <w:rPr>
                <w:rFonts w:ascii="Calibri" w:hAnsi="Calibri"/>
                <w:sz w:val="19"/>
              </w:rPr>
              <w:t>¿Qué modelo se equivoca menos y en qué series?</w:t>
            </w:r>
          </w:p>
        </w:tc>
        <w:tc>
          <w:tcPr>
            <w:tcW w:type="dxa" w:w="2750"/>
          </w:tcPr>
          <w:p>
            <w:pPr>
              <w:spacing w:before="36" w:after="36"/>
            </w:pPr>
            <w:r>
              <w:rPr>
                <w:rFonts w:ascii="Calibri" w:hAnsi="Calibri"/>
                <w:sz w:val="19"/>
              </w:rPr>
              <w:t>Página 3: comparación de modelos</w:t>
            </w:r>
          </w:p>
        </w:tc>
      </w:tr>
    </w:tbl>
    <w:p>
      <w:pPr>
        <w:spacing w:after="40"/>
      </w:pPr>
    </w:p>
    <w:p>
      <w:pPr>
        <w:pStyle w:val="Heading1"/>
      </w:pPr>
      <w:r>
        <w:t>3. Alcance del tablero</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 xml:space="preserve">Incluye:</w:t>
      </w:r>
      <w:r w:rsidRPr="00DE4DE0">
        <w:rPr>
          <w:rFonts w:ascii="Calibri" w:eastAsia="Cambria" w:hAnsi="Calibri" w:cs="Calibri"/>
          <w:color w:val="auto"/>
          <w:lang w:val="es" w:eastAsia="en-US"/>
        </w:rPr>
        <w:t xml:space="preserve"> exploración de datos observados (2009 a junio 2026), 10 visualizaciones interactivas con dos pares enlazados, control del nivel de detalle, selección de los gráficos a ver, resultados de 7 modelos ya construidos (SARIMA, Holt-Winters, Prophet y seasonal naive del Laboratorio 1; LSTM simple, LSTM apilado y LSTM global con catch22 del Laboratorio 2), una tabla comparativa de errores y un mapa de calor que resume qué modelo conviene en cada serie.</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 xml:space="preserve">No incluye:</w:t>
      </w:r>
      <w:r w:rsidRPr="00DE4DE0">
        <w:rPr>
          <w:rFonts w:ascii="Calibri" w:eastAsia="Cambria" w:hAnsi="Calibri" w:cs="Calibri"/>
          <w:color w:val="auto"/>
          <w:lang w:val="es" w:eastAsia="en-US"/>
        </w:rPr>
        <w:t xml:space="preserve"> modelos nuevos (el laboratorio lo prohíbe), explicaciones causales de las variaciones, datos ambientales de sostenibilidad (no están en las fuentes disponibles) y predicciones más allá del periodo de prueba.</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 xml:space="preserve">Limitaciones:</w:t>
      </w:r>
      <w:r w:rsidRPr="00DE4DE0">
        <w:rPr>
          <w:rFonts w:ascii="Calibri" w:eastAsia="Cambria" w:hAnsi="Calibri" w:cs="Calibri"/>
          <w:color w:val="auto"/>
          <w:lang w:val="es" w:eastAsia="en-US"/>
        </w:rPr>
        <w:t xml:space="preserve"> la categoría «Viajero» cambió de definición entre 2022 y 2023 y «Cruceristas» deja de reportarse desde 2023, por lo que la medida comparable es Turista + Excursionista; 2026 llega solo hasta junio; los modelos se entrenaron con datos hasta marzo de 2021, afectados por la pandemia, y tienden a subestimar la recuperación posterior. El tablero comunica estos límites junto a los gráficos.</w:t>
      </w:r>
    </w:p>
    <w:p>
      <w:pPr>
        <w:pStyle w:val="Heading1"/>
      </w:pPr>
      <w:r>
        <w:t>4. Herramienta seleccionada y justificación</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Se eligió Streamlit con Plotly (Python), ambas herramientas gratuitas y de código abierto.</w:t>
      </w:r>
    </w:p>
    <w:tbl>
      <w:tblPr>
        <w:tblStyle w:val="GridTable1Light3"/>
        <w:tblW w:w="5000" w:type="pct"/>
        <w:tblLook w:val="0020" w:firstRow="1"/>
      </w:tblPr>
      <w:tblGrid>
        <w:gridCol w:w="2000"/>
        <w:gridCol w:w="5000"/>
        <w:gridCol w:w="2350"/>
      </w:tblGrid>
      <w:tr>
        <w:tc>
          <w:tcPr>
            <w:tcW w:type="dxa" w:w="2000"/>
          </w:tcPr>
          <w:p>
            <w:pPr>
              <w:spacing w:before="36" w:after="36"/>
            </w:pPr>
            <w:r>
              <w:rPr>
                <w:rFonts w:ascii="Calibri" w:hAnsi="Calibri"/>
                <w:sz w:val="19"/>
              </w:rPr>
              <w:t>Criterio</w:t>
            </w:r>
          </w:p>
        </w:tc>
        <w:tc>
          <w:tcPr>
            <w:tcW w:type="dxa" w:w="5000"/>
          </w:tcPr>
          <w:p>
            <w:pPr>
              <w:spacing w:before="36" w:after="36"/>
            </w:pPr>
            <w:r>
              <w:rPr>
                <w:rFonts w:ascii="Calibri" w:hAnsi="Calibri"/>
                <w:sz w:val="19"/>
              </w:rPr>
              <w:t>Streamlit + Plotly</w:t>
            </w:r>
          </w:p>
        </w:tc>
        <w:tc>
          <w:tcPr>
            <w:tcW w:type="dxa" w:w="2350"/>
          </w:tcPr>
          <w:p>
            <w:pPr>
              <w:spacing w:before="36" w:after="36"/>
            </w:pPr>
            <w:r>
              <w:rPr>
                <w:rFonts w:ascii="Calibri" w:hAnsi="Calibri"/>
                <w:sz w:val="19"/>
              </w:rPr>
              <w:t>Alternativas</w:t>
            </w:r>
          </w:p>
        </w:tc>
      </w:tr>
      <w:tr>
        <w:tc>
          <w:tcPr>
            <w:tcW w:type="dxa" w:w="2000"/>
          </w:tcPr>
          <w:p>
            <w:pPr>
              <w:spacing w:before="36" w:after="36"/>
            </w:pPr>
            <w:r>
              <w:rPr>
                <w:rFonts w:ascii="Calibri" w:hAnsi="Calibri"/>
                <w:sz w:val="19"/>
              </w:rPr>
              <w:t>Lenguaje del equipo</w:t>
            </w:r>
          </w:p>
        </w:tc>
        <w:tc>
          <w:tcPr>
            <w:tcW w:type="dxa" w:w="5000"/>
          </w:tcPr>
          <w:p>
            <w:pPr>
              <w:spacing w:before="36" w:after="36"/>
            </w:pPr>
            <w:r>
              <w:rPr>
                <w:rFonts w:ascii="Calibri" w:hAnsi="Calibri"/>
                <w:sz w:val="19"/>
              </w:rPr>
              <w:t>Python, el mismo de los Laboratorios 1 y 2: se reutilizan pandas y los resultados sin traducir código.</w:t>
            </w:r>
          </w:p>
        </w:tc>
        <w:tc>
          <w:tcPr>
            <w:tcW w:type="dxa" w:w="2350"/>
          </w:tcPr>
          <w:p>
            <w:pPr>
              <w:spacing w:before="36" w:after="36"/>
            </w:pPr>
            <w:r>
              <w:rPr>
                <w:rFonts w:ascii="Calibri" w:hAnsi="Calibri"/>
                <w:sz w:val="19"/>
              </w:rPr>
              <w:t>R Shiny obligaría a reescribir el flujo.</w:t>
            </w:r>
          </w:p>
        </w:tc>
      </w:tr>
      <w:tr>
        <w:tc>
          <w:tcPr>
            <w:tcW w:type="dxa" w:w="2000"/>
          </w:tcPr>
          <w:p>
            <w:pPr>
              <w:spacing w:before="36" w:after="36"/>
            </w:pPr>
            <w:r>
              <w:rPr>
                <w:rFonts w:ascii="Calibri" w:hAnsi="Calibri"/>
                <w:sz w:val="19"/>
              </w:rPr>
              <w:t>Gráficos enlazados</w:t>
            </w:r>
          </w:p>
        </w:tc>
        <w:tc>
          <w:tcPr>
            <w:tcW w:type="dxa" w:w="5000"/>
          </w:tcPr>
          <w:p>
            <w:pPr>
              <w:spacing w:before="36" w:after="36"/>
            </w:pPr>
            <w:r>
              <w:rPr>
                <w:rFonts w:ascii="Calibri" w:hAnsi="Calibri"/>
                <w:sz w:val="19"/>
              </w:rPr>
              <w:t>Plotly permite seleccionar con clic y Streamlit actualiza el gráfico relacionado.</w:t>
            </w:r>
          </w:p>
        </w:tc>
        <w:tc>
          <w:tcPr>
            <w:tcW w:type="dxa" w:w="2350"/>
          </w:tcPr>
          <w:p>
            <w:pPr>
              <w:spacing w:before="36" w:after="36"/>
            </w:pPr>
            <w:r>
              <w:rPr>
                <w:rFonts w:ascii="Calibri" w:hAnsi="Calibri"/>
                <w:sz w:val="19"/>
              </w:rPr>
              <w:t>Dash lo logra con callbacks, con más código.</w:t>
            </w:r>
          </w:p>
        </w:tc>
      </w:tr>
      <w:tr>
        <w:tc>
          <w:tcPr>
            <w:tcW w:type="dxa" w:w="2000"/>
          </w:tcPr>
          <w:p>
            <w:pPr>
              <w:spacing w:before="36" w:after="36"/>
            </w:pPr>
            <w:r>
              <w:rPr>
                <w:rFonts w:ascii="Calibri" w:hAnsi="Calibri"/>
                <w:sz w:val="19"/>
              </w:rPr>
              <w:t>Velocidad de desarrollo</w:t>
            </w:r>
          </w:p>
        </w:tc>
        <w:tc>
          <w:tcPr>
            <w:tcW w:type="dxa" w:w="5000"/>
          </w:tcPr>
          <w:p>
            <w:pPr>
              <w:spacing w:before="36" w:after="36"/>
            </w:pPr>
            <w:r>
              <w:rPr>
                <w:rFonts w:ascii="Calibri" w:hAnsi="Calibri"/>
                <w:sz w:val="19"/>
              </w:rPr>
              <w:t>Un solo archivo y pocas líneas por gráfico; adecuado para tres integrantes y pocos días.</w:t>
            </w:r>
          </w:p>
        </w:tc>
        <w:tc>
          <w:tcPr>
            <w:tcW w:type="dxa" w:w="2350"/>
          </w:tcPr>
          <w:p>
            <w:pPr>
              <w:spacing w:before="36" w:after="36"/>
            </w:pPr>
            <w:r>
              <w:rPr>
                <w:rFonts w:ascii="Calibri" w:hAnsi="Calibri"/>
                <w:sz w:val="19"/>
              </w:rPr>
              <w:t>Panel y Voilà tienen menos documentación.</w:t>
            </w:r>
          </w:p>
        </w:tc>
      </w:tr>
      <w:tr>
        <w:tc>
          <w:tcPr>
            <w:tcW w:type="dxa" w:w="2000"/>
          </w:tcPr>
          <w:p>
            <w:pPr>
              <w:spacing w:before="36" w:after="36"/>
            </w:pPr>
            <w:r>
              <w:rPr>
                <w:rFonts w:ascii="Calibri" w:hAnsi="Calibri"/>
                <w:sz w:val="19"/>
              </w:rPr>
              <w:t>Interactividad</w:t>
            </w:r>
          </w:p>
        </w:tc>
        <w:tc>
          <w:tcPr>
            <w:tcW w:type="dxa" w:w="5000"/>
          </w:tcPr>
          <w:p>
            <w:pPr>
              <w:spacing w:before="36" w:after="36"/>
            </w:pPr>
            <w:r>
              <w:rPr>
                <w:rFonts w:ascii="Calibri" w:hAnsi="Calibri"/>
                <w:sz w:val="19"/>
              </w:rPr>
              <w:t>Zoom, información al pasar el cursor, filtros, selección de gráficos y nivel de detalle sin recargar.</w:t>
            </w:r>
          </w:p>
        </w:tc>
        <w:tc>
          <w:tcPr>
            <w:tcW w:type="dxa" w:w="2350"/>
          </w:tcPr>
          <w:p>
            <w:pPr>
              <w:spacing w:before="36" w:after="36"/>
            </w:pPr>
            <w:r>
              <w:rPr>
                <w:rFonts w:ascii="Calibri" w:hAnsi="Calibri"/>
                <w:sz w:val="19"/>
              </w:rPr>
              <w:t>No aplica</w:t>
            </w:r>
          </w:p>
        </w:tc>
      </w:tr>
      <w:tr>
        <w:tc>
          <w:tcPr>
            <w:tcW w:type="dxa" w:w="2000"/>
          </w:tcPr>
          <w:p>
            <w:pPr>
              <w:spacing w:before="36" w:after="36"/>
            </w:pPr>
            <w:r>
              <w:rPr>
                <w:rFonts w:ascii="Calibri" w:hAnsi="Calibri"/>
                <w:sz w:val="19"/>
              </w:rPr>
              <w:t>Costo y despliegue</w:t>
            </w:r>
          </w:p>
        </w:tc>
        <w:tc>
          <w:tcPr>
            <w:tcW w:type="dxa" w:w="5000"/>
          </w:tcPr>
          <w:p>
            <w:pPr>
              <w:spacing w:before="36" w:after="36"/>
            </w:pPr>
            <w:r>
              <w:rPr>
                <w:rFonts w:ascii="Calibri" w:hAnsi="Calibri"/>
                <w:sz w:val="19"/>
              </w:rPr>
              <w:t>Gratuito; se ejecuta con «streamlit run» o en Streamlit Community Cloud.</w:t>
            </w:r>
          </w:p>
        </w:tc>
        <w:tc>
          <w:tcPr>
            <w:tcW w:type="dxa" w:w="2350"/>
          </w:tcPr>
          <w:p>
            <w:pPr>
              <w:spacing w:before="36" w:after="36"/>
            </w:pPr>
            <w:r>
              <w:rPr>
                <w:rFonts w:ascii="Calibri" w:hAnsi="Calibri"/>
                <w:sz w:val="19"/>
              </w:rPr>
              <w:t>No aplica</w:t>
            </w:r>
          </w:p>
        </w:tc>
      </w:tr>
    </w:tbl>
    <w:p>
      <w:pPr>
        <w:spacing w:after="40"/>
      </w:pPr>
    </w:p>
    <w:p>
      <w:pPr>
        <w:pStyle w:val="Heading1"/>
      </w:pPr>
      <w:r>
        <w:t>5. Diseño de la interfaz</w:t>
      </w:r>
    </w:p>
    <w:p>
      <w:pPr>
        <w:pStyle w:val="Heading2"/>
      </w:pPr>
      <w:r>
        <w:t>5.1 Paleta de colores</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Cada color conserva su significado en toda la aplicación. La paleta se basa en Okabe-Ito, segura para personas con daltonismo, y el texto oscuro sobre fondo blanco ofrece alto contraste.</w:t>
      </w:r>
    </w:p>
    <w:tbl>
      <w:tblPr>
        <w:tblStyle w:val="GridTable1Light3"/>
        <w:tblW w:w="5000" w:type="pct"/>
        <w:tblLook w:val="0020" w:firstRow="1"/>
      </w:tblPr>
      <w:tblGrid>
        <w:gridCol w:w="2700"/>
        <w:gridCol w:w="2900"/>
        <w:gridCol w:w="3750"/>
      </w:tblGrid>
      <w:tr>
        <w:tc>
          <w:tcPr>
            <w:tcW w:type="dxa" w:w="2700"/>
          </w:tcPr>
          <w:p>
            <w:pPr>
              <w:spacing w:before="36" w:after="36"/>
            </w:pPr>
            <w:r>
              <w:rPr>
                <w:rFonts w:ascii="Calibri" w:hAnsi="Calibri"/>
                <w:sz w:val="19"/>
              </w:rPr>
              <w:t>Color</w:t>
            </w:r>
          </w:p>
        </w:tc>
        <w:tc>
          <w:tcPr>
            <w:tcW w:type="dxa" w:w="2900"/>
          </w:tcPr>
          <w:p>
            <w:pPr>
              <w:spacing w:before="36" w:after="36"/>
            </w:pPr>
            <w:r>
              <w:rPr>
                <w:rFonts w:ascii="Calibri" w:hAnsi="Calibri"/>
                <w:sz w:val="19"/>
              </w:rPr>
              <w:t>Significado fijo</w:t>
            </w:r>
          </w:p>
        </w:tc>
        <w:tc>
          <w:tcPr>
            <w:tcW w:type="dxa" w:w="3750"/>
          </w:tcPr>
          <w:p>
            <w:pPr>
              <w:spacing w:before="36" w:after="36"/>
            </w:pPr>
            <w:r>
              <w:rPr>
                <w:rFonts w:ascii="Calibri" w:hAnsi="Calibri"/>
                <w:sz w:val="19"/>
              </w:rPr>
              <w:t>Justificación</w:t>
            </w:r>
          </w:p>
        </w:tc>
      </w:tr>
      <w:tr>
        <w:tc>
          <w:tcPr>
            <w:tcW w:type="dxa" w:w="2700"/>
          </w:tcPr>
          <w:p>
            <w:pPr>
              <w:spacing w:before="36" w:after="36"/>
            </w:pPr>
            <w:r>
              <w:rPr>
                <w:rFonts w:ascii="Calibri" w:hAnsi="Calibri"/>
                <w:sz w:val="19"/>
              </w:rPr>
              <w:t>Azul oscuro (#1B4F72)</w:t>
            </w:r>
          </w:p>
        </w:tc>
        <w:tc>
          <w:tcPr>
            <w:tcW w:type="dxa" w:w="2900"/>
          </w:tcPr>
          <w:p>
            <w:pPr>
              <w:spacing w:before="36" w:after="36"/>
            </w:pPr>
            <w:r>
              <w:rPr>
                <w:rFonts w:ascii="Calibri" w:hAnsi="Calibri"/>
                <w:sz w:val="19"/>
              </w:rPr>
              <w:t>Dato observado: lo que ocurrió</w:t>
            </w:r>
          </w:p>
        </w:tc>
        <w:tc>
          <w:tcPr>
            <w:tcW w:type="dxa" w:w="3750"/>
          </w:tcPr>
          <w:p>
            <w:pPr>
              <w:spacing w:before="36" w:after="36"/>
            </w:pPr>
            <w:r>
              <w:rPr>
                <w:rFonts w:ascii="Calibri" w:hAnsi="Calibri"/>
                <w:sz w:val="19"/>
              </w:rPr>
              <w:t>El azul transmite confianza e institucionalidad y distingue lo medido de lo estimado.</w:t>
            </w:r>
          </w:p>
        </w:tc>
      </w:tr>
      <w:tr>
        <w:tc>
          <w:tcPr>
            <w:tcW w:type="dxa" w:w="2700"/>
          </w:tcPr>
          <w:p>
            <w:pPr>
              <w:spacing w:before="36" w:after="36"/>
            </w:pPr>
            <w:r>
              <w:rPr>
                <w:rFonts w:ascii="Calibri" w:hAnsi="Calibri"/>
                <w:sz w:val="19"/>
              </w:rPr>
              <w:t>Azul medio (#0072B2)</w:t>
            </w:r>
          </w:p>
        </w:tc>
        <w:tc>
          <w:tcPr>
            <w:tcW w:type="dxa" w:w="2900"/>
          </w:tcPr>
          <w:p>
            <w:pPr>
              <w:spacing w:before="36" w:after="36"/>
            </w:pPr>
            <w:r>
              <w:rPr>
                <w:rFonts w:ascii="Calibri" w:hAnsi="Calibri"/>
                <w:sz w:val="19"/>
              </w:rPr>
              <w:t>Selección del usuario y detalle enlazado</w:t>
            </w:r>
          </w:p>
        </w:tc>
        <w:tc>
          <w:tcPr>
            <w:tcW w:type="dxa" w:w="3750"/>
          </w:tcPr>
          <w:p>
            <w:pPr>
              <w:spacing w:before="36" w:after="36"/>
            </w:pPr>
            <w:r>
              <w:rPr>
                <w:rFonts w:ascii="Calibri" w:hAnsi="Calibri"/>
                <w:sz w:val="19"/>
              </w:rPr>
              <w:t>Mismo matiz que lo observado: indica «la misma información, con más detalle».</w:t>
            </w:r>
          </w:p>
        </w:tc>
      </w:tr>
      <w:tr>
        <w:tc>
          <w:tcPr>
            <w:tcW w:type="dxa" w:w="2700"/>
          </w:tcPr>
          <w:p>
            <w:pPr>
              <w:spacing w:before="36" w:after="36"/>
            </w:pPr>
            <w:r>
              <w:rPr>
                <w:rFonts w:ascii="Calibri" w:hAnsi="Calibri"/>
                <w:sz w:val="19"/>
              </w:rPr>
              <w:t>Naranja (#D55E00)</w:t>
            </w:r>
          </w:p>
        </w:tc>
        <w:tc>
          <w:tcPr>
            <w:tcW w:type="dxa" w:w="2900"/>
          </w:tcPr>
          <w:p>
            <w:pPr>
              <w:spacing w:before="36" w:after="36"/>
            </w:pPr>
            <w:r>
              <w:rPr>
                <w:rFonts w:ascii="Calibri" w:hAnsi="Calibri"/>
                <w:sz w:val="19"/>
              </w:rPr>
              <w:t>Estimación de un modelo y avisos</w:t>
            </w:r>
          </w:p>
        </w:tc>
        <w:tc>
          <w:tcPr>
            <w:tcW w:type="dxa" w:w="3750"/>
          </w:tcPr>
          <w:p>
            <w:pPr>
              <w:spacing w:before="36" w:after="36"/>
            </w:pPr>
            <w:r>
              <w:rPr>
                <w:rFonts w:ascii="Calibri" w:hAnsi="Calibri"/>
                <w:sz w:val="19"/>
              </w:rPr>
              <w:t>Contrasta con el azul y alerta que es una estimación, no un hecho.</w:t>
            </w:r>
          </w:p>
        </w:tc>
      </w:tr>
      <w:tr>
        <w:tc>
          <w:tcPr>
            <w:tcW w:type="dxa" w:w="2700"/>
          </w:tcPr>
          <w:p>
            <w:pPr>
              <w:spacing w:before="36" w:after="36"/>
            </w:pPr>
            <w:r>
              <w:rPr>
                <w:rFonts w:ascii="Calibri" w:hAnsi="Calibri"/>
                <w:sz w:val="19"/>
              </w:rPr>
              <w:t>Verde, rosa y gris (#009E73, #CC79A7, #7F7F7F)</w:t>
            </w:r>
          </w:p>
        </w:tc>
        <w:tc>
          <w:tcPr>
            <w:tcW w:type="dxa" w:w="2900"/>
          </w:tcPr>
          <w:p>
            <w:pPr>
              <w:spacing w:before="36" w:after="36"/>
            </w:pPr>
            <w:r>
              <w:rPr>
                <w:rFonts w:ascii="Calibri" w:hAnsi="Calibri"/>
                <w:sz w:val="19"/>
              </w:rPr>
              <w:t>Un color fijo por modelo</w:t>
            </w:r>
          </w:p>
        </w:tc>
        <w:tc>
          <w:tcPr>
            <w:tcW w:type="dxa" w:w="3750"/>
          </w:tcPr>
          <w:p>
            <w:pPr>
              <w:spacing w:before="36" w:after="36"/>
            </w:pPr>
            <w:r>
              <w:rPr>
                <w:rFonts w:ascii="Calibri" w:hAnsi="Calibri"/>
                <w:sz w:val="19"/>
              </w:rPr>
              <w:t>Distinguibles entre sí y de la serie real, también en escala de grises.</w:t>
            </w:r>
          </w:p>
        </w:tc>
      </w:tr>
      <w:tr>
        <w:tc>
          <w:tcPr>
            <w:tcW w:type="dxa" w:w="2700"/>
          </w:tcPr>
          <w:p>
            <w:pPr>
              <w:spacing w:before="36" w:after="36"/>
            </w:pPr>
            <w:r>
              <w:rPr>
                <w:rFonts w:ascii="Calibri" w:hAnsi="Calibri"/>
                <w:sz w:val="19"/>
              </w:rPr>
              <w:t>Escala azul secuencial</w:t>
            </w:r>
          </w:p>
        </w:tc>
        <w:tc>
          <w:tcPr>
            <w:tcW w:type="dxa" w:w="2900"/>
          </w:tcPr>
          <w:p>
            <w:pPr>
              <w:spacing w:before="36" w:after="36"/>
            </w:pPr>
            <w:r>
              <w:rPr>
                <w:rFonts w:ascii="Calibri" w:hAnsi="Calibri"/>
                <w:sz w:val="19"/>
              </w:rPr>
              <w:t>Intensidad (mapa de calor y treemap)</w:t>
            </w:r>
          </w:p>
        </w:tc>
        <w:tc>
          <w:tcPr>
            <w:tcW w:type="dxa" w:w="3750"/>
          </w:tcPr>
          <w:p>
            <w:pPr>
              <w:spacing w:before="36" w:after="36"/>
            </w:pPr>
            <w:r>
              <w:rPr>
                <w:rFonts w:ascii="Calibri" w:hAnsi="Calibri"/>
                <w:sz w:val="19"/>
              </w:rPr>
              <w:t>Un solo matiz: más oscuro significa más viajeros.</w:t>
            </w:r>
          </w:p>
        </w:tc>
      </w:tr>
    </w:tbl>
    <w:p>
      <w:pPr>
        <w:spacing w:after="40"/>
      </w:pPr>
    </w:p>
    <w:p>
      <w:pPr>
        <w:pStyle w:val="Heading2"/>
      </w:pPr>
      <w:r>
        <w:t>5.2 Tipografía y comunicación</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Se usa fuente sans-serif a 16 px como base, legible en pantalla y proyector. Cada gráfico lleva una etiqueta «Dato observado» o «Estimación de modelo» para separar hallazgos de estimaciones, una pregunta guía bajo el título y un texto «Cómo leerlo». Las selecciones sin datos muestran un mensaje claro en lugar de un gráfico vacío.</w:t>
      </w:r>
    </w:p>
    <w:p>
      <w:pPr>
        <w:pStyle w:val="Heading2"/>
      </w:pPr>
      <w:r>
        <w:t>5.3 Bosquejo y navegación</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La navegación es un menú lateral con tres páginas y filtros globales siempre visibles. La estructura de la página 1 es:</w:t>
      </w:r>
    </w:p>
    <w:tbl>
      <w:tblPr>
        <w:tblStyle w:val="GridTable1Light3"/>
        <w:tblW w:w="5000" w:type="pct"/>
        <w:tblLook w:val="0020" w:firstRow="1"/>
      </w:tblPr>
      <w:tblGrid>
        <w:gridCol w:w="2400"/>
        <w:gridCol w:w="6950"/>
      </w:tblGrid>
      <w:tr>
        <w:tc>
          <w:tcPr>
            <w:tcW w:type="dxa" w:w="2400"/>
          </w:tcPr>
          <w:p>
            <w:pPr>
              <w:spacing w:before="36" w:after="36"/>
            </w:pPr>
            <w:r>
              <w:rPr>
                <w:rFonts w:ascii="Calibri" w:hAnsi="Calibri"/>
                <w:sz w:val="19"/>
              </w:rPr>
              <w:t>Zona</w:t>
            </w:r>
          </w:p>
        </w:tc>
        <w:tc>
          <w:tcPr>
            <w:tcW w:type="dxa" w:w="6950"/>
          </w:tcPr>
          <w:p>
            <w:pPr>
              <w:spacing w:before="36" w:after="36"/>
            </w:pPr>
            <w:r>
              <w:rPr>
                <w:rFonts w:ascii="Calibri" w:hAnsi="Calibri"/>
                <w:sz w:val="19"/>
              </w:rPr>
              <w:t>Contenido</w:t>
            </w:r>
          </w:p>
        </w:tc>
      </w:tr>
      <w:tr>
        <w:tc>
          <w:tcPr>
            <w:tcW w:type="dxa" w:w="2400"/>
          </w:tcPr>
          <w:p>
            <w:pPr>
              <w:spacing w:before="36" w:after="36"/>
            </w:pPr>
            <w:r>
              <w:rPr>
                <w:rFonts w:ascii="Calibri" w:hAnsi="Calibri"/>
                <w:sz w:val="19"/>
              </w:rPr>
              <w:t>Barra lateral</w:t>
            </w:r>
          </w:p>
        </w:tc>
        <w:tc>
          <w:tcPr>
            <w:tcW w:type="dxa" w:w="6950"/>
          </w:tcPr>
          <w:p>
            <w:pPr>
              <w:spacing w:before="36" w:after="36"/>
            </w:pPr>
            <w:r>
              <w:rPr>
                <w:rFonts w:ascii="Calibri" w:hAnsi="Calibri"/>
                <w:sz w:val="19"/>
              </w:rPr>
              <w:t>Menú de 3 páginas (Panorama general, Explorar a detalle, Predicciones y modelos) y filtros: rango de años, tipo de viajero y vía de ingreso.</w:t>
            </w:r>
          </w:p>
        </w:tc>
      </w:tr>
      <w:tr>
        <w:tc>
          <w:tcPr>
            <w:tcW w:type="dxa" w:w="2400"/>
          </w:tcPr>
          <w:p>
            <w:pPr>
              <w:spacing w:before="36" w:after="36"/>
            </w:pPr>
            <w:r>
              <w:rPr>
                <w:rFonts w:ascii="Calibri" w:hAnsi="Calibri"/>
                <w:sz w:val="19"/>
              </w:rPr>
              <w:t>Encabezado</w:t>
            </w:r>
          </w:p>
        </w:tc>
        <w:tc>
          <w:tcPr>
            <w:tcW w:type="dxa" w:w="6950"/>
          </w:tcPr>
          <w:p>
            <w:pPr>
              <w:spacing w:before="36" w:after="36"/>
            </w:pPr>
            <w:r>
              <w:rPr>
                <w:rFonts w:ascii="Calibri" w:hAnsi="Calibri"/>
                <w:sz w:val="19"/>
              </w:rPr>
              <w:t>Título de la página y pregunta guía que explica qué se puede decidir con ella.</w:t>
            </w:r>
          </w:p>
        </w:tc>
      </w:tr>
      <w:tr>
        <w:tc>
          <w:tcPr>
            <w:tcW w:type="dxa" w:w="2400"/>
          </w:tcPr>
          <w:p>
            <w:pPr>
              <w:spacing w:before="36" w:after="36"/>
            </w:pPr>
            <w:r>
              <w:rPr>
                <w:rFonts w:ascii="Calibri" w:hAnsi="Calibri"/>
                <w:sz w:val="19"/>
              </w:rPr>
              <w:t>Tarjetas</w:t>
            </w:r>
          </w:p>
        </w:tc>
        <w:tc>
          <w:tcPr>
            <w:tcW w:type="dxa" w:w="6950"/>
          </w:tcPr>
          <w:p>
            <w:pPr>
              <w:spacing w:before="36" w:after="36"/>
            </w:pPr>
            <w:r>
              <w:rPr>
                <w:rFonts w:ascii="Calibri" w:hAnsi="Calibri"/>
                <w:sz w:val="19"/>
              </w:rPr>
              <w:t>Tres indicadores: total de viajeros, año con más viajeros y variación del último año.</w:t>
            </w:r>
          </w:p>
        </w:tc>
      </w:tr>
      <w:tr>
        <w:tc>
          <w:tcPr>
            <w:tcW w:type="dxa" w:w="2400"/>
          </w:tcPr>
          <w:p>
            <w:pPr>
              <w:spacing w:before="36" w:after="36"/>
            </w:pPr>
            <w:r>
              <w:rPr>
                <w:rFonts w:ascii="Calibri" w:hAnsi="Calibri"/>
                <w:sz w:val="19"/>
              </w:rPr>
              <w:t>Gráfico A (izquierda)</w:t>
            </w:r>
          </w:p>
        </w:tc>
        <w:tc>
          <w:tcPr>
            <w:tcW w:type="dxa" w:w="6950"/>
          </w:tcPr>
          <w:p>
            <w:pPr>
              <w:spacing w:before="36" w:after="36"/>
            </w:pPr>
            <w:r>
              <w:rPr>
                <w:rFonts w:ascii="Calibri" w:hAnsi="Calibri"/>
                <w:sz w:val="19"/>
              </w:rPr>
              <w:t>Barras de viajeros por año. Un clic en una barra selecciona el año.</w:t>
            </w:r>
          </w:p>
        </w:tc>
      </w:tr>
      <w:tr>
        <w:tc>
          <w:tcPr>
            <w:tcW w:type="dxa" w:w="2400"/>
          </w:tcPr>
          <w:p>
            <w:pPr>
              <w:spacing w:before="36" w:after="36"/>
            </w:pPr>
            <w:r>
              <w:rPr>
                <w:rFonts w:ascii="Calibri" w:hAnsi="Calibri"/>
                <w:sz w:val="19"/>
              </w:rPr>
              <w:t>Gráfico B (derecha)</w:t>
            </w:r>
          </w:p>
        </w:tc>
        <w:tc>
          <w:tcPr>
            <w:tcW w:type="dxa" w:w="6950"/>
          </w:tcPr>
          <w:p>
            <w:pPr>
              <w:spacing w:before="36" w:after="36"/>
            </w:pPr>
            <w:r>
              <w:rPr>
                <w:rFonts w:ascii="Calibri" w:hAnsi="Calibri"/>
                <w:sz w:val="19"/>
              </w:rPr>
              <w:t>Detalle del año seleccionado, enlazado al gráfico A, con control de nivel de detalle (mes, trimestre o vía).</w:t>
            </w:r>
          </w:p>
        </w:tc>
      </w:tr>
      <w:tr>
        <w:tc>
          <w:tcPr>
            <w:tcW w:type="dxa" w:w="2400"/>
          </w:tcPr>
          <w:p>
            <w:pPr>
              <w:spacing w:before="36" w:after="36"/>
            </w:pPr>
            <w:r>
              <w:rPr>
                <w:rFonts w:ascii="Calibri" w:hAnsi="Calibri"/>
                <w:sz w:val="19"/>
              </w:rPr>
              <w:t>Pie</w:t>
            </w:r>
          </w:p>
        </w:tc>
        <w:tc>
          <w:tcPr>
            <w:tcW w:type="dxa" w:w="6950"/>
          </w:tcPr>
          <w:p>
            <w:pPr>
              <w:spacing w:before="36" w:after="36"/>
            </w:pPr>
            <w:r>
              <w:rPr>
                <w:rFonts w:ascii="Calibri" w:hAnsi="Calibri"/>
                <w:sz w:val="19"/>
              </w:rPr>
              <w:t>Texto «Cómo leerlo» y avisos de límites de los datos.</w:t>
            </w:r>
          </w:p>
        </w:tc>
      </w:tr>
    </w:tbl>
    <w:p>
      <w:pPr>
        <w:spacing w:after="40"/>
      </w:pPr>
    </w:p>
    <w:p>
      <w:pPr>
        <w:pStyle w:val="Heading1"/>
      </w:pPr>
      <w:r>
        <w:t>6. Visualizaciones y elección del tipo de gráfica</w:t>
      </w:r>
    </w:p>
    <w:tbl>
      <w:tblPr>
        <w:tblStyle w:val="GridTable1Light3"/>
        <w:tblW w:w="5000" w:type="pct"/>
        <w:tblLook w:val="0020" w:firstRow="1"/>
      </w:tblPr>
      <w:tblGrid>
        <w:gridCol w:w="500"/>
        <w:gridCol w:w="2500"/>
        <w:gridCol w:w="2100"/>
        <w:gridCol w:w="4250"/>
      </w:tblGrid>
      <w:tr>
        <w:tc>
          <w:tcPr>
            <w:tcW w:type="dxa" w:w="500"/>
          </w:tcPr>
          <w:p>
            <w:pPr>
              <w:spacing w:before="36" w:after="36"/>
            </w:pPr>
            <w:r>
              <w:rPr>
                <w:rFonts w:ascii="Calibri" w:hAnsi="Calibri"/>
                <w:sz w:val="19"/>
              </w:rPr>
              <w:t>#</w:t>
            </w:r>
          </w:p>
        </w:tc>
        <w:tc>
          <w:tcPr>
            <w:tcW w:type="dxa" w:w="2500"/>
          </w:tcPr>
          <w:p>
            <w:pPr>
              <w:spacing w:before="36" w:after="36"/>
            </w:pPr>
            <w:r>
              <w:rPr>
                <w:rFonts w:ascii="Calibri" w:hAnsi="Calibri"/>
                <w:sz w:val="19"/>
              </w:rPr>
              <w:t>Visualización</w:t>
            </w:r>
          </w:p>
        </w:tc>
        <w:tc>
          <w:tcPr>
            <w:tcW w:type="dxa" w:w="2100"/>
          </w:tcPr>
          <w:p>
            <w:pPr>
              <w:spacing w:before="36" w:after="36"/>
            </w:pPr>
            <w:r>
              <w:rPr>
                <w:rFonts w:ascii="Calibri" w:hAnsi="Calibri"/>
                <w:sz w:val="19"/>
              </w:rPr>
              <w:t>Tipo de gráfica</w:t>
            </w:r>
          </w:p>
        </w:tc>
        <w:tc>
          <w:tcPr>
            <w:tcW w:type="dxa" w:w="4250"/>
          </w:tcPr>
          <w:p>
            <w:pPr>
              <w:spacing w:before="36" w:after="36"/>
            </w:pPr>
            <w:r>
              <w:rPr>
                <w:rFonts w:ascii="Calibri" w:hAnsi="Calibri"/>
                <w:sz w:val="19"/>
              </w:rPr>
              <w:t>Por qué este tipo</w:t>
            </w:r>
          </w:p>
        </w:tc>
      </w:tr>
      <w:tr>
        <w:tc>
          <w:tcPr>
            <w:tcW w:type="dxa" w:w="500"/>
          </w:tcPr>
          <w:p>
            <w:pPr>
              <w:spacing w:before="36" w:after="36"/>
            </w:pPr>
            <w:r>
              <w:rPr>
                <w:rFonts w:ascii="Calibri" w:hAnsi="Calibri"/>
                <w:sz w:val="19"/>
              </w:rPr>
              <w:t>1</w:t>
            </w:r>
          </w:p>
        </w:tc>
        <w:tc>
          <w:tcPr>
            <w:tcW w:type="dxa" w:w="2500"/>
          </w:tcPr>
          <w:p>
            <w:pPr>
              <w:spacing w:before="36" w:after="36"/>
            </w:pPr>
            <w:r>
              <w:rPr>
                <w:rFonts w:ascii="Calibri" w:hAnsi="Calibri"/>
                <w:sz w:val="19"/>
              </w:rPr>
              <w:t>Viajeros por año</w:t>
            </w:r>
          </w:p>
        </w:tc>
        <w:tc>
          <w:tcPr>
            <w:tcW w:type="dxa" w:w="2100"/>
          </w:tcPr>
          <w:p>
            <w:pPr>
              <w:spacing w:before="36" w:after="36"/>
            </w:pPr>
            <w:r>
              <w:rPr>
                <w:rFonts w:ascii="Calibri" w:hAnsi="Calibri"/>
                <w:sz w:val="19"/>
              </w:rPr>
              <w:t>Barras verticales</w:t>
            </w:r>
          </w:p>
        </w:tc>
        <w:tc>
          <w:tcPr>
            <w:tcW w:type="dxa" w:w="4250"/>
          </w:tcPr>
          <w:p>
            <w:pPr>
              <w:spacing w:before="36" w:after="36"/>
            </w:pPr>
            <w:r>
              <w:rPr>
                <w:rFonts w:ascii="Calibri" w:hAnsi="Calibri"/>
                <w:sz w:val="19"/>
              </w:rPr>
              <w:t>Compara totales entre categorías discretas (años). Un clic selecciona el año y actualiza la visualización 2.</w:t>
            </w:r>
          </w:p>
        </w:tc>
      </w:tr>
      <w:tr>
        <w:tc>
          <w:tcPr>
            <w:tcW w:type="dxa" w:w="500"/>
          </w:tcPr>
          <w:p>
            <w:pPr>
              <w:spacing w:before="36" w:after="36"/>
            </w:pPr>
            <w:r>
              <w:rPr>
                <w:rFonts w:ascii="Calibri" w:hAnsi="Calibri"/>
                <w:sz w:val="19"/>
              </w:rPr>
              <w:t>2</w:t>
            </w:r>
          </w:p>
        </w:tc>
        <w:tc>
          <w:tcPr>
            <w:tcW w:type="dxa" w:w="2500"/>
          </w:tcPr>
          <w:p>
            <w:pPr>
              <w:spacing w:before="36" w:after="36"/>
            </w:pPr>
            <w:r>
              <w:rPr>
                <w:rFonts w:ascii="Calibri" w:hAnsi="Calibri"/>
                <w:sz w:val="19"/>
              </w:rPr>
              <w:t>Detalle del año (mes, trimestre o vía)</w:t>
            </w:r>
          </w:p>
        </w:tc>
        <w:tc>
          <w:tcPr>
            <w:tcW w:type="dxa" w:w="2100"/>
          </w:tcPr>
          <w:p>
            <w:pPr>
              <w:spacing w:before="36" w:after="36"/>
            </w:pPr>
            <w:r>
              <w:rPr>
                <w:rFonts w:ascii="Calibri" w:hAnsi="Calibri"/>
                <w:sz w:val="19"/>
              </w:rPr>
              <w:t>Línea o barras</w:t>
            </w:r>
          </w:p>
        </w:tc>
        <w:tc>
          <w:tcPr>
            <w:tcW w:type="dxa" w:w="4250"/>
          </w:tcPr>
          <w:p>
            <w:pPr>
              <w:spacing w:before="36" w:after="36"/>
            </w:pPr>
            <w:r>
              <w:rPr>
                <w:rFonts w:ascii="Calibri" w:hAnsi="Calibri"/>
                <w:sz w:val="19"/>
              </w:rPr>
              <w:t>La línea muestra la secuencia mensual; las barras comparan trimestres o vías. Enlazada a la 1 y con tres niveles de detalle.</w:t>
            </w:r>
          </w:p>
        </w:tc>
      </w:tr>
      <w:tr>
        <w:tc>
          <w:tcPr>
            <w:tcW w:type="dxa" w:w="500"/>
          </w:tcPr>
          <w:p>
            <w:pPr>
              <w:spacing w:before="36" w:after="36"/>
            </w:pPr>
            <w:r>
              <w:rPr>
                <w:rFonts w:ascii="Calibri" w:hAnsi="Calibri"/>
                <w:sz w:val="19"/>
              </w:rPr>
              <w:t>3</w:t>
            </w:r>
          </w:p>
        </w:tc>
        <w:tc>
          <w:tcPr>
            <w:tcW w:type="dxa" w:w="2500"/>
          </w:tcPr>
          <w:p>
            <w:pPr>
              <w:spacing w:before="36" w:after="36"/>
            </w:pPr>
            <w:r>
              <w:rPr>
                <w:rFonts w:ascii="Calibri" w:hAnsi="Calibri"/>
                <w:sz w:val="19"/>
              </w:rPr>
              <w:t>Estacionalidad año por mes</w:t>
            </w:r>
          </w:p>
        </w:tc>
        <w:tc>
          <w:tcPr>
            <w:tcW w:type="dxa" w:w="2100"/>
          </w:tcPr>
          <w:p>
            <w:pPr>
              <w:spacing w:before="36" w:after="36"/>
            </w:pPr>
            <w:r>
              <w:rPr>
                <w:rFonts w:ascii="Calibri" w:hAnsi="Calibri"/>
                <w:sz w:val="19"/>
              </w:rPr>
              <w:t>Mapa de calor</w:t>
            </w:r>
          </w:p>
        </w:tc>
        <w:tc>
          <w:tcPr>
            <w:tcW w:type="dxa" w:w="4250"/>
          </w:tcPr>
          <w:p>
            <w:pPr>
              <w:spacing w:before="36" w:after="36"/>
            </w:pPr>
            <w:r>
              <w:rPr>
                <w:rFonts w:ascii="Calibri" w:hAnsi="Calibri"/>
                <w:sz w:val="19"/>
              </w:rPr>
              <w:t>Muestra dos dimensiones a la vez; revela temporadas altas y la caída de 2020.</w:t>
            </w:r>
          </w:p>
        </w:tc>
      </w:tr>
      <w:tr>
        <w:tc>
          <w:tcPr>
            <w:tcW w:type="dxa" w:w="500"/>
          </w:tcPr>
          <w:p>
            <w:pPr>
              <w:spacing w:before="36" w:after="36"/>
            </w:pPr>
            <w:r>
              <w:rPr>
                <w:rFonts w:ascii="Calibri" w:hAnsi="Calibri"/>
                <w:sz w:val="19"/>
              </w:rPr>
              <w:t>4</w:t>
            </w:r>
          </w:p>
        </w:tc>
        <w:tc>
          <w:tcPr>
            <w:tcW w:type="dxa" w:w="2500"/>
          </w:tcPr>
          <w:p>
            <w:pPr>
              <w:spacing w:before="36" w:after="36"/>
            </w:pPr>
            <w:r>
              <w:rPr>
                <w:rFonts w:ascii="Calibri" w:hAnsi="Calibri"/>
                <w:sz w:val="19"/>
              </w:rPr>
              <w:t>Origen: región y país</w:t>
            </w:r>
          </w:p>
        </w:tc>
        <w:tc>
          <w:tcPr>
            <w:tcW w:type="dxa" w:w="2100"/>
          </w:tcPr>
          <w:p>
            <w:pPr>
              <w:spacing w:before="36" w:after="36"/>
            </w:pPr>
            <w:r>
              <w:rPr>
                <w:rFonts w:ascii="Calibri" w:hAnsi="Calibri"/>
                <w:sz w:val="19"/>
              </w:rPr>
              <w:t>Treemap</w:t>
            </w:r>
          </w:p>
        </w:tc>
        <w:tc>
          <w:tcPr>
            <w:tcW w:type="dxa" w:w="4250"/>
          </w:tcPr>
          <w:p>
            <w:pPr>
              <w:spacing w:before="36" w:after="36"/>
            </w:pPr>
            <w:r>
              <w:rPr>
                <w:rFonts w:ascii="Calibri" w:hAnsi="Calibri"/>
                <w:sz w:val="19"/>
              </w:rPr>
              <w:t>Representa jerarquías con área proporcional; permite pasar de regiones a países (nivel de detalle).</w:t>
            </w:r>
          </w:p>
        </w:tc>
      </w:tr>
      <w:tr>
        <w:tc>
          <w:tcPr>
            <w:tcW w:type="dxa" w:w="500"/>
          </w:tcPr>
          <w:p>
            <w:pPr>
              <w:spacing w:before="36" w:after="36"/>
            </w:pPr>
            <w:r>
              <w:rPr>
                <w:rFonts w:ascii="Calibri" w:hAnsi="Calibri"/>
                <w:sz w:val="19"/>
              </w:rPr>
              <w:t>5</w:t>
            </w:r>
          </w:p>
        </w:tc>
        <w:tc>
          <w:tcPr>
            <w:tcW w:type="dxa" w:w="2500"/>
          </w:tcPr>
          <w:p>
            <w:pPr>
              <w:spacing w:before="36" w:after="36"/>
            </w:pPr>
            <w:r>
              <w:rPr>
                <w:rFonts w:ascii="Calibri" w:hAnsi="Calibri"/>
                <w:sz w:val="19"/>
              </w:rPr>
              <w:t>Principales países</w:t>
            </w:r>
          </w:p>
        </w:tc>
        <w:tc>
          <w:tcPr>
            <w:tcW w:type="dxa" w:w="2100"/>
          </w:tcPr>
          <w:p>
            <w:pPr>
              <w:spacing w:before="36" w:after="36"/>
            </w:pPr>
            <w:r>
              <w:rPr>
                <w:rFonts w:ascii="Calibri" w:hAnsi="Calibri"/>
                <w:sz w:val="19"/>
              </w:rPr>
              <w:t>Barras horizontales</w:t>
            </w:r>
          </w:p>
        </w:tc>
        <w:tc>
          <w:tcPr>
            <w:tcW w:type="dxa" w:w="4250"/>
          </w:tcPr>
          <w:p>
            <w:pPr>
              <w:spacing w:before="36" w:after="36"/>
            </w:pPr>
            <w:r>
              <w:rPr>
                <w:rFonts w:ascii="Calibri" w:hAnsi="Calibri"/>
                <w:sz w:val="19"/>
              </w:rPr>
              <w:t>Ranking con etiquetas largas legibles; el usuario decide cuántos mostrar.</w:t>
            </w:r>
          </w:p>
        </w:tc>
      </w:tr>
      <w:tr>
        <w:tc>
          <w:tcPr>
            <w:tcW w:type="dxa" w:w="500"/>
          </w:tcPr>
          <w:p>
            <w:pPr>
              <w:spacing w:before="36" w:after="36"/>
            </w:pPr>
            <w:r>
              <w:rPr>
                <w:rFonts w:ascii="Calibri" w:hAnsi="Calibri"/>
                <w:sz w:val="19"/>
              </w:rPr>
              <w:t>6</w:t>
            </w:r>
          </w:p>
        </w:tc>
        <w:tc>
          <w:tcPr>
            <w:tcW w:type="dxa" w:w="2500"/>
          </w:tcPr>
          <w:p>
            <w:pPr>
              <w:spacing w:before="36" w:after="36"/>
            </w:pPr>
            <w:r>
              <w:rPr>
                <w:rFonts w:ascii="Calibri" w:hAnsi="Calibri"/>
                <w:sz w:val="19"/>
              </w:rPr>
              <w:t>Principales fronteras</w:t>
            </w:r>
          </w:p>
        </w:tc>
        <w:tc>
          <w:tcPr>
            <w:tcW w:type="dxa" w:w="2100"/>
          </w:tcPr>
          <w:p>
            <w:pPr>
              <w:spacing w:before="36" w:after="36"/>
            </w:pPr>
            <w:r>
              <w:rPr>
                <w:rFonts w:ascii="Calibri" w:hAnsi="Calibri"/>
                <w:sz w:val="19"/>
              </w:rPr>
              <w:t>Barras horizontales</w:t>
            </w:r>
          </w:p>
        </w:tc>
        <w:tc>
          <w:tcPr>
            <w:tcW w:type="dxa" w:w="4250"/>
          </w:tcPr>
          <w:p>
            <w:pPr>
              <w:spacing w:before="36" w:after="36"/>
            </w:pPr>
            <w:r>
              <w:rPr>
                <w:rFonts w:ascii="Calibri" w:hAnsi="Calibri"/>
                <w:sz w:val="19"/>
              </w:rPr>
              <w:t>Identifica los puntos de ingreso clave.</w:t>
            </w:r>
          </w:p>
        </w:tc>
      </w:tr>
      <w:tr>
        <w:tc>
          <w:tcPr>
            <w:tcW w:type="dxa" w:w="500"/>
          </w:tcPr>
          <w:p>
            <w:pPr>
              <w:spacing w:before="36" w:after="36"/>
            </w:pPr>
            <w:r>
              <w:rPr>
                <w:rFonts w:ascii="Calibri" w:hAnsi="Calibri"/>
                <w:sz w:val="19"/>
              </w:rPr>
              <w:t>7</w:t>
            </w:r>
          </w:p>
        </w:tc>
        <w:tc>
          <w:tcPr>
            <w:tcW w:type="dxa" w:w="2500"/>
          </w:tcPr>
          <w:p>
            <w:pPr>
              <w:spacing w:before="36" w:after="36"/>
            </w:pPr>
            <w:r>
              <w:rPr>
                <w:rFonts w:ascii="Calibri" w:hAnsi="Calibri"/>
                <w:sz w:val="19"/>
              </w:rPr>
              <w:t>Real frente a estimado</w:t>
            </w:r>
          </w:p>
        </w:tc>
        <w:tc>
          <w:tcPr>
            <w:tcW w:type="dxa" w:w="2100"/>
          </w:tcPr>
          <w:p>
            <w:pPr>
              <w:spacing w:before="36" w:after="36"/>
            </w:pPr>
            <w:r>
              <w:rPr>
                <w:rFonts w:ascii="Calibri" w:hAnsi="Calibri"/>
                <w:sz w:val="19"/>
              </w:rPr>
              <w:t>Líneas (real continua, modelos punteados)</w:t>
            </w:r>
          </w:p>
        </w:tc>
        <w:tc>
          <w:tcPr>
            <w:tcW w:type="dxa" w:w="4250"/>
          </w:tcPr>
          <w:p>
            <w:pPr>
              <w:spacing w:before="36" w:after="36"/>
            </w:pPr>
            <w:r>
              <w:rPr>
                <w:rFonts w:ascii="Calibri" w:hAnsi="Calibri"/>
                <w:sz w:val="19"/>
              </w:rPr>
              <w:t>Compara series en el tiempo; lo estimado se distingue por color y trazo.</w:t>
            </w:r>
          </w:p>
        </w:tc>
      </w:tr>
      <w:tr>
        <w:tc>
          <w:tcPr>
            <w:tcW w:type="dxa" w:w="500"/>
          </w:tcPr>
          <w:p>
            <w:pPr>
              <w:spacing w:before="36" w:after="36"/>
            </w:pPr>
            <w:r>
              <w:rPr>
                <w:rFonts w:ascii="Calibri" w:hAnsi="Calibri"/>
                <w:sz w:val="19"/>
              </w:rPr>
              <w:t>8</w:t>
            </w:r>
          </w:p>
        </w:tc>
        <w:tc>
          <w:tcPr>
            <w:tcW w:type="dxa" w:w="2500"/>
          </w:tcPr>
          <w:p>
            <w:pPr>
              <w:spacing w:before="36" w:after="36"/>
            </w:pPr>
            <w:r>
              <w:rPr>
                <w:rFonts w:ascii="Calibri" w:hAnsi="Calibri"/>
                <w:sz w:val="19"/>
              </w:rPr>
              <w:t>Error por modelo</w:t>
            </w:r>
          </w:p>
        </w:tc>
        <w:tc>
          <w:tcPr>
            <w:tcW w:type="dxa" w:w="2100"/>
          </w:tcPr>
          <w:p>
            <w:pPr>
              <w:spacing w:before="36" w:after="36"/>
            </w:pPr>
            <w:r>
              <w:rPr>
                <w:rFonts w:ascii="Calibri" w:hAnsi="Calibri"/>
                <w:sz w:val="19"/>
              </w:rPr>
              <w:t>Barras horizontales</w:t>
            </w:r>
          </w:p>
        </w:tc>
        <w:tc>
          <w:tcPr>
            <w:tcW w:type="dxa" w:w="4250"/>
          </w:tcPr>
          <w:p>
            <w:pPr>
              <w:spacing w:before="36" w:after="36"/>
            </w:pPr>
            <w:r>
              <w:rPr>
                <w:rFonts w:ascii="Calibri" w:hAnsi="Calibri"/>
                <w:sz w:val="19"/>
              </w:rPr>
              <w:t>Ordena los modelos por error (MAE o RMSE). Un clic selecciona el modelo y actualiza la visualización 9.</w:t>
            </w:r>
          </w:p>
        </w:tc>
      </w:tr>
      <w:tr>
        <w:tc>
          <w:tcPr>
            <w:tcW w:type="dxa" w:w="500"/>
          </w:tcPr>
          <w:p>
            <w:pPr>
              <w:spacing w:before="36" w:after="36"/>
            </w:pPr>
            <w:r>
              <w:rPr>
                <w:rFonts w:ascii="Calibri" w:hAnsi="Calibri"/>
                <w:sz w:val="19"/>
              </w:rPr>
              <w:t>9</w:t>
            </w:r>
          </w:p>
        </w:tc>
        <w:tc>
          <w:tcPr>
            <w:tcW w:type="dxa" w:w="2500"/>
          </w:tcPr>
          <w:p>
            <w:pPr>
              <w:spacing w:before="36" w:after="36"/>
            </w:pPr>
            <w:r>
              <w:rPr>
                <w:rFonts w:ascii="Calibri" w:hAnsi="Calibri"/>
                <w:sz w:val="19"/>
              </w:rPr>
              <w:t>Error del modelo seleccionado, por mes o por año</w:t>
            </w:r>
          </w:p>
        </w:tc>
        <w:tc>
          <w:tcPr>
            <w:tcW w:type="dxa" w:w="2100"/>
          </w:tcPr>
          <w:p>
            <w:pPr>
              <w:spacing w:before="36" w:after="36"/>
            </w:pPr>
            <w:r>
              <w:rPr>
                <w:rFonts w:ascii="Calibri" w:hAnsi="Calibri"/>
                <w:sz w:val="19"/>
              </w:rPr>
              <w:t>Barras con línea en cero</w:t>
            </w:r>
          </w:p>
        </w:tc>
        <w:tc>
          <w:tcPr>
            <w:tcW w:type="dxa" w:w="4250"/>
          </w:tcPr>
          <w:p>
            <w:pPr>
              <w:spacing w:before="36" w:after="36"/>
            </w:pPr>
            <w:r>
              <w:rPr>
                <w:rFonts w:ascii="Calibri" w:hAnsi="Calibri"/>
                <w:sz w:val="19"/>
              </w:rPr>
              <w:t>Muestra cuándo y hacia qué lado se equivoca el modelo (azul: subestima; naranja: sobrestima). Enlazada a la 8.</w:t>
            </w:r>
          </w:p>
        </w:tc>
      </w:tr>
      <w:tr>
        <w:tc>
          <w:tcPr>
            <w:tcW w:type="dxa" w:w="500"/>
          </w:tcPr>
          <w:p>
            <w:pPr>
              <w:spacing w:before="36" w:after="36"/>
            </w:pPr>
            <w:r>
              <w:rPr>
                <w:rFonts w:ascii="Calibri" w:hAnsi="Calibri"/>
                <w:sz w:val="19"/>
              </w:rPr>
              <w:t>10</w:t>
            </w:r>
          </w:p>
        </w:tc>
        <w:tc>
          <w:tcPr>
            <w:tcW w:type="dxa" w:w="2500"/>
          </w:tcPr>
          <w:p>
            <w:pPr>
              <w:spacing w:before="36" w:after="36"/>
            </w:pPr>
            <w:r>
              <w:rPr>
                <w:rFonts w:ascii="Calibri" w:hAnsi="Calibri"/>
                <w:sz w:val="19"/>
              </w:rPr>
              <w:t>Modelo por serie (error relativo)</w:t>
            </w:r>
          </w:p>
        </w:tc>
        <w:tc>
          <w:tcPr>
            <w:tcW w:type="dxa" w:w="2100"/>
          </w:tcPr>
          <w:p>
            <w:pPr>
              <w:spacing w:before="36" w:after="36"/>
            </w:pPr>
            <w:r>
              <w:rPr>
                <w:rFonts w:ascii="Calibri" w:hAnsi="Calibri"/>
                <w:sz w:val="19"/>
              </w:rPr>
              <w:t>Mapa de calor</w:t>
            </w:r>
          </w:p>
        </w:tc>
        <w:tc>
          <w:tcPr>
            <w:tcW w:type="dxa" w:w="4250"/>
          </w:tcPr>
          <w:p>
            <w:pPr>
              <w:spacing w:before="36" w:after="36"/>
            </w:pPr>
            <w:r>
              <w:rPr>
                <w:rFonts w:ascii="Calibri" w:hAnsi="Calibri"/>
                <w:sz w:val="19"/>
              </w:rPr>
              <w:t>Compara los 7 modelos en las 8 series en una sola vista; 1.0 es el mejor de la serie.</w:t>
            </w:r>
          </w:p>
        </w:tc>
      </w:tr>
    </w:tbl>
    <w:p>
      <w:pPr>
        <w:spacing w:after="40"/>
      </w:pP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Pares enlazados: 1 con 2 y 8 con 9. En ambos, un clic en el primer gráfico cambia el segundo; también se puede elegir con un selector, para quien no use el ratón. Los usuarios eligen qué gráficos ver en la página 2 y qué modelos comparar en la página 3. Las tarjetas, los filtros y la tabla comparativa son elementos complementarios y no se cuentan como visualizaciones.</w:t>
      </w:r>
    </w:p>
    <w:p>
      <w:pPr>
        <w:pStyle w:val="Heading2"/>
      </w:pPr>
      <w:r>
        <w:t>6.1 Capturas del tablero</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Las siguientes capturas corresponden al tablero en funcionamiento (Streamlit, ejecutado localmente).</w:t>
      </w:r>
    </w:p>
    <w:p>
      <w:pPr>
        <w:keepNext/>
        <w:jc w:val="center"/>
      </w:pPr>
      <w:r>
        <w:drawing>
          <wp:inline xmlns:a="http://schemas.openxmlformats.org/drawingml/2006/main" xmlns:pic="http://schemas.openxmlformats.org/drawingml/2006/picture">
            <wp:extent cx="5669280" cy="3405617"/>
            <wp:docPr id="1" name="Picture 1"/>
            <wp:cNvGraphicFramePr>
              <a:graphicFrameLocks noChangeAspect="1"/>
            </wp:cNvGraphicFramePr>
            <a:graphic>
              <a:graphicData uri="http://schemas.openxmlformats.org/drawingml/2006/picture">
                <pic:pic>
                  <pic:nvPicPr>
                    <pic:cNvPr id="0" name="01_panorama.jpg"/>
                    <pic:cNvPicPr/>
                  </pic:nvPicPr>
                  <pic:blipFill>
                    <a:blip r:embed="rId6"/>
                    <a:stretch>
                      <a:fillRect/>
                    </a:stretch>
                  </pic:blipFill>
                  <pic:spPr>
                    <a:xfrm>
                      <a:off x="0" y="0"/>
                      <a:ext cx="5669280" cy="3405617"/>
                    </a:xfrm>
                    <a:prstGeom prst="rect"/>
                  </pic:spPr>
                </pic:pic>
              </a:graphicData>
            </a:graphic>
          </wp:inline>
        </w:drawing>
      </w:r>
    </w:p>
    <w:p>
      <w:pPr>
        <w:jc w:val="center"/>
      </w:pPr>
      <w:r>
        <w:rPr>
          <w:rFonts w:ascii="Calibri" w:hAnsi="Calibri"/>
          <w:i/>
          <w:sz w:val="18"/>
        </w:rPr>
        <w:t>Figura 1. Página 1, Panorama general: barras por año (visualización 1) enlazadas al detalle del año seleccionado (visualización 2), con tarjetas, filtros y nivel de detalle.</w:t>
      </w:r>
    </w:p>
    <w:p>
      <w:pPr>
        <w:keepNext/>
        <w:jc w:val="center"/>
      </w:pPr>
      <w:r>
        <w:drawing>
          <wp:inline xmlns:a="http://schemas.openxmlformats.org/drawingml/2006/main" xmlns:pic="http://schemas.openxmlformats.org/drawingml/2006/picture">
            <wp:extent cx="5669280" cy="3405617"/>
            <wp:docPr id="2" name="Picture 2"/>
            <wp:cNvGraphicFramePr>
              <a:graphicFrameLocks noChangeAspect="1"/>
            </wp:cNvGraphicFramePr>
            <a:graphic>
              <a:graphicData uri="http://schemas.openxmlformats.org/drawingml/2006/picture">
                <pic:pic>
                  <pic:nvPicPr>
                    <pic:cNvPr id="0" name="02_estacionalidad.jpg"/>
                    <pic:cNvPicPr/>
                  </pic:nvPicPr>
                  <pic:blipFill>
                    <a:blip r:embed="rId7"/>
                    <a:stretch>
                      <a:fillRect/>
                    </a:stretch>
                  </pic:blipFill>
                  <pic:spPr>
                    <a:xfrm>
                      <a:off x="0" y="0"/>
                      <a:ext cx="5669280" cy="3405617"/>
                    </a:xfrm>
                    <a:prstGeom prst="rect"/>
                  </pic:spPr>
                </pic:pic>
              </a:graphicData>
            </a:graphic>
          </wp:inline>
        </w:drawing>
      </w:r>
    </w:p>
    <w:p>
      <w:pPr>
        <w:jc w:val="center"/>
      </w:pPr>
      <w:r>
        <w:rPr>
          <w:rFonts w:ascii="Calibri" w:hAnsi="Calibri"/>
          <w:i/>
          <w:sz w:val="18"/>
        </w:rPr>
        <w:t>Figura 2. Página 2, Explorar a detalle: mapa de calor de estacionalidad por año y mes (visualización 3).</w:t>
      </w:r>
    </w:p>
    <w:p>
      <w:pPr>
        <w:keepNext/>
        <w:jc w:val="center"/>
      </w:pPr>
      <w:r>
        <w:drawing>
          <wp:inline xmlns:a="http://schemas.openxmlformats.org/drawingml/2006/main" xmlns:pic="http://schemas.openxmlformats.org/drawingml/2006/picture">
            <wp:extent cx="5669280" cy="3406067"/>
            <wp:docPr id="3" name="Picture 3"/>
            <wp:cNvGraphicFramePr>
              <a:graphicFrameLocks noChangeAspect="1"/>
            </wp:cNvGraphicFramePr>
            <a:graphic>
              <a:graphicData uri="http://schemas.openxmlformats.org/drawingml/2006/picture">
                <pic:pic>
                  <pic:nvPicPr>
                    <pic:cNvPr id="0" name="03_origen.jpg"/>
                    <pic:cNvPicPr/>
                  </pic:nvPicPr>
                  <pic:blipFill>
                    <a:blip r:embed="rId8"/>
                    <a:stretch>
                      <a:fillRect/>
                    </a:stretch>
                  </pic:blipFill>
                  <pic:spPr>
                    <a:xfrm>
                      <a:off x="0" y="0"/>
                      <a:ext cx="5669280" cy="3406067"/>
                    </a:xfrm>
                    <a:prstGeom prst="rect"/>
                  </pic:spPr>
                </pic:pic>
              </a:graphicData>
            </a:graphic>
          </wp:inline>
        </w:drawing>
      </w:r>
    </w:p>
    <w:p>
      <w:pPr>
        <w:jc w:val="center"/>
      </w:pPr>
      <w:r>
        <w:rPr>
          <w:rFonts w:ascii="Calibri" w:hAnsi="Calibri"/>
          <w:i/>
          <w:sz w:val="18"/>
        </w:rPr>
        <w:t>Figura 3. Página 2: treemap de origen de los viajeros por región (visualización 4); el selector permite bajar al nivel de país.</w:t>
      </w:r>
    </w:p>
    <w:p>
      <w:pPr>
        <w:keepNext/>
        <w:jc w:val="center"/>
      </w:pPr>
      <w:r>
        <w:drawing>
          <wp:inline xmlns:a="http://schemas.openxmlformats.org/drawingml/2006/main" xmlns:pic="http://schemas.openxmlformats.org/drawingml/2006/picture">
            <wp:extent cx="5669280" cy="3406067"/>
            <wp:docPr id="4" name="Picture 4"/>
            <wp:cNvGraphicFramePr>
              <a:graphicFrameLocks noChangeAspect="1"/>
            </wp:cNvGraphicFramePr>
            <a:graphic>
              <a:graphicData uri="http://schemas.openxmlformats.org/drawingml/2006/picture">
                <pic:pic>
                  <pic:nvPicPr>
                    <pic:cNvPr id="0" name="04_real_vs_estimado.jpg"/>
                    <pic:cNvPicPr/>
                  </pic:nvPicPr>
                  <pic:blipFill>
                    <a:blip r:embed="rId9"/>
                    <a:stretch>
                      <a:fillRect/>
                    </a:stretch>
                  </pic:blipFill>
                  <pic:spPr>
                    <a:xfrm>
                      <a:off x="0" y="0"/>
                      <a:ext cx="5669280" cy="3406067"/>
                    </a:xfrm>
                    <a:prstGeom prst="rect"/>
                  </pic:spPr>
                </pic:pic>
              </a:graphicData>
            </a:graphic>
          </wp:inline>
        </w:drawing>
      </w:r>
    </w:p>
    <w:p>
      <w:pPr>
        <w:jc w:val="center"/>
      </w:pPr>
      <w:r>
        <w:rPr>
          <w:rFonts w:ascii="Calibri" w:hAnsi="Calibri"/>
          <w:i/>
          <w:sz w:val="18"/>
        </w:rPr>
        <w:t>Figura 4. Página 3, Predicciones y modelos: serie real frente a los modelos elegidos (visualización 7), con tabla comparativa de errores.</w:t>
      </w:r>
    </w:p>
    <w:p>
      <w:pPr>
        <w:keepNext/>
        <w:jc w:val="center"/>
      </w:pPr>
      <w:r>
        <w:drawing>
          <wp:inline xmlns:a="http://schemas.openxmlformats.org/drawingml/2006/main" xmlns:pic="http://schemas.openxmlformats.org/drawingml/2006/picture">
            <wp:extent cx="5669280" cy="3406067"/>
            <wp:docPr id="5" name="Picture 5"/>
            <wp:cNvGraphicFramePr>
              <a:graphicFrameLocks noChangeAspect="1"/>
            </wp:cNvGraphicFramePr>
            <a:graphic>
              <a:graphicData uri="http://schemas.openxmlformats.org/drawingml/2006/picture">
                <pic:pic>
                  <pic:nvPicPr>
                    <pic:cNvPr id="0" name="05_error_modelo.jpg"/>
                    <pic:cNvPicPr/>
                  </pic:nvPicPr>
                  <pic:blipFill>
                    <a:blip r:embed="rId10"/>
                    <a:stretch>
                      <a:fillRect/>
                    </a:stretch>
                  </pic:blipFill>
                  <pic:spPr>
                    <a:xfrm>
                      <a:off x="0" y="0"/>
                      <a:ext cx="5669280" cy="3406067"/>
                    </a:xfrm>
                    <a:prstGeom prst="rect"/>
                  </pic:spPr>
                </pic:pic>
              </a:graphicData>
            </a:graphic>
          </wp:inline>
        </w:drawing>
      </w:r>
    </w:p>
    <w:p>
      <w:pPr>
        <w:jc w:val="center"/>
      </w:pPr>
      <w:r>
        <w:rPr>
          <w:rFonts w:ascii="Calibri" w:hAnsi="Calibri"/>
          <w:i/>
          <w:sz w:val="18"/>
        </w:rPr>
        <w:t>Figura 5. Página 3: error por modelo (visualización 8) y error del modelo seleccionado mes a mes (visualización 9, enlazada a la 8).</w:t>
      </w:r>
    </w:p>
    <w:p>
      <w:pPr>
        <w:keepNext/>
        <w:jc w:val="center"/>
      </w:pPr>
      <w:r>
        <w:drawing>
          <wp:inline xmlns:a="http://schemas.openxmlformats.org/drawingml/2006/main" xmlns:pic="http://schemas.openxmlformats.org/drawingml/2006/picture">
            <wp:extent cx="5669280" cy="3406067"/>
            <wp:docPr id="6" name="Picture 6"/>
            <wp:cNvGraphicFramePr>
              <a:graphicFrameLocks noChangeAspect="1"/>
            </wp:cNvGraphicFramePr>
            <a:graphic>
              <a:graphicData uri="http://schemas.openxmlformats.org/drawingml/2006/picture">
                <pic:pic>
                  <pic:nvPicPr>
                    <pic:cNvPr id="0" name="06_modelo_por_serie.jpg"/>
                    <pic:cNvPicPr/>
                  </pic:nvPicPr>
                  <pic:blipFill>
                    <a:blip r:embed="rId11"/>
                    <a:stretch>
                      <a:fillRect/>
                    </a:stretch>
                  </pic:blipFill>
                  <pic:spPr>
                    <a:xfrm>
                      <a:off x="0" y="0"/>
                      <a:ext cx="5669280" cy="3406067"/>
                    </a:xfrm>
                    <a:prstGeom prst="rect"/>
                  </pic:spPr>
                </pic:pic>
              </a:graphicData>
            </a:graphic>
          </wp:inline>
        </w:drawing>
      </w:r>
    </w:p>
    <w:p>
      <w:pPr>
        <w:jc w:val="center"/>
      </w:pPr>
      <w:r>
        <w:rPr>
          <w:rFonts w:ascii="Calibri" w:hAnsi="Calibri"/>
          <w:i/>
          <w:sz w:val="18"/>
        </w:rPr>
        <w:t>Figura 6. Página 3: error relativo de cada modelo en cada serie (visualización 10); más oscuro significa peor.</w:t>
      </w:r>
    </w:p>
    <w:p>
      <w:pPr>
        <w:pStyle w:val="Heading1"/>
      </w:pPr>
      <w:r>
        <w:t>7. Modelos incluidos y resultados</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Los modelos se reutilizan de los Laboratorios 1 y 2 sin entrenar modelos nuevos. El script scripts/exportar_resultados.py guarda las predicciones de SARIMA, Holt-Winters, Prophet y seasonal naive (Laboratorio 1) y scripts/exportar_lstm.py ejecuta el notebook del Laboratorio 2 y guarda las de los LSTM. Los archivos quedan en la carpeta data y el tablero solo los lee. El entrenamiento cubre de enero 2009 a marzo 2021 (147 meses) y la prueba de abril 2021 a junio 2026 (63 meses). Las series son el total (Turista + Excursionista), tres vías de ingreso y cuatro tipos de viajero. Los LSTM simple y apilado se entrenaron solo para el total y la vía terrestre; el LSTM global con catch22 cubre las 8 series.</w:t>
      </w:r>
    </w:p>
    <w:tbl>
      <w:tblPr>
        <w:tblStyle w:val="GridTable1Light3"/>
        <w:tblW w:w="5000" w:type="pct"/>
        <w:tblLook w:val="0020" w:firstRow="1"/>
      </w:tblPr>
      <w:tblGrid>
        <w:gridCol w:w="3600"/>
        <w:gridCol w:w="3600"/>
        <w:gridCol w:w="2150"/>
      </w:tblGrid>
      <w:tr>
        <w:tc>
          <w:tcPr>
            <w:tcW w:type="dxa" w:w="3600"/>
          </w:tcPr>
          <w:p>
            <w:pPr>
              <w:spacing w:before="36" w:after="36"/>
            </w:pPr>
            <w:r>
              <w:rPr>
                <w:rFonts w:ascii="Calibri" w:hAnsi="Calibri"/>
                <w:sz w:val="19"/>
              </w:rPr>
              <w:t>Serie</w:t>
            </w:r>
          </w:p>
        </w:tc>
        <w:tc>
          <w:tcPr>
            <w:tcW w:type="dxa" w:w="3600"/>
          </w:tcPr>
          <w:p>
            <w:pPr>
              <w:spacing w:before="36" w:after="36"/>
            </w:pPr>
            <w:r>
              <w:rPr>
                <w:rFonts w:ascii="Calibri" w:hAnsi="Calibri"/>
                <w:sz w:val="19"/>
              </w:rPr>
              <w:t>Modelo con menor error</w:t>
            </w:r>
          </w:p>
        </w:tc>
        <w:tc>
          <w:tcPr>
            <w:tcW w:type="dxa" w:w="2150"/>
          </w:tcPr>
          <w:p>
            <w:pPr>
              <w:spacing w:before="36" w:after="36"/>
            </w:pPr>
            <w:r>
              <w:rPr>
                <w:rFonts w:ascii="Calibri" w:hAnsi="Calibri"/>
                <w:sz w:val="19"/>
              </w:rPr>
              <w:t>RMSE (viajeros por mes)</w:t>
            </w:r>
          </w:p>
        </w:tc>
      </w:tr>
      <w:tr>
        <w:tc>
          <w:tcPr>
            <w:tcW w:type="dxa" w:w="3600"/>
          </w:tcPr>
          <w:p>
            <w:pPr>
              <w:spacing w:before="36" w:after="36"/>
            </w:pPr>
            <w:r>
              <w:rPr>
                <w:rFonts w:ascii="Calibri" w:hAnsi="Calibri"/>
                <w:sz w:val="19"/>
              </w:rPr>
              <w:t>Tipo Cruceristas</w:t>
            </w:r>
          </w:p>
        </w:tc>
        <w:tc>
          <w:tcPr>
            <w:tcW w:type="dxa" w:w="3600"/>
          </w:tcPr>
          <w:p>
            <w:pPr>
              <w:spacing w:before="36" w:after="36"/>
            </w:pPr>
            <w:r>
              <w:rPr>
                <w:rFonts w:ascii="Calibri" w:hAnsi="Calibri"/>
                <w:sz w:val="19"/>
              </w:rPr>
              <w:t>SARIMA</w:t>
            </w:r>
          </w:p>
        </w:tc>
        <w:tc>
          <w:tcPr>
            <w:tcW w:type="dxa" w:w="2150"/>
          </w:tcPr>
          <w:p>
            <w:pPr>
              <w:spacing w:before="36" w:after="36"/>
            </w:pPr>
            <w:r>
              <w:rPr>
                <w:rFonts w:ascii="Calibri" w:hAnsi="Calibri"/>
                <w:sz w:val="19"/>
              </w:rPr>
              <w:t>1,664</w:t>
            </w:r>
          </w:p>
        </w:tc>
      </w:tr>
      <w:tr>
        <w:tc>
          <w:tcPr>
            <w:tcW w:type="dxa" w:w="3600"/>
          </w:tcPr>
          <w:p>
            <w:pPr>
              <w:spacing w:before="36" w:after="36"/>
            </w:pPr>
            <w:r>
              <w:rPr>
                <w:rFonts w:ascii="Calibri" w:hAnsi="Calibri"/>
                <w:sz w:val="19"/>
              </w:rPr>
              <w:t>Tipo Excursionista</w:t>
            </w:r>
          </w:p>
        </w:tc>
        <w:tc>
          <w:tcPr>
            <w:tcW w:type="dxa" w:w="3600"/>
          </w:tcPr>
          <w:p>
            <w:pPr>
              <w:spacing w:before="36" w:after="36"/>
            </w:pPr>
            <w:r>
              <w:rPr>
                <w:rFonts w:ascii="Calibri" w:hAnsi="Calibri"/>
                <w:sz w:val="19"/>
              </w:rPr>
              <w:t>Prophet</w:t>
            </w:r>
          </w:p>
        </w:tc>
        <w:tc>
          <w:tcPr>
            <w:tcW w:type="dxa" w:w="2150"/>
          </w:tcPr>
          <w:p>
            <w:pPr>
              <w:spacing w:before="36" w:after="36"/>
            </w:pPr>
            <w:r>
              <w:rPr>
                <w:rFonts w:ascii="Calibri" w:hAnsi="Calibri"/>
                <w:sz w:val="19"/>
              </w:rPr>
              <w:t>22,427</w:t>
            </w:r>
          </w:p>
        </w:tc>
      </w:tr>
      <w:tr>
        <w:tc>
          <w:tcPr>
            <w:tcW w:type="dxa" w:w="3600"/>
          </w:tcPr>
          <w:p>
            <w:pPr>
              <w:spacing w:before="36" w:after="36"/>
            </w:pPr>
            <w:r>
              <w:rPr>
                <w:rFonts w:ascii="Calibri" w:hAnsi="Calibri"/>
                <w:sz w:val="19"/>
              </w:rPr>
              <w:t>Tipo Turista</w:t>
            </w:r>
          </w:p>
        </w:tc>
        <w:tc>
          <w:tcPr>
            <w:tcW w:type="dxa" w:w="3600"/>
          </w:tcPr>
          <w:p>
            <w:pPr>
              <w:spacing w:before="36" w:after="36"/>
            </w:pPr>
            <w:r>
              <w:rPr>
                <w:rFonts w:ascii="Calibri" w:hAnsi="Calibri"/>
                <w:sz w:val="19"/>
              </w:rPr>
              <w:t>LSTM global + catch22</w:t>
            </w:r>
          </w:p>
        </w:tc>
        <w:tc>
          <w:tcPr>
            <w:tcW w:type="dxa" w:w="2150"/>
          </w:tcPr>
          <w:p>
            <w:pPr>
              <w:spacing w:before="36" w:after="36"/>
            </w:pPr>
            <w:r>
              <w:rPr>
                <w:rFonts w:ascii="Calibri" w:hAnsi="Calibri"/>
                <w:sz w:val="19"/>
              </w:rPr>
              <w:t>80,197</w:t>
            </w:r>
          </w:p>
        </w:tc>
      </w:tr>
      <w:tr>
        <w:tc>
          <w:tcPr>
            <w:tcW w:type="dxa" w:w="3600"/>
          </w:tcPr>
          <w:p>
            <w:pPr>
              <w:spacing w:before="36" w:after="36"/>
            </w:pPr>
            <w:r>
              <w:rPr>
                <w:rFonts w:ascii="Calibri" w:hAnsi="Calibri"/>
                <w:sz w:val="19"/>
              </w:rPr>
              <w:t>Tipo Viajero</w:t>
            </w:r>
          </w:p>
        </w:tc>
        <w:tc>
          <w:tcPr>
            <w:tcW w:type="dxa" w:w="3600"/>
          </w:tcPr>
          <w:p>
            <w:pPr>
              <w:spacing w:before="36" w:after="36"/>
            </w:pPr>
            <w:r>
              <w:rPr>
                <w:rFonts w:ascii="Calibri" w:hAnsi="Calibri"/>
                <w:sz w:val="19"/>
              </w:rPr>
              <w:t>Prophet</w:t>
            </w:r>
          </w:p>
        </w:tc>
        <w:tc>
          <w:tcPr>
            <w:tcW w:type="dxa" w:w="2150"/>
          </w:tcPr>
          <w:p>
            <w:pPr>
              <w:spacing w:before="36" w:after="36"/>
            </w:pPr>
            <w:r>
              <w:rPr>
                <w:rFonts w:ascii="Calibri" w:hAnsi="Calibri"/>
                <w:sz w:val="19"/>
              </w:rPr>
              <w:t>33,112</w:t>
            </w:r>
          </w:p>
        </w:tc>
      </w:tr>
      <w:tr>
        <w:tc>
          <w:tcPr>
            <w:tcW w:type="dxa" w:w="3600"/>
          </w:tcPr>
          <w:p>
            <w:pPr>
              <w:spacing w:before="36" w:after="36"/>
            </w:pPr>
            <w:r>
              <w:rPr>
                <w:rFonts w:ascii="Calibri" w:hAnsi="Calibri"/>
                <w:sz w:val="19"/>
              </w:rPr>
              <w:t>Total (Turista + Excursionista)</w:t>
            </w:r>
          </w:p>
        </w:tc>
        <w:tc>
          <w:tcPr>
            <w:tcW w:type="dxa" w:w="3600"/>
          </w:tcPr>
          <w:p>
            <w:pPr>
              <w:spacing w:before="36" w:after="36"/>
            </w:pPr>
            <w:r>
              <w:rPr>
                <w:rFonts w:ascii="Calibri" w:hAnsi="Calibri"/>
                <w:sz w:val="19"/>
              </w:rPr>
              <w:t>Prophet</w:t>
            </w:r>
          </w:p>
        </w:tc>
        <w:tc>
          <w:tcPr>
            <w:tcW w:type="dxa" w:w="2150"/>
          </w:tcPr>
          <w:p>
            <w:pPr>
              <w:spacing w:before="36" w:after="36"/>
            </w:pPr>
            <w:r>
              <w:rPr>
                <w:rFonts w:ascii="Calibri" w:hAnsi="Calibri"/>
                <w:sz w:val="19"/>
              </w:rPr>
              <w:t>119,203</w:t>
            </w:r>
          </w:p>
        </w:tc>
      </w:tr>
      <w:tr>
        <w:tc>
          <w:tcPr>
            <w:tcW w:type="dxa" w:w="3600"/>
          </w:tcPr>
          <w:p>
            <w:pPr>
              <w:spacing w:before="36" w:after="36"/>
            </w:pPr>
            <w:r>
              <w:rPr>
                <w:rFonts w:ascii="Calibri" w:hAnsi="Calibri"/>
                <w:sz w:val="19"/>
              </w:rPr>
              <w:t>Total (Turista + Excursionista)</w:t>
            </w:r>
          </w:p>
        </w:tc>
        <w:tc>
          <w:tcPr>
            <w:tcW w:type="dxa" w:w="3600"/>
          </w:tcPr>
          <w:p>
            <w:pPr>
              <w:spacing w:before="36" w:after="36"/>
            </w:pPr>
            <w:r>
              <w:rPr>
                <w:rFonts w:ascii="Calibri" w:hAnsi="Calibri"/>
                <w:sz w:val="19"/>
              </w:rPr>
              <w:t>LSTM simple (1 capa)</w:t>
            </w:r>
          </w:p>
        </w:tc>
        <w:tc>
          <w:tcPr>
            <w:tcW w:type="dxa" w:w="2150"/>
          </w:tcPr>
          <w:p>
            <w:pPr>
              <w:spacing w:before="36" w:after="36"/>
            </w:pPr>
            <w:r>
              <w:rPr>
                <w:rFonts w:ascii="Calibri" w:hAnsi="Calibri"/>
                <w:sz w:val="19"/>
              </w:rPr>
              <w:t>76,110</w:t>
            </w:r>
          </w:p>
        </w:tc>
      </w:tr>
      <w:tr>
        <w:tc>
          <w:tcPr>
            <w:tcW w:type="dxa" w:w="3600"/>
          </w:tcPr>
          <w:p>
            <w:pPr>
              <w:spacing w:before="36" w:after="36"/>
            </w:pPr>
            <w:r>
              <w:rPr>
                <w:rFonts w:ascii="Calibri" w:hAnsi="Calibri"/>
                <w:sz w:val="19"/>
              </w:rPr>
              <w:t>Total (Turista + Excursionista)</w:t>
            </w:r>
          </w:p>
        </w:tc>
        <w:tc>
          <w:tcPr>
            <w:tcW w:type="dxa" w:w="3600"/>
          </w:tcPr>
          <w:p>
            <w:pPr>
              <w:spacing w:before="36" w:after="36"/>
            </w:pPr>
            <w:r>
              <w:rPr>
                <w:rFonts w:ascii="Calibri" w:hAnsi="Calibri"/>
                <w:sz w:val="19"/>
              </w:rPr>
              <w:t>LSTM global + catch22</w:t>
            </w:r>
          </w:p>
        </w:tc>
        <w:tc>
          <w:tcPr>
            <w:tcW w:type="dxa" w:w="2150"/>
          </w:tcPr>
          <w:p>
            <w:pPr>
              <w:spacing w:before="36" w:after="36"/>
            </w:pPr>
            <w:r>
              <w:rPr>
                <w:rFonts w:ascii="Calibri" w:hAnsi="Calibri"/>
                <w:sz w:val="19"/>
              </w:rPr>
              <w:t>104,766</w:t>
            </w:r>
          </w:p>
        </w:tc>
      </w:tr>
      <w:tr>
        <w:tc>
          <w:tcPr>
            <w:tcW w:type="dxa" w:w="3600"/>
          </w:tcPr>
          <w:p>
            <w:pPr>
              <w:spacing w:before="36" w:after="36"/>
            </w:pPr>
            <w:r>
              <w:rPr>
                <w:rFonts w:ascii="Calibri" w:hAnsi="Calibri"/>
                <w:sz w:val="19"/>
              </w:rPr>
              <w:t>Vía Aérea</w:t>
            </w:r>
          </w:p>
        </w:tc>
        <w:tc>
          <w:tcPr>
            <w:tcW w:type="dxa" w:w="3600"/>
          </w:tcPr>
          <w:p>
            <w:pPr>
              <w:spacing w:before="36" w:after="36"/>
            </w:pPr>
            <w:r>
              <w:rPr>
                <w:rFonts w:ascii="Calibri" w:hAnsi="Calibri"/>
                <w:sz w:val="19"/>
              </w:rPr>
              <w:t>Prophet</w:t>
            </w:r>
          </w:p>
        </w:tc>
        <w:tc>
          <w:tcPr>
            <w:tcW w:type="dxa" w:w="2150"/>
          </w:tcPr>
          <w:p>
            <w:pPr>
              <w:spacing w:before="36" w:after="36"/>
            </w:pPr>
            <w:r>
              <w:rPr>
                <w:rFonts w:ascii="Calibri" w:hAnsi="Calibri"/>
                <w:sz w:val="19"/>
              </w:rPr>
              <w:t>47,062</w:t>
            </w:r>
          </w:p>
        </w:tc>
      </w:tr>
      <w:tr>
        <w:tc>
          <w:tcPr>
            <w:tcW w:type="dxa" w:w="3600"/>
          </w:tcPr>
          <w:p>
            <w:pPr>
              <w:spacing w:before="36" w:after="36"/>
            </w:pPr>
            <w:r>
              <w:rPr>
                <w:rFonts w:ascii="Calibri" w:hAnsi="Calibri"/>
                <w:sz w:val="19"/>
              </w:rPr>
              <w:t>Vía Aérea</w:t>
            </w:r>
          </w:p>
        </w:tc>
        <w:tc>
          <w:tcPr>
            <w:tcW w:type="dxa" w:w="3600"/>
          </w:tcPr>
          <w:p>
            <w:pPr>
              <w:spacing w:before="36" w:after="36"/>
            </w:pPr>
            <w:r>
              <w:rPr>
                <w:rFonts w:ascii="Calibri" w:hAnsi="Calibri"/>
                <w:sz w:val="19"/>
              </w:rPr>
              <w:t>Holt-Winters</w:t>
            </w:r>
          </w:p>
        </w:tc>
        <w:tc>
          <w:tcPr>
            <w:tcW w:type="dxa" w:w="2150"/>
          </w:tcPr>
          <w:p>
            <w:pPr>
              <w:spacing w:before="36" w:after="36"/>
            </w:pPr>
            <w:r>
              <w:rPr>
                <w:rFonts w:ascii="Calibri" w:hAnsi="Calibri"/>
                <w:sz w:val="19"/>
              </w:rPr>
              <w:t>29,846</w:t>
            </w:r>
          </w:p>
        </w:tc>
      </w:tr>
      <w:tr>
        <w:tc>
          <w:tcPr>
            <w:tcW w:type="dxa" w:w="3600"/>
          </w:tcPr>
          <w:p>
            <w:pPr>
              <w:spacing w:before="36" w:after="36"/>
            </w:pPr>
            <w:r>
              <w:rPr>
                <w:rFonts w:ascii="Calibri" w:hAnsi="Calibri"/>
                <w:sz w:val="19"/>
              </w:rPr>
              <w:t>Vía Marítima</w:t>
            </w:r>
          </w:p>
        </w:tc>
        <w:tc>
          <w:tcPr>
            <w:tcW w:type="dxa" w:w="3600"/>
          </w:tcPr>
          <w:p>
            <w:pPr>
              <w:spacing w:before="36" w:after="36"/>
            </w:pPr>
            <w:r>
              <w:rPr>
                <w:rFonts w:ascii="Calibri" w:hAnsi="Calibri"/>
                <w:sz w:val="19"/>
              </w:rPr>
              <w:t>SARIMA</w:t>
            </w:r>
          </w:p>
        </w:tc>
        <w:tc>
          <w:tcPr>
            <w:tcW w:type="dxa" w:w="2150"/>
          </w:tcPr>
          <w:p>
            <w:pPr>
              <w:spacing w:before="36" w:after="36"/>
            </w:pPr>
            <w:r>
              <w:rPr>
                <w:rFonts w:ascii="Calibri" w:hAnsi="Calibri"/>
                <w:sz w:val="19"/>
              </w:rPr>
              <w:t>1,732</w:t>
            </w:r>
          </w:p>
        </w:tc>
      </w:tr>
      <w:tr>
        <w:tc>
          <w:tcPr>
            <w:tcW w:type="dxa" w:w="3600"/>
          </w:tcPr>
          <w:p>
            <w:pPr>
              <w:spacing w:before="36" w:after="36"/>
            </w:pPr>
            <w:r>
              <w:rPr>
                <w:rFonts w:ascii="Calibri" w:hAnsi="Calibri"/>
                <w:sz w:val="19"/>
              </w:rPr>
              <w:t>Vía Marítima</w:t>
            </w:r>
          </w:p>
        </w:tc>
        <w:tc>
          <w:tcPr>
            <w:tcW w:type="dxa" w:w="3600"/>
          </w:tcPr>
          <w:p>
            <w:pPr>
              <w:spacing w:before="36" w:after="36"/>
            </w:pPr>
            <w:r>
              <w:rPr>
                <w:rFonts w:ascii="Calibri" w:hAnsi="Calibri"/>
                <w:sz w:val="19"/>
              </w:rPr>
              <w:t>LSTM global + catch22</w:t>
            </w:r>
          </w:p>
        </w:tc>
        <w:tc>
          <w:tcPr>
            <w:tcW w:type="dxa" w:w="2150"/>
          </w:tcPr>
          <w:p>
            <w:pPr>
              <w:spacing w:before="36" w:after="36"/>
            </w:pPr>
            <w:r>
              <w:rPr>
                <w:rFonts w:ascii="Calibri" w:hAnsi="Calibri"/>
                <w:sz w:val="19"/>
              </w:rPr>
              <w:t>16,434</w:t>
            </w:r>
          </w:p>
        </w:tc>
      </w:tr>
      <w:tr>
        <w:tc>
          <w:tcPr>
            <w:tcW w:type="dxa" w:w="3600"/>
          </w:tcPr>
          <w:p>
            <w:pPr>
              <w:spacing w:before="36" w:after="36"/>
            </w:pPr>
            <w:r>
              <w:rPr>
                <w:rFonts w:ascii="Calibri" w:hAnsi="Calibri"/>
                <w:sz w:val="19"/>
              </w:rPr>
              <w:t>Vía Marítima</w:t>
            </w:r>
          </w:p>
        </w:tc>
        <w:tc>
          <w:tcPr>
            <w:tcW w:type="dxa" w:w="3600"/>
          </w:tcPr>
          <w:p>
            <w:pPr>
              <w:spacing w:before="36" w:after="36"/>
            </w:pPr>
            <w:r>
              <w:rPr>
                <w:rFonts w:ascii="Calibri" w:hAnsi="Calibri"/>
                <w:sz w:val="19"/>
              </w:rPr>
              <w:t>Seasonal naive</w:t>
            </w:r>
          </w:p>
        </w:tc>
        <w:tc>
          <w:tcPr>
            <w:tcW w:type="dxa" w:w="2150"/>
          </w:tcPr>
          <w:p>
            <w:pPr>
              <w:spacing w:before="36" w:after="36"/>
            </w:pPr>
            <w:r>
              <w:rPr>
                <w:rFonts w:ascii="Calibri" w:hAnsi="Calibri"/>
                <w:sz w:val="19"/>
              </w:rPr>
              <w:t>1,732</w:t>
            </w:r>
          </w:p>
        </w:tc>
      </w:tr>
      <w:tr>
        <w:tc>
          <w:tcPr>
            <w:tcW w:type="dxa" w:w="3600"/>
          </w:tcPr>
          <w:p>
            <w:pPr>
              <w:spacing w:before="36" w:after="36"/>
            </w:pPr>
            <w:r>
              <w:rPr>
                <w:rFonts w:ascii="Calibri" w:hAnsi="Calibri"/>
                <w:sz w:val="19"/>
              </w:rPr>
              <w:t>Vía Terrestre</w:t>
            </w:r>
          </w:p>
        </w:tc>
        <w:tc>
          <w:tcPr>
            <w:tcW w:type="dxa" w:w="3600"/>
          </w:tcPr>
          <w:p>
            <w:pPr>
              <w:spacing w:before="36" w:after="36"/>
            </w:pPr>
            <w:r>
              <w:rPr>
                <w:rFonts w:ascii="Calibri" w:hAnsi="Calibri"/>
                <w:sz w:val="19"/>
              </w:rPr>
              <w:t>LSTM simple (1 capa)</w:t>
            </w:r>
          </w:p>
        </w:tc>
        <w:tc>
          <w:tcPr>
            <w:tcW w:type="dxa" w:w="2150"/>
          </w:tcPr>
          <w:p>
            <w:pPr>
              <w:spacing w:before="36" w:after="36"/>
            </w:pPr>
            <w:r>
              <w:rPr>
                <w:rFonts w:ascii="Calibri" w:hAnsi="Calibri"/>
                <w:sz w:val="19"/>
              </w:rPr>
              <w:t>70,281</w:t>
            </w:r>
          </w:p>
        </w:tc>
      </w:tr>
    </w:tbl>
    <w:p>
      <w:pPr>
        <w:spacing w:after="40"/>
      </w:pP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 xml:space="preserve">Lectura:</w:t>
      </w:r>
      <w:r w:rsidRPr="00DE4DE0">
        <w:rPr>
          <w:rFonts w:ascii="Calibri" w:eastAsia="Cambria" w:hAnsi="Calibri" w:cs="Calibri"/>
          <w:color w:val="auto"/>
          <w:lang w:val="es" w:eastAsia="en-US"/>
        </w:rPr>
        <w:t xml:space="preserve"> Los errores son del periodo de prueba (abril 2021 a junio 2026). Los modelos se entrenaron con datos hasta marzo de 2021, afectados por la pandemia, por lo que casi todos subestiman la recuperación posterior (sesgo negativo). Estos resultados indican qué modelo se acercó más a lo ocurrido, no qué modelo será mejor en el futuro.</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 xml:space="preserve">Notas de reproducibilidad:</w:t>
      </w:r>
      <w:r w:rsidRPr="00DE4DE0">
        <w:rPr>
          <w:rFonts w:ascii="Calibri" w:eastAsia="Cambria" w:hAnsi="Calibri" w:cs="Calibri"/>
          <w:color w:val="auto"/>
          <w:lang w:val="es" w:eastAsia="en-US"/>
        </w:rPr>
        <w:t xml:space="preserve"> (1) La selección automática auto_arima del notebook del Laboratorio 1 no se volvió a ejecutar; se usan los dos SARIMA manuales y se elige el de menor AIC, por lo que el error de SARIMA puede diferir del notebook. (2) El LSTM simple reproduce exactamente el resultado del notebook del Laboratorio 2. (3) La versión actual de la librería pycatch22 renombró varias características respecto a la del notebook; se tradujeron los nombres, y el LSTM global con catch22 puede diferir un poco del valor publicado en ese notebook.</w:t>
      </w:r>
    </w:p>
    <w:p>
      <w:pPr>
        <w:pStyle w:val="Heading1"/>
      </w:pPr>
      <w:r>
        <w:t>8. Planificación de tareas</w:t>
      </w:r>
    </w:p>
    <w:tbl>
      <w:tblPr>
        <w:tblStyle w:val="GridTable1Light3"/>
        <w:tblW w:w="5000" w:type="pct"/>
        <w:tblLook w:val="0020" w:firstRow="1"/>
      </w:tblPr>
      <w:tblGrid>
        <w:gridCol w:w="4300"/>
        <w:gridCol w:w="1700"/>
        <w:gridCol w:w="2150"/>
        <w:gridCol w:w="1200"/>
      </w:tblGrid>
      <w:tr>
        <w:tc>
          <w:tcPr>
            <w:tcW w:type="dxa" w:w="4300"/>
          </w:tcPr>
          <w:p>
            <w:pPr>
              <w:spacing w:before="36" w:after="36"/>
            </w:pPr>
            <w:r>
              <w:rPr>
                <w:rFonts w:ascii="Calibri" w:hAnsi="Calibri"/>
                <w:sz w:val="19"/>
              </w:rPr>
              <w:t>Tarea</w:t>
            </w:r>
          </w:p>
        </w:tc>
        <w:tc>
          <w:tcPr>
            <w:tcW w:type="dxa" w:w="1700"/>
          </w:tcPr>
          <w:p>
            <w:pPr>
              <w:spacing w:before="36" w:after="36"/>
            </w:pPr>
            <w:r>
              <w:rPr>
                <w:rFonts w:ascii="Calibri" w:hAnsi="Calibri"/>
                <w:sz w:val="19"/>
              </w:rPr>
              <w:t>Responsable</w:t>
            </w:r>
          </w:p>
        </w:tc>
        <w:tc>
          <w:tcPr>
            <w:tcW w:type="dxa" w:w="2150"/>
          </w:tcPr>
          <w:p>
            <w:pPr>
              <w:spacing w:before="36" w:after="36"/>
            </w:pPr>
            <w:r>
              <w:rPr>
                <w:rFonts w:ascii="Calibri" w:hAnsi="Calibri"/>
                <w:sz w:val="19"/>
              </w:rPr>
              <w:t>Fecha de término</w:t>
            </w:r>
          </w:p>
        </w:tc>
        <w:tc>
          <w:tcPr>
            <w:tcW w:type="dxa" w:w="1200"/>
          </w:tcPr>
          <w:p>
            <w:pPr>
              <w:spacing w:before="36" w:after="36"/>
            </w:pPr>
            <w:r>
              <w:rPr>
                <w:rFonts w:ascii="Calibri" w:hAnsi="Calibri"/>
                <w:sz w:val="19"/>
              </w:rPr>
              <w:t>Estado</w:t>
            </w:r>
          </w:p>
        </w:tc>
      </w:tr>
      <w:tr>
        <w:tc>
          <w:tcPr>
            <w:tcW w:type="dxa" w:w="4300"/>
          </w:tcPr>
          <w:p>
            <w:pPr>
              <w:spacing w:before="36" w:after="36"/>
            </w:pPr>
            <w:r>
              <w:rPr>
                <w:rFonts w:ascii="Calibri" w:hAnsi="Calibri"/>
                <w:sz w:val="19"/>
              </w:rPr>
              <w:t>Preguntas de gestión, alcance y paleta</w:t>
            </w:r>
          </w:p>
        </w:tc>
        <w:tc>
          <w:tcPr>
            <w:tcW w:type="dxa" w:w="1700"/>
          </w:tcPr>
          <w:p>
            <w:pPr>
              <w:spacing w:before="36" w:after="36"/>
            </w:pPr>
            <w:r>
              <w:rPr>
                <w:rFonts w:ascii="Calibri" w:hAnsi="Calibri"/>
                <w:sz w:val="19"/>
              </w:rPr>
              <w:t>Gabriel Bran</w:t>
            </w:r>
          </w:p>
        </w:tc>
        <w:tc>
          <w:tcPr>
            <w:tcW w:type="dxa" w:w="2150"/>
          </w:tcPr>
          <w:p>
            <w:pPr>
              <w:spacing w:before="36" w:after="36"/>
            </w:pPr>
            <w:r>
              <w:rPr>
                <w:rFonts w:ascii="Calibri" w:hAnsi="Calibri"/>
                <w:sz w:val="19"/>
              </w:rPr>
              <w:t>22 de octubre (avance)</w:t>
            </w:r>
          </w:p>
        </w:tc>
        <w:tc>
          <w:tcPr>
            <w:tcW w:type="dxa" w:w="1200"/>
          </w:tcPr>
          <w:p>
            <w:pPr>
              <w:spacing w:before="36" w:after="36"/>
            </w:pPr>
            <w:r>
              <w:rPr>
                <w:rFonts w:ascii="Calibri" w:hAnsi="Calibri"/>
                <w:sz w:val="19"/>
              </w:rPr>
              <w:t>Hecha</w:t>
            </w:r>
          </w:p>
        </w:tc>
      </w:tr>
      <w:tr>
        <w:tc>
          <w:tcPr>
            <w:tcW w:type="dxa" w:w="4300"/>
          </w:tcPr>
          <w:p>
            <w:pPr>
              <w:spacing w:before="36" w:after="36"/>
            </w:pPr>
            <w:r>
              <w:rPr>
                <w:rFonts w:ascii="Calibri" w:hAnsi="Calibri"/>
                <w:sz w:val="19"/>
              </w:rPr>
              <w:t>Exportación de predicciones y métricas del Laboratorio 1</w:t>
            </w:r>
          </w:p>
        </w:tc>
        <w:tc>
          <w:tcPr>
            <w:tcW w:type="dxa" w:w="1700"/>
          </w:tcPr>
          <w:p>
            <w:pPr>
              <w:spacing w:before="36" w:after="36"/>
            </w:pPr>
            <w:r>
              <w:rPr>
                <w:rFonts w:ascii="Calibri" w:hAnsi="Calibri"/>
                <w:sz w:val="19"/>
              </w:rPr>
              <w:t>Gabriel Bran</w:t>
            </w:r>
          </w:p>
        </w:tc>
        <w:tc>
          <w:tcPr>
            <w:tcW w:type="dxa" w:w="2150"/>
          </w:tcPr>
          <w:p>
            <w:pPr>
              <w:spacing w:before="36" w:after="36"/>
            </w:pPr>
            <w:r>
              <w:rPr>
                <w:rFonts w:ascii="Calibri" w:hAnsi="Calibri"/>
                <w:sz w:val="19"/>
              </w:rPr>
              <w:t>22 de octubre (avance)</w:t>
            </w:r>
          </w:p>
        </w:tc>
        <w:tc>
          <w:tcPr>
            <w:tcW w:type="dxa" w:w="1200"/>
          </w:tcPr>
          <w:p>
            <w:pPr>
              <w:spacing w:before="36" w:after="36"/>
            </w:pPr>
            <w:r>
              <w:rPr>
                <w:rFonts w:ascii="Calibri" w:hAnsi="Calibri"/>
                <w:sz w:val="19"/>
              </w:rPr>
              <w:t>Hecha</w:t>
            </w:r>
          </w:p>
        </w:tc>
      </w:tr>
      <w:tr>
        <w:tc>
          <w:tcPr>
            <w:tcW w:type="dxa" w:w="4300"/>
          </w:tcPr>
          <w:p>
            <w:pPr>
              <w:spacing w:before="36" w:after="36"/>
            </w:pPr>
            <w:r>
              <w:rPr>
                <w:rFonts w:ascii="Calibri" w:hAnsi="Calibri"/>
                <w:sz w:val="19"/>
              </w:rPr>
              <w:t>Páginas 1 y 2 del tablero (barras enlazadas, mapa de calor, treemap)</w:t>
            </w:r>
          </w:p>
        </w:tc>
        <w:tc>
          <w:tcPr>
            <w:tcW w:type="dxa" w:w="1700"/>
          </w:tcPr>
          <w:p>
            <w:pPr>
              <w:spacing w:before="36" w:after="36"/>
            </w:pPr>
            <w:r>
              <w:rPr>
                <w:rFonts w:ascii="Calibri" w:hAnsi="Calibri"/>
                <w:sz w:val="19"/>
              </w:rPr>
              <w:t>David Domínguez</w:t>
            </w:r>
          </w:p>
        </w:tc>
        <w:tc>
          <w:tcPr>
            <w:tcW w:type="dxa" w:w="2150"/>
          </w:tcPr>
          <w:p>
            <w:pPr>
              <w:spacing w:before="36" w:after="36"/>
            </w:pPr>
            <w:r>
              <w:rPr>
                <w:rFonts w:ascii="Calibri" w:hAnsi="Calibri"/>
                <w:sz w:val="19"/>
              </w:rPr>
              <w:t>22 de octubre (avance)</w:t>
            </w:r>
          </w:p>
        </w:tc>
        <w:tc>
          <w:tcPr>
            <w:tcW w:type="dxa" w:w="1200"/>
          </w:tcPr>
          <w:p>
            <w:pPr>
              <w:spacing w:before="36" w:after="36"/>
            </w:pPr>
            <w:r>
              <w:rPr>
                <w:rFonts w:ascii="Calibri" w:hAnsi="Calibri"/>
                <w:sz w:val="19"/>
              </w:rPr>
              <w:t>Hecha</w:t>
            </w:r>
          </w:p>
        </w:tc>
      </w:tr>
      <w:tr>
        <w:tc>
          <w:tcPr>
            <w:tcW w:type="dxa" w:w="4300"/>
          </w:tcPr>
          <w:p>
            <w:pPr>
              <w:spacing w:before="36" w:after="36"/>
            </w:pPr>
            <w:r>
              <w:rPr>
                <w:rFonts w:ascii="Calibri" w:hAnsi="Calibri"/>
                <w:sz w:val="19"/>
              </w:rPr>
              <w:t>Documento de diseño (avance)</w:t>
            </w:r>
          </w:p>
        </w:tc>
        <w:tc>
          <w:tcPr>
            <w:tcW w:type="dxa" w:w="1700"/>
          </w:tcPr>
          <w:p>
            <w:pPr>
              <w:spacing w:before="36" w:after="36"/>
            </w:pPr>
            <w:r>
              <w:rPr>
                <w:rFonts w:ascii="Calibri" w:hAnsi="Calibri"/>
                <w:sz w:val="19"/>
              </w:rPr>
              <w:t>Luis Padilla</w:t>
            </w:r>
          </w:p>
        </w:tc>
        <w:tc>
          <w:tcPr>
            <w:tcW w:type="dxa" w:w="2150"/>
          </w:tcPr>
          <w:p>
            <w:pPr>
              <w:spacing w:before="36" w:after="36"/>
            </w:pPr>
            <w:r>
              <w:rPr>
                <w:rFonts w:ascii="Calibri" w:hAnsi="Calibri"/>
                <w:sz w:val="19"/>
              </w:rPr>
              <w:t>22 de octubre (avance)</w:t>
            </w:r>
          </w:p>
        </w:tc>
        <w:tc>
          <w:tcPr>
            <w:tcW w:type="dxa" w:w="1200"/>
          </w:tcPr>
          <w:p>
            <w:pPr>
              <w:spacing w:before="36" w:after="36"/>
            </w:pPr>
            <w:r>
              <w:rPr>
                <w:rFonts w:ascii="Calibri" w:hAnsi="Calibri"/>
                <w:sz w:val="19"/>
              </w:rPr>
              <w:t>Hecha</w:t>
            </w:r>
          </w:p>
        </w:tc>
      </w:tr>
      <w:tr>
        <w:tc>
          <w:tcPr>
            <w:tcW w:type="dxa" w:w="4300"/>
          </w:tcPr>
          <w:p>
            <w:pPr>
              <w:spacing w:before="36" w:after="36"/>
            </w:pPr>
            <w:r>
              <w:rPr>
                <w:rFonts w:ascii="Calibri" w:hAnsi="Calibri"/>
                <w:sz w:val="19"/>
              </w:rPr>
              <w:t>Exportar predicciones LSTM y catch22 del Laboratorio 2</w:t>
            </w:r>
          </w:p>
        </w:tc>
        <w:tc>
          <w:tcPr>
            <w:tcW w:type="dxa" w:w="1700"/>
          </w:tcPr>
          <w:p>
            <w:pPr>
              <w:spacing w:before="36" w:after="36"/>
            </w:pPr>
            <w:r>
              <w:rPr>
                <w:rFonts w:ascii="Calibri" w:hAnsi="Calibri"/>
                <w:sz w:val="19"/>
              </w:rPr>
              <w:t>Luis Padilla</w:t>
            </w:r>
          </w:p>
        </w:tc>
        <w:tc>
          <w:tcPr>
            <w:tcW w:type="dxa" w:w="2150"/>
          </w:tcPr>
          <w:p>
            <w:pPr>
              <w:spacing w:before="36" w:after="36"/>
            </w:pPr>
            <w:r>
              <w:rPr>
                <w:rFonts w:ascii="Calibri" w:hAnsi="Calibri"/>
                <w:sz w:val="19"/>
              </w:rPr>
              <w:t>23 de octubre</w:t>
            </w:r>
          </w:p>
        </w:tc>
        <w:tc>
          <w:tcPr>
            <w:tcW w:type="dxa" w:w="1200"/>
          </w:tcPr>
          <w:p>
            <w:pPr>
              <w:spacing w:before="36" w:after="36"/>
            </w:pPr>
            <w:r>
              <w:rPr>
                <w:rFonts w:ascii="Calibri" w:hAnsi="Calibri"/>
                <w:sz w:val="19"/>
              </w:rPr>
              <w:t>Hecha</w:t>
            </w:r>
          </w:p>
        </w:tc>
      </w:tr>
      <w:tr>
        <w:tc>
          <w:tcPr>
            <w:tcW w:type="dxa" w:w="4300"/>
          </w:tcPr>
          <w:p>
            <w:pPr>
              <w:spacing w:before="36" w:after="36"/>
            </w:pPr>
            <w:r>
              <w:rPr>
                <w:rFonts w:ascii="Calibri" w:hAnsi="Calibri"/>
                <w:sz w:val="19"/>
              </w:rPr>
              <w:t>Página 3: comparación de modelos, error por mes y mensajes de límites</w:t>
            </w:r>
          </w:p>
        </w:tc>
        <w:tc>
          <w:tcPr>
            <w:tcW w:type="dxa" w:w="1700"/>
          </w:tcPr>
          <w:p>
            <w:pPr>
              <w:spacing w:before="36" w:after="36"/>
            </w:pPr>
            <w:r>
              <w:rPr>
                <w:rFonts w:ascii="Calibri" w:hAnsi="Calibri"/>
                <w:sz w:val="19"/>
              </w:rPr>
              <w:t>Gabriel Bran</w:t>
            </w:r>
          </w:p>
        </w:tc>
        <w:tc>
          <w:tcPr>
            <w:tcW w:type="dxa" w:w="2150"/>
          </w:tcPr>
          <w:p>
            <w:pPr>
              <w:spacing w:before="36" w:after="36"/>
            </w:pPr>
            <w:r>
              <w:rPr>
                <w:rFonts w:ascii="Calibri" w:hAnsi="Calibri"/>
                <w:sz w:val="19"/>
              </w:rPr>
              <w:t>24 de octubre</w:t>
            </w:r>
          </w:p>
        </w:tc>
        <w:tc>
          <w:tcPr>
            <w:tcW w:type="dxa" w:w="1200"/>
          </w:tcPr>
          <w:p>
            <w:pPr>
              <w:spacing w:before="36" w:after="36"/>
            </w:pPr>
            <w:r>
              <w:rPr>
                <w:rFonts w:ascii="Calibri" w:hAnsi="Calibri"/>
                <w:sz w:val="19"/>
              </w:rPr>
              <w:t>Hecha</w:t>
            </w:r>
          </w:p>
        </w:tc>
      </w:tr>
      <w:tr>
        <w:tc>
          <w:tcPr>
            <w:tcW w:type="dxa" w:w="4300"/>
          </w:tcPr>
          <w:p>
            <w:pPr>
              <w:spacing w:before="36" w:after="36"/>
            </w:pPr>
            <w:r>
              <w:rPr>
                <w:rFonts w:ascii="Calibri" w:hAnsi="Calibri"/>
                <w:sz w:val="19"/>
              </w:rPr>
              <w:t>Usabilidad, accesibilidad y prueba con un usuario no técnico</w:t>
            </w:r>
          </w:p>
        </w:tc>
        <w:tc>
          <w:tcPr>
            <w:tcW w:type="dxa" w:w="1700"/>
          </w:tcPr>
          <w:p>
            <w:pPr>
              <w:spacing w:before="36" w:after="36"/>
            </w:pPr>
            <w:r>
              <w:rPr>
                <w:rFonts w:ascii="Calibri" w:hAnsi="Calibri"/>
                <w:sz w:val="19"/>
              </w:rPr>
              <w:t>David Domínguez</w:t>
            </w:r>
          </w:p>
        </w:tc>
        <w:tc>
          <w:tcPr>
            <w:tcW w:type="dxa" w:w="2150"/>
          </w:tcPr>
          <w:p>
            <w:pPr>
              <w:spacing w:before="36" w:after="36"/>
            </w:pPr>
            <w:r>
              <w:rPr>
                <w:rFonts w:ascii="Calibri" w:hAnsi="Calibri"/>
                <w:sz w:val="19"/>
              </w:rPr>
              <w:t>24 de octubre</w:t>
            </w:r>
          </w:p>
        </w:tc>
        <w:tc>
          <w:tcPr>
            <w:tcW w:type="dxa" w:w="1200"/>
          </w:tcPr>
          <w:p>
            <w:pPr>
              <w:spacing w:before="36" w:after="36"/>
            </w:pPr>
            <w:r>
              <w:rPr>
                <w:rFonts w:ascii="Calibri" w:hAnsi="Calibri"/>
                <w:sz w:val="19"/>
              </w:rPr>
              <w:t>Pendiente</w:t>
            </w:r>
          </w:p>
        </w:tc>
      </w:tr>
      <w:tr>
        <w:tc>
          <w:tcPr>
            <w:tcW w:type="dxa" w:w="4300"/>
          </w:tcPr>
          <w:p>
            <w:pPr>
              <w:spacing w:before="36" w:after="36"/>
            </w:pPr>
            <w:r>
              <w:rPr>
                <w:rFonts w:ascii="Calibri" w:hAnsi="Calibri"/>
                <w:sz w:val="19"/>
              </w:rPr>
              <w:t>Documento de diseño final (PDF) y enlace del repositorio</w:t>
            </w:r>
          </w:p>
        </w:tc>
        <w:tc>
          <w:tcPr>
            <w:tcW w:type="dxa" w:w="1700"/>
          </w:tcPr>
          <w:p>
            <w:pPr>
              <w:spacing w:before="36" w:after="36"/>
            </w:pPr>
            <w:r>
              <w:rPr>
                <w:rFonts w:ascii="Calibri" w:hAnsi="Calibri"/>
                <w:sz w:val="19"/>
              </w:rPr>
              <w:t>Todos</w:t>
            </w:r>
          </w:p>
        </w:tc>
        <w:tc>
          <w:tcPr>
            <w:tcW w:type="dxa" w:w="2150"/>
          </w:tcPr>
          <w:p>
            <w:pPr>
              <w:spacing w:before="36" w:after="36"/>
            </w:pPr>
            <w:r>
              <w:rPr>
                <w:rFonts w:ascii="Calibri" w:hAnsi="Calibri"/>
                <w:sz w:val="19"/>
              </w:rPr>
              <w:t>25 de octubre (entrega final)</w:t>
            </w:r>
          </w:p>
        </w:tc>
        <w:tc>
          <w:tcPr>
            <w:tcW w:type="dxa" w:w="1200"/>
          </w:tcPr>
          <w:p>
            <w:pPr>
              <w:spacing w:before="36" w:after="36"/>
            </w:pPr>
            <w:r>
              <w:rPr>
                <w:rFonts w:ascii="Calibri" w:hAnsi="Calibri"/>
                <w:sz w:val="19"/>
              </w:rPr>
              <w:t>En curso</w:t>
            </w:r>
          </w:p>
        </w:tc>
      </w:tr>
    </w:tbl>
    <w:p>
      <w:pPr>
        <w:spacing w:after="40"/>
      </w:pPr>
    </w:p>
    <w:p>
      <w:pPr>
        <w:pStyle w:val="Heading1"/>
      </w:pPr>
      <w:r>
        <w:t>9. Cómo ejecutar el tablero</w:t>
      </w:r>
    </w:p>
    <w:p w14:paraId="262ACD9B"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Instalar dependencias con «pip install -r requirements_tablero.txt» y ejecutar «streamlit run tablero/app.py».</w:t>
      </w:r>
    </w:p>
    <w:sectPr w:rsidR="00CC333D" w:rsidRPr="00CC3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33D"/>
    <w:rsid w:val="008A4B49"/>
    <w:rsid w:val="00C074C2"/>
    <w:rsid w:val="00C97122"/>
    <w:rsid w:val="00CC333D"/>
    <w:rsid w:val="00CF5AFC"/>
    <w:rsid w:val="00FE5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AC6D"/>
  <w15:chartTrackingRefBased/>
  <w15:docId w15:val="{222AE448-D5FC-4D2D-AE61-3D0D1B0C7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33D"/>
    <w:pPr>
      <w:spacing w:after="0" w:line="240" w:lineRule="auto"/>
    </w:pPr>
    <w:rPr>
      <w:rFonts w:ascii="Arial" w:eastAsia="Arial" w:hAnsi="Arial" w:cs="Arial"/>
      <w:color w:val="404040"/>
      <w:kern w:val="0"/>
      <w:sz w:val="22"/>
      <w:szCs w:val="22"/>
      <w:lang w:val="es-GT" w:eastAsia="es-GT"/>
      <w14:ligatures w14:val="none"/>
    </w:rPr>
  </w:style>
  <w:style w:type="paragraph" w:styleId="Heading1">
    <w:name w:val="heading 1"/>
    <w:basedOn w:val="Normal"/>
    <w:next w:val="Normal"/>
    <w:link w:val="Heading1Char"/>
    <w:uiPriority w:val="9"/>
    <w:qFormat/>
    <w:rsid w:val="00CC333D"/>
    <w:pPr>
      <w:keepNext/>
      <w:keepLines/>
      <w:spacing w:before="200"/>
      <w:jc w:val="both"/>
      <w:outlineLvl w:val="0"/>
    </w:pPr>
    <w:rPr>
      <w:rFonts w:ascii="Calibri" w:eastAsia="Times New Roman" w:hAnsi="Calibri" w:cs="Calibri"/>
      <w:b/>
      <w:bCs/>
      <w:color w:val="auto"/>
      <w:sz w:val="24"/>
      <w:szCs w:val="24"/>
      <w:lang w:val="es" w:eastAsia="en-US"/>
    </w:rPr>
  </w:style>
  <w:style w:type="paragraph" w:styleId="Heading2">
    <w:name w:val="heading 2"/>
    <w:basedOn w:val="Normal"/>
    <w:next w:val="Normal"/>
    <w:link w:val="Heading2Char"/>
    <w:uiPriority w:val="9"/>
    <w:unhideWhenUsed/>
    <w:qFormat/>
    <w:rsid w:val="00CC333D"/>
    <w:pPr>
      <w:keepNext/>
      <w:keepLines/>
      <w:spacing w:before="200"/>
      <w:jc w:val="both"/>
      <w:outlineLvl w:val="1"/>
    </w:pPr>
    <w:rPr>
      <w:rFonts w:ascii="Calibri" w:eastAsia="Times New Roman" w:hAnsi="Calibri" w:cs="Calibri"/>
      <w:b/>
      <w:bCs/>
      <w:color w:val="auto"/>
      <w:lang w:val="es" w:eastAsia="en-US"/>
    </w:rPr>
  </w:style>
  <w:style w:type="paragraph" w:styleId="Heading3">
    <w:name w:val="heading 3"/>
    <w:basedOn w:val="Normal"/>
    <w:next w:val="Normal"/>
    <w:link w:val="Heading3Char"/>
    <w:uiPriority w:val="9"/>
    <w:semiHidden/>
    <w:unhideWhenUsed/>
    <w:qFormat/>
    <w:rsid w:val="00CC3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3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3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3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3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33D"/>
    <w:rPr>
      <w:rFonts w:ascii="Calibri" w:eastAsia="Times New Roman" w:hAnsi="Calibri" w:cs="Calibri"/>
      <w:b/>
      <w:bCs/>
      <w:kern w:val="0"/>
      <w:lang w:val="es"/>
      <w14:ligatures w14:val="none"/>
    </w:rPr>
  </w:style>
  <w:style w:type="character" w:customStyle="1" w:styleId="Heading2Char">
    <w:name w:val="Heading 2 Char"/>
    <w:basedOn w:val="DefaultParagraphFont"/>
    <w:link w:val="Heading2"/>
    <w:uiPriority w:val="9"/>
    <w:rsid w:val="00CC333D"/>
    <w:rPr>
      <w:rFonts w:ascii="Calibri" w:eastAsia="Times New Roman" w:hAnsi="Calibri" w:cs="Calibri"/>
      <w:b/>
      <w:bCs/>
      <w:kern w:val="0"/>
      <w:sz w:val="22"/>
      <w:szCs w:val="22"/>
      <w:lang w:val="es"/>
      <w14:ligatures w14:val="none"/>
    </w:rPr>
  </w:style>
  <w:style w:type="character" w:customStyle="1" w:styleId="Heading3Char">
    <w:name w:val="Heading 3 Char"/>
    <w:basedOn w:val="DefaultParagraphFont"/>
    <w:link w:val="Heading3"/>
    <w:uiPriority w:val="9"/>
    <w:semiHidden/>
    <w:rsid w:val="00CC3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33D"/>
    <w:rPr>
      <w:rFonts w:eastAsiaTheme="majorEastAsia" w:cstheme="majorBidi"/>
      <w:color w:val="272727" w:themeColor="text1" w:themeTint="D8"/>
    </w:rPr>
  </w:style>
  <w:style w:type="paragraph" w:styleId="Title">
    <w:name w:val="Title"/>
    <w:basedOn w:val="Normal"/>
    <w:next w:val="Normal"/>
    <w:link w:val="TitleChar"/>
    <w:uiPriority w:val="10"/>
    <w:qFormat/>
    <w:rsid w:val="00CC33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33D"/>
    <w:pPr>
      <w:spacing w:before="160"/>
      <w:jc w:val="center"/>
    </w:pPr>
    <w:rPr>
      <w:i/>
      <w:iCs/>
      <w:color w:val="404040" w:themeColor="text1" w:themeTint="BF"/>
    </w:rPr>
  </w:style>
  <w:style w:type="character" w:customStyle="1" w:styleId="QuoteChar">
    <w:name w:val="Quote Char"/>
    <w:basedOn w:val="DefaultParagraphFont"/>
    <w:link w:val="Quote"/>
    <w:uiPriority w:val="29"/>
    <w:rsid w:val="00CC333D"/>
    <w:rPr>
      <w:i/>
      <w:iCs/>
      <w:color w:val="404040" w:themeColor="text1" w:themeTint="BF"/>
    </w:rPr>
  </w:style>
  <w:style w:type="paragraph" w:styleId="ListParagraph">
    <w:name w:val="List Paragraph"/>
    <w:basedOn w:val="Normal"/>
    <w:uiPriority w:val="34"/>
    <w:qFormat/>
    <w:rsid w:val="00CC333D"/>
    <w:pPr>
      <w:ind w:left="720"/>
      <w:contextualSpacing/>
    </w:pPr>
  </w:style>
  <w:style w:type="character" w:styleId="IntenseEmphasis">
    <w:name w:val="Intense Emphasis"/>
    <w:basedOn w:val="DefaultParagraphFont"/>
    <w:uiPriority w:val="21"/>
    <w:qFormat/>
    <w:rsid w:val="00CC333D"/>
    <w:rPr>
      <w:i/>
      <w:iCs/>
      <w:color w:val="0F4761" w:themeColor="accent1" w:themeShade="BF"/>
    </w:rPr>
  </w:style>
  <w:style w:type="paragraph" w:styleId="IntenseQuote">
    <w:name w:val="Intense Quote"/>
    <w:basedOn w:val="Normal"/>
    <w:next w:val="Normal"/>
    <w:link w:val="IntenseQuoteChar"/>
    <w:uiPriority w:val="30"/>
    <w:qFormat/>
    <w:rsid w:val="00CC3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33D"/>
    <w:rPr>
      <w:i/>
      <w:iCs/>
      <w:color w:val="0F4761" w:themeColor="accent1" w:themeShade="BF"/>
    </w:rPr>
  </w:style>
  <w:style w:type="character" w:styleId="IntenseReference">
    <w:name w:val="Intense Reference"/>
    <w:basedOn w:val="DefaultParagraphFont"/>
    <w:uiPriority w:val="32"/>
    <w:qFormat/>
    <w:rsid w:val="00CC333D"/>
    <w:rPr>
      <w:b/>
      <w:bCs/>
      <w:smallCaps/>
      <w:color w:val="0F4761" w:themeColor="accent1" w:themeShade="BF"/>
      <w:spacing w:val="5"/>
    </w:rPr>
  </w:style>
  <w:style w:type="character" w:styleId="Hyperlink">
    <w:name w:val="Hyperlink"/>
    <w:uiPriority w:val="99"/>
    <w:unhideWhenUsed/>
    <w:rsid w:val="00CC333D"/>
    <w:rPr>
      <w:color w:val="0563C1"/>
      <w:u w:val="single"/>
    </w:rPr>
  </w:style>
  <w:style w:type="table" w:customStyle="1" w:styleId="GridTable1Light3">
    <w:name w:val="Grid Table 1 Light3"/>
    <w:basedOn w:val="TableNormal"/>
    <w:next w:val="GridTable1Light"/>
    <w:rsid w:val="00CC333D"/>
    <w:pPr>
      <w:spacing w:after="0" w:line="240" w:lineRule="auto"/>
    </w:pPr>
    <w:rPr>
      <w:rFonts w:ascii="Cambria" w:eastAsia="Cambria" w:hAnsi="Cambria" w:cs="Times New Roman"/>
      <w:kern w:val="0"/>
      <w:lang w:val="e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CC333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0" Type="http://schemas.openxmlformats.org/officeDocument/2006/relationships/image" Target="media/image5.jpg"/><Relationship Id="rId1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 BOLANOS, GABRIEL</dc:creator>
  <cp:keywords/>
  <dc:description/>
  <cp:lastModifiedBy>BRAN BOLANOS, GABRIEL</cp:lastModifiedBy>
  <cp:revision>3</cp:revision>
  <dcterms:created xsi:type="dcterms:W3CDTF">2026-09-25T04:10:00Z</dcterms:created>
  <dcterms:modified xsi:type="dcterms:W3CDTF">2026-10-16T04:00:00Z</dcterms:modified>
</cp:coreProperties>
</file>