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7BDBC" w14:textId="77777777" w:rsidR="00CC333D" w:rsidRPr="00A9521C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32"/>
          <w:szCs w:val="32"/>
        </w:rPr>
      </w:pPr>
      <w:bookmarkStart w:id="0" w:name="_Toc236573754"/>
      <w:r w:rsidRPr="00A9521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UNIVERSIDAD DEL VALLE DE GUATEMALA</w:t>
      </w:r>
    </w:p>
    <w:p w14:paraId="7FF698A7" w14:textId="77777777" w:rsidR="00CC333D" w:rsidRPr="00A9521C" w:rsidRDefault="00CC333D" w:rsidP="00CC333D">
      <w:pPr>
        <w:jc w:val="center"/>
        <w:rPr>
          <w:rFonts w:ascii="Calibri" w:eastAsia="Calibri" w:hAnsi="Calibri" w:cs="Calibri"/>
          <w:color w:val="000000" w:themeColor="text1"/>
        </w:rPr>
      </w:pPr>
      <w:r w:rsidRPr="00A9521C">
        <w:rPr>
          <w:rFonts w:ascii="Calibri" w:eastAsia="Calibri" w:hAnsi="Calibri" w:cs="Calibri"/>
          <w:color w:val="000000" w:themeColor="text1"/>
        </w:rPr>
        <w:t>_____________________________________________</w:t>
      </w:r>
    </w:p>
    <w:p w14:paraId="324B4A30" w14:textId="77777777" w:rsidR="00CC333D" w:rsidRPr="00BC35A2" w:rsidRDefault="00CC333D" w:rsidP="00CC333D">
      <w:pPr>
        <w:spacing w:line="259" w:lineRule="auto"/>
        <w:jc w:val="center"/>
        <w:rPr>
          <w:rFonts w:ascii="Calibri" w:eastAsia="Calibri" w:hAnsi="Calibri" w:cs="Calibri"/>
          <w:color w:val="auto"/>
        </w:rPr>
      </w:pPr>
      <w:r w:rsidRPr="00BC35A2">
        <w:rPr>
          <w:rFonts w:ascii="Calibri" w:eastAsia="Calibri" w:hAnsi="Calibri" w:cs="Calibri"/>
          <w:color w:val="000000" w:themeColor="text1"/>
        </w:rPr>
        <w:t xml:space="preserve">Data </w:t>
      </w:r>
      <w:proofErr w:type="spellStart"/>
      <w:r w:rsidRPr="00BC35A2">
        <w:rPr>
          <w:rFonts w:ascii="Calibri" w:eastAsia="Calibri" w:hAnsi="Calibri" w:cs="Calibri"/>
          <w:color w:val="000000" w:themeColor="text1"/>
        </w:rPr>
        <w:t>Science</w:t>
      </w:r>
      <w:proofErr w:type="spellEnd"/>
    </w:p>
    <w:p w14:paraId="0D69CF4F" w14:textId="77777777" w:rsidR="00CC333D" w:rsidRPr="00BC35A2" w:rsidRDefault="00CC333D" w:rsidP="00CC333D">
      <w:pPr>
        <w:jc w:val="center"/>
        <w:rPr>
          <w:rFonts w:ascii="Calibri" w:eastAsia="Calibri" w:hAnsi="Calibri" w:cs="Calibri"/>
          <w:color w:val="000000" w:themeColor="text1"/>
        </w:rPr>
      </w:pPr>
      <w:r w:rsidRPr="00BC35A2">
        <w:rPr>
          <w:rFonts w:ascii="Calibri" w:eastAsia="Calibri" w:hAnsi="Calibri" w:cs="Calibri"/>
          <w:color w:val="000000" w:themeColor="text1"/>
        </w:rPr>
        <w:t>Sección 30</w:t>
      </w:r>
    </w:p>
    <w:p w14:paraId="2F42C232" w14:textId="77777777" w:rsidR="00CC333D" w:rsidRPr="00BC35A2" w:rsidRDefault="00CC333D" w:rsidP="00CC333D">
      <w:pPr>
        <w:jc w:val="center"/>
        <w:rPr>
          <w:rFonts w:ascii="Calibri" w:eastAsia="Calibri" w:hAnsi="Calibri" w:cs="Calibri"/>
          <w:color w:val="000000" w:themeColor="text1"/>
        </w:rPr>
      </w:pPr>
      <w:r w:rsidRPr="00BC35A2">
        <w:rPr>
          <w:rFonts w:ascii="Calibri" w:eastAsia="Calibri" w:hAnsi="Calibri" w:cs="Calibri"/>
          <w:color w:val="000000" w:themeColor="text1"/>
        </w:rPr>
        <w:t> </w:t>
      </w:r>
    </w:p>
    <w:p w14:paraId="2F20D05B" w14:textId="77777777" w:rsidR="00CC333D" w:rsidRPr="00BC35A2" w:rsidRDefault="00CC333D" w:rsidP="00CC333D">
      <w:pPr>
        <w:jc w:val="center"/>
        <w:rPr>
          <w:rFonts w:ascii="Calibri" w:eastAsia="Calibri" w:hAnsi="Calibri" w:cs="Calibri"/>
          <w:color w:val="000000" w:themeColor="text1"/>
        </w:rPr>
      </w:pPr>
      <w:r w:rsidRPr="046ABA83">
        <w:rPr>
          <w:rFonts w:ascii="Calibri" w:eastAsia="Calibri" w:hAnsi="Calibri" w:cs="Calibri"/>
          <w:color w:val="000000" w:themeColor="text1"/>
        </w:rPr>
        <w:t>  </w:t>
      </w:r>
    </w:p>
    <w:p w14:paraId="18E604E2" w14:textId="77777777" w:rsidR="00CC333D" w:rsidRPr="00BC35A2" w:rsidRDefault="00CC333D" w:rsidP="00CC333D">
      <w:pPr>
        <w:jc w:val="center"/>
        <w:rPr>
          <w:rFonts w:ascii="Calibri" w:eastAsia="Calibri" w:hAnsi="Calibri" w:cs="Calibri"/>
          <w:color w:val="000000" w:themeColor="text1"/>
        </w:rPr>
      </w:pPr>
      <w:r w:rsidRPr="00BC35A2">
        <w:rPr>
          <w:rFonts w:ascii="Calibri" w:eastAsia="Calibri" w:hAnsi="Calibri" w:cs="Calibri"/>
          <w:color w:val="000000" w:themeColor="text1"/>
        </w:rPr>
        <w:t> </w:t>
      </w:r>
    </w:p>
    <w:p w14:paraId="4B561310" w14:textId="77777777" w:rsidR="00CC333D" w:rsidRPr="00BC35A2" w:rsidRDefault="00CC333D" w:rsidP="00CC333D">
      <w:pPr>
        <w:jc w:val="center"/>
        <w:rPr>
          <w:rFonts w:ascii="Calibri" w:eastAsia="Calibri" w:hAnsi="Calibri" w:cs="Calibri"/>
          <w:color w:val="000000" w:themeColor="text1"/>
        </w:rPr>
      </w:pPr>
      <w:r w:rsidRPr="00BC35A2">
        <w:rPr>
          <w:rFonts w:ascii="Calibri" w:eastAsia="Calibri" w:hAnsi="Calibri" w:cs="Calibri"/>
          <w:color w:val="000000" w:themeColor="text1"/>
        </w:rPr>
        <w:t> </w:t>
      </w:r>
    </w:p>
    <w:p w14:paraId="40263929" w14:textId="77777777" w:rsidR="00CC333D" w:rsidRPr="00BC35A2" w:rsidRDefault="00CC333D" w:rsidP="00CC333D">
      <w:pPr>
        <w:jc w:val="center"/>
        <w:rPr>
          <w:rFonts w:ascii="Calibri" w:eastAsia="Calibri" w:hAnsi="Calibri" w:cs="Calibri"/>
          <w:color w:val="000000" w:themeColor="text1"/>
        </w:rPr>
      </w:pPr>
      <w:r w:rsidRPr="00BC35A2">
        <w:rPr>
          <w:rFonts w:ascii="Calibri" w:eastAsia="Calibri" w:hAnsi="Calibri" w:cs="Calibri"/>
          <w:color w:val="000000" w:themeColor="text1"/>
        </w:rPr>
        <w:t> </w:t>
      </w:r>
    </w:p>
    <w:p w14:paraId="156BA666" w14:textId="74F273C2" w:rsidR="00CC333D" w:rsidRPr="00BC35A2" w:rsidRDefault="00CC333D" w:rsidP="00CC333D">
      <w:pPr>
        <w:jc w:val="center"/>
        <w:rPr>
          <w:rFonts w:ascii="Calibri" w:eastAsia="Calibri" w:hAnsi="Calibri" w:cs="Calibri"/>
          <w:color w:val="auto"/>
        </w:rPr>
      </w:pPr>
      <w:r w:rsidRPr="4D02505E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Laboratorio </w:t>
      </w:r>
      <w:r w:rsidR="00C97122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10</w:t>
      </w:r>
      <w:r w:rsidRPr="4D02505E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:</w:t>
      </w:r>
    </w:p>
    <w:p w14:paraId="4364D6F2" w14:textId="08315365" w:rsidR="00CC333D" w:rsidRPr="00BC35A2" w:rsidRDefault="00C97122" w:rsidP="00CC333D">
      <w:pPr>
        <w:jc w:val="center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Visualización Interactiva: Documento de diseño (avance)</w:t>
      </w:r>
    </w:p>
    <w:p w14:paraId="0E96DA2F" w14:textId="77777777" w:rsidR="00CC333D" w:rsidRPr="00BC35A2" w:rsidRDefault="00CC333D" w:rsidP="00CC333D">
      <w:pPr>
        <w:jc w:val="center"/>
        <w:rPr>
          <w:rFonts w:ascii="Calibri" w:eastAsia="Calibri" w:hAnsi="Calibri" w:cs="Calibri"/>
          <w:color w:val="000000" w:themeColor="text1"/>
        </w:rPr>
      </w:pPr>
      <w:r w:rsidRPr="00BC35A2">
        <w:rPr>
          <w:rFonts w:ascii="Calibri" w:eastAsia="Calibri" w:hAnsi="Calibri" w:cs="Calibri"/>
          <w:color w:val="000000" w:themeColor="text1"/>
        </w:rPr>
        <w:t> </w:t>
      </w:r>
    </w:p>
    <w:p w14:paraId="4C3CEF80" w14:textId="77777777" w:rsidR="00CC333D" w:rsidRPr="00BC35A2" w:rsidRDefault="00CC333D" w:rsidP="00CC333D">
      <w:pPr>
        <w:jc w:val="center"/>
        <w:rPr>
          <w:rFonts w:ascii="Calibri" w:eastAsia="Calibri" w:hAnsi="Calibri" w:cs="Calibri"/>
          <w:color w:val="000000" w:themeColor="text1"/>
        </w:rPr>
      </w:pPr>
    </w:p>
    <w:p w14:paraId="58BCE4B4" w14:textId="77777777" w:rsidR="00CC333D" w:rsidRPr="00BC35A2" w:rsidRDefault="00CC333D" w:rsidP="00CC333D">
      <w:pPr>
        <w:rPr>
          <w:rFonts w:ascii="Calibri" w:eastAsia="Calibri" w:hAnsi="Calibri" w:cs="Calibri"/>
          <w:color w:val="000000" w:themeColor="text1"/>
        </w:rPr>
      </w:pPr>
    </w:p>
    <w:p w14:paraId="619EBA1C" w14:textId="77777777" w:rsidR="00CC333D" w:rsidRPr="00BC35A2" w:rsidRDefault="00CC333D" w:rsidP="00CC333D">
      <w:pPr>
        <w:jc w:val="center"/>
        <w:rPr>
          <w:rFonts w:ascii="Calibri" w:eastAsia="Calibri" w:hAnsi="Calibri" w:cs="Calibri"/>
          <w:color w:val="000000" w:themeColor="text1"/>
        </w:rPr>
      </w:pPr>
      <w:r w:rsidRPr="00BC35A2">
        <w:rPr>
          <w:rFonts w:ascii="Calibri" w:eastAsia="Calibri" w:hAnsi="Calibri" w:cs="Calibri"/>
          <w:color w:val="000000" w:themeColor="text1"/>
        </w:rPr>
        <w:t> </w:t>
      </w:r>
    </w:p>
    <w:p w14:paraId="2156B384" w14:textId="77777777" w:rsidR="00CC333D" w:rsidRPr="00BC35A2" w:rsidRDefault="00CC333D" w:rsidP="00CC333D">
      <w:pPr>
        <w:jc w:val="center"/>
        <w:rPr>
          <w:rFonts w:ascii="Calibri" w:eastAsia="Calibri" w:hAnsi="Calibri" w:cs="Calibri"/>
          <w:color w:val="000000" w:themeColor="text1"/>
        </w:rPr>
      </w:pPr>
      <w:r w:rsidRPr="00BC35A2">
        <w:rPr>
          <w:rFonts w:ascii="Calibri" w:eastAsia="Calibri" w:hAnsi="Calibri" w:cs="Calibri"/>
          <w:color w:val="000000" w:themeColor="text1"/>
        </w:rPr>
        <w:t> </w:t>
      </w:r>
    </w:p>
    <w:p w14:paraId="1631A5A6" w14:textId="77777777" w:rsidR="00CC333D" w:rsidRPr="00A9521C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A9521C">
        <w:rPr>
          <w:rFonts w:ascii="Calibri" w:eastAsia="Calibri" w:hAnsi="Calibri" w:cs="Calibri"/>
          <w:color w:val="000000" w:themeColor="text1"/>
          <w:sz w:val="24"/>
          <w:szCs w:val="24"/>
        </w:rPr>
        <w:t>Facultad de Ingeniería </w:t>
      </w:r>
    </w:p>
    <w:p w14:paraId="09AC8ADA" w14:textId="77777777" w:rsidR="00CC333D" w:rsidRPr="00A9521C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A9521C">
        <w:rPr>
          <w:rFonts w:ascii="Calibri" w:eastAsia="Calibri" w:hAnsi="Calibri" w:cs="Calibri"/>
          <w:color w:val="000000" w:themeColor="text1"/>
          <w:sz w:val="24"/>
          <w:szCs w:val="24"/>
        </w:rPr>
        <w:t> </w:t>
      </w:r>
    </w:p>
    <w:p w14:paraId="3B5793DA" w14:textId="77777777" w:rsidR="00CC333D" w:rsidRPr="00A9521C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9CFF70D" w14:textId="77777777" w:rsidR="00CC333D" w:rsidRPr="00A9521C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A9521C">
        <w:rPr>
          <w:rFonts w:ascii="Calibri" w:eastAsia="Calibri" w:hAnsi="Calibri" w:cs="Calibri"/>
          <w:color w:val="000000" w:themeColor="text1"/>
          <w:sz w:val="24"/>
          <w:szCs w:val="24"/>
        </w:rPr>
        <w:t> </w:t>
      </w:r>
    </w:p>
    <w:p w14:paraId="2A4573EF" w14:textId="77777777" w:rsidR="00CC333D" w:rsidRPr="00A9521C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A9521C">
        <w:rPr>
          <w:rFonts w:ascii="Calibri" w:eastAsia="Calibri" w:hAnsi="Calibri" w:cs="Calibri"/>
          <w:color w:val="000000" w:themeColor="text1"/>
          <w:sz w:val="24"/>
          <w:szCs w:val="24"/>
        </w:rPr>
        <w:t> </w:t>
      </w:r>
    </w:p>
    <w:p w14:paraId="457D52DE" w14:textId="77777777" w:rsidR="00CC333D" w:rsidRPr="00A9521C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A9521C">
        <w:rPr>
          <w:rFonts w:ascii="Calibri" w:eastAsia="Calibri" w:hAnsi="Calibri" w:cs="Calibri"/>
          <w:color w:val="000000" w:themeColor="text1"/>
          <w:sz w:val="24"/>
          <w:szCs w:val="24"/>
        </w:rPr>
        <w:t> </w:t>
      </w:r>
    </w:p>
    <w:p w14:paraId="73E0ED94" w14:textId="77777777" w:rsidR="00CC333D" w:rsidRPr="00A9521C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A9521C">
        <w:rPr>
          <w:rFonts w:ascii="Calibri" w:eastAsia="Calibri" w:hAnsi="Calibri" w:cs="Calibri"/>
          <w:color w:val="000000" w:themeColor="text1"/>
          <w:sz w:val="24"/>
          <w:szCs w:val="24"/>
        </w:rPr>
        <w:t>  </w:t>
      </w:r>
      <w:r w:rsidRPr="00A9521C">
        <w:rPr>
          <w:rFonts w:ascii="Calibri" w:eastAsia="Calibri" w:hAnsi="Calibri" w:cs="Calibri"/>
          <w:color w:val="auto"/>
        </w:rPr>
        <w:br/>
      </w:r>
      <w:r w:rsidRPr="00A9521C">
        <w:rPr>
          <w:rFonts w:ascii="Calibri" w:eastAsia="Calibri" w:hAnsi="Calibri" w:cs="Calibri"/>
          <w:color w:val="000000" w:themeColor="text1"/>
          <w:sz w:val="24"/>
          <w:szCs w:val="24"/>
        </w:rPr>
        <w:t>Gabriel Bran, 23590  </w:t>
      </w:r>
      <w:r w:rsidRPr="00A9521C">
        <w:rPr>
          <w:rFonts w:ascii="Calibri" w:eastAsia="Calibri" w:hAnsi="Calibri" w:cs="Calibri"/>
          <w:color w:val="auto"/>
        </w:rPr>
        <w:br/>
      </w:r>
      <w:r w:rsidRPr="00A9521C">
        <w:rPr>
          <w:rFonts w:ascii="Calibri" w:eastAsia="Calibri" w:hAnsi="Calibri" w:cs="Calibri"/>
          <w:color w:val="000000" w:themeColor="text1"/>
          <w:sz w:val="24"/>
          <w:szCs w:val="24"/>
        </w:rPr>
        <w:t>David Domínguez, 23712  </w:t>
      </w:r>
      <w:r w:rsidRPr="00A9521C">
        <w:rPr>
          <w:rFonts w:ascii="Calibri" w:eastAsia="Calibri" w:hAnsi="Calibri" w:cs="Calibri"/>
          <w:color w:val="auto"/>
        </w:rPr>
        <w:br/>
      </w:r>
      <w:r w:rsidRPr="00A9521C">
        <w:rPr>
          <w:rFonts w:ascii="Calibri" w:eastAsia="Calibri" w:hAnsi="Calibri" w:cs="Calibri"/>
          <w:color w:val="000000" w:themeColor="text1"/>
          <w:sz w:val="24"/>
          <w:szCs w:val="24"/>
        </w:rPr>
        <w:t>Luis Padilla, 23663 </w:t>
      </w:r>
    </w:p>
    <w:p w14:paraId="17074C4A" w14:textId="77777777" w:rsidR="00CC333D" w:rsidRPr="00A9521C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A9521C">
        <w:rPr>
          <w:rFonts w:ascii="Calibri" w:eastAsia="Calibri" w:hAnsi="Calibri" w:cs="Calibri"/>
          <w:color w:val="000000" w:themeColor="text1"/>
          <w:sz w:val="24"/>
          <w:szCs w:val="24"/>
        </w:rPr>
        <w:t> </w:t>
      </w:r>
    </w:p>
    <w:p w14:paraId="0E0680BD" w14:textId="77777777" w:rsidR="00CC333D" w:rsidRPr="00A9521C" w:rsidRDefault="00CC333D" w:rsidP="00CC333D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A857B93" w14:textId="77777777" w:rsidR="00CC333D" w:rsidRPr="00A9521C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5DE2709F" w14:textId="77777777" w:rsidR="00CC333D" w:rsidRPr="00A9521C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A9521C">
        <w:rPr>
          <w:rFonts w:ascii="Calibri" w:eastAsia="Calibri" w:hAnsi="Calibri" w:cs="Calibri"/>
          <w:color w:val="000000" w:themeColor="text1"/>
          <w:sz w:val="24"/>
          <w:szCs w:val="24"/>
        </w:rPr>
        <w:t> </w:t>
      </w:r>
    </w:p>
    <w:p w14:paraId="530762C5" w14:textId="43AEFA2C" w:rsidR="00CC333D" w:rsidRPr="00A9521C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4D02505E">
        <w:rPr>
          <w:rFonts w:ascii="Calibri" w:eastAsia="Calibri" w:hAnsi="Calibri" w:cs="Calibri"/>
          <w:color w:val="000000" w:themeColor="text1"/>
          <w:sz w:val="24"/>
          <w:szCs w:val="24"/>
        </w:rPr>
        <w:t>  </w:t>
      </w:r>
      <w:r>
        <w:br/>
      </w:r>
      <w:r w:rsidRPr="4D02505E">
        <w:rPr>
          <w:rFonts w:ascii="Calibri" w:eastAsia="Calibri" w:hAnsi="Calibri" w:cs="Calibri"/>
          <w:color w:val="000000" w:themeColor="text1"/>
          <w:sz w:val="24"/>
          <w:szCs w:val="24"/>
        </w:rPr>
        <w:t>Repo:</w:t>
      </w:r>
      <w:r w:rsidRPr="4D02505E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https://github.com/DavidDominguez-11/DS-Lab1 (rama lab10)</w:t>
      </w:r>
    </w:p>
    <w:p w14:paraId="5D6505B1" w14:textId="4AED00C8" w:rsidR="00CC333D" w:rsidRPr="00020B1E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0798473F" w14:textId="77777777" w:rsidR="00CC333D" w:rsidRPr="00A9521C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77F1FD99" w14:textId="77777777" w:rsidR="00CC333D" w:rsidRPr="00A9521C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A9521C">
        <w:rPr>
          <w:rFonts w:ascii="Calibri" w:eastAsia="Calibri" w:hAnsi="Calibri" w:cs="Calibri"/>
          <w:color w:val="000000" w:themeColor="text1"/>
          <w:sz w:val="24"/>
          <w:szCs w:val="24"/>
        </w:rPr>
        <w:t> </w:t>
      </w:r>
    </w:p>
    <w:p w14:paraId="199ABBE3" w14:textId="77777777" w:rsidR="00CC333D" w:rsidRPr="00A9521C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A9521C">
        <w:rPr>
          <w:rFonts w:ascii="Calibri" w:eastAsia="Calibri" w:hAnsi="Calibri" w:cs="Calibri"/>
          <w:color w:val="000000" w:themeColor="text1"/>
          <w:sz w:val="24"/>
          <w:szCs w:val="24"/>
        </w:rPr>
        <w:t> </w:t>
      </w:r>
    </w:p>
    <w:p w14:paraId="6026BD1E" w14:textId="77777777" w:rsidR="00CC333D" w:rsidRPr="00A9521C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33DD4891">
        <w:rPr>
          <w:rFonts w:ascii="Calibri" w:eastAsia="Calibri" w:hAnsi="Calibri" w:cs="Calibri"/>
          <w:color w:val="000000" w:themeColor="text1"/>
          <w:sz w:val="24"/>
          <w:szCs w:val="24"/>
        </w:rPr>
        <w:t> </w:t>
      </w:r>
    </w:p>
    <w:p w14:paraId="493216F1" w14:textId="77777777" w:rsidR="00CC333D" w:rsidRPr="00A9521C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A9521C">
        <w:rPr>
          <w:rFonts w:ascii="Calibri" w:eastAsia="Calibri" w:hAnsi="Calibri" w:cs="Calibri"/>
          <w:color w:val="000000" w:themeColor="text1"/>
          <w:sz w:val="24"/>
          <w:szCs w:val="24"/>
        </w:rPr>
        <w:t> </w:t>
      </w:r>
    </w:p>
    <w:p w14:paraId="21A6FCBC" w14:textId="77777777" w:rsidR="00CC333D" w:rsidRDefault="00CC333D" w:rsidP="00CC333D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4D02505E">
        <w:rPr>
          <w:rFonts w:ascii="Calibri" w:eastAsia="Calibri" w:hAnsi="Calibri" w:cs="Calibri"/>
          <w:color w:val="000000" w:themeColor="text1"/>
          <w:sz w:val="24"/>
          <w:szCs w:val="24"/>
        </w:rPr>
        <w:t>  </w:t>
      </w:r>
      <w:r>
        <w:br/>
      </w:r>
      <w:r w:rsidRPr="4D02505E">
        <w:rPr>
          <w:rFonts w:ascii="Calibri" w:eastAsia="Calibri" w:hAnsi="Calibri" w:cs="Calibri"/>
          <w:color w:val="000000" w:themeColor="text1"/>
          <w:sz w:val="24"/>
          <w:szCs w:val="24"/>
        </w:rPr>
        <w:t>2026</w:t>
      </w:r>
      <w:bookmarkEnd w:id="0"/>
    </w:p>
    <w:p w14:paraId="1E3A8254" w14:textId="77777777" w:rsidR="00CC333D" w:rsidRDefault="00CC333D" w:rsidP="00CC333D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br w:type="page"/>
      </w:r>
    </w:p>
    <w:p>
      <w:pPr>
        <w:pStyle w:val="Heading1"/>
      </w:pPr>
      <w:r>
        <w:t>1. Introducción</w:t>
      </w:r>
    </w:p>
    <w:p w14:paraId="262ACD9B" w14:textId="77777777" w:rsidR="00CC333D" w:rsidRPr="00DE4DE0" w:rsidRDefault="00CC333D" w:rsidP="00CC333D">
      <w:pPr>
        <w:spacing w:before="180" w:after="180"/>
        <w:jc w:val="both"/>
        <w:rPr>
          <w:rFonts w:ascii="Calibri" w:eastAsia="Cambria" w:hAnsi="Calibri" w:cs="Calibri"/>
          <w:color w:val="auto"/>
          <w:lang w:val="es" w:eastAsia="en-US"/>
        </w:rPr>
      </w:pPr>
      <w:r w:rsidRPr="00DE4DE0">
        <w:rPr>
          <w:rFonts w:ascii="Calibri" w:eastAsia="Cambria" w:hAnsi="Calibri" w:cs="Calibri"/>
          <w:color w:val="auto"/>
          <w:lang w:val="es" w:eastAsia="en-US"/>
        </w:rPr>
        <w:t xml:space="preserve">El Observatorio de Turismo Sostenible de Guatemala es un tablero interactivo dirigido a directivos y tomadores de decisiones del sector turístico que no necesariamente tienen formación en estadística. Utiliza la base de movimientos migratorios de viajeros internacionales (161,036 registros, enero 2009 a junio 2026) y reutiliza los modelos de predicción de los Laboratorios 1 y 2, sin construir modelos nuevos. Este documento corresponde al avance: contiene las preguntas de gestión, el alcance, la paleta, el bosquejo de la interfaz, la herramienta elegida, la planificación y las visualizaciones interactivas ya funcionales.</w:t>
      </w:r>
    </w:p>
    <w:p>
      <w:pPr>
        <w:pStyle w:val="Heading1"/>
      </w:pPr>
      <w:r>
        <w:t>2. Preguntas de gestión y preguntas exploratorias</w:t>
      </w:r>
    </w:p>
    <w:p w14:paraId="262ACD9B" w14:textId="77777777" w:rsidR="00CC333D" w:rsidRPr="00DE4DE0" w:rsidRDefault="00CC333D" w:rsidP="00CC333D">
      <w:pPr>
        <w:spacing w:before="180" w:after="180"/>
        <w:jc w:val="both"/>
        <w:rPr>
          <w:rFonts w:ascii="Calibri" w:eastAsia="Cambria" w:hAnsi="Calibri" w:cs="Calibri"/>
          <w:color w:val="auto"/>
          <w:lang w:val="es" w:eastAsia="en-US"/>
        </w:rPr>
      </w:pPr>
      <w:r w:rsidRPr="00DE4DE0">
        <w:rPr>
          <w:rFonts w:ascii="Calibri" w:eastAsia="Cambria" w:hAnsi="Calibri" w:cs="Calibri"/>
          <w:color w:val="auto"/>
          <w:lang w:val="es" w:eastAsia="en-US"/>
        </w:rPr>
        <w:t xml:space="preserve">Se seleccionaron las preguntas que pueden responderse con las fuentes disponibles. Cada una determina una página del tablero y, en conjunto, la navegación: de lo general (qué pasó) a lo específico (cuándo, de dónde, por dónde) y finalmente a lo prospectivo (qué podría pasar y qué tan confiable es).</w:t>
      </w:r>
    </w:p>
    <w:tbl>
      <w:tblPr>
        <w:tblStyle w:val="GridTable1Light3"/>
        <w:tblW w:w="5000" w:type="pct"/>
        <w:tblLook w:val="0020" w:firstRow="1"/>
      </w:tblPr>
      <w:tblGrid>
        <w:gridCol w:w="700"/>
        <w:gridCol w:w="5900"/>
        <w:gridCol w:w="2750"/>
      </w:tblGrid>
      <w:tr>
        <w:tc>
          <w:tcPr>
            <w:tcW w:type="dxa" w:w="7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#</w:t>
            </w:r>
          </w:p>
        </w:tc>
        <w:tc>
          <w:tcPr>
            <w:tcW w:type="dxa" w:w="5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Pregunta de gestión</w:t>
            </w:r>
          </w:p>
        </w:tc>
        <w:tc>
          <w:tcPr>
            <w:tcW w:type="dxa" w:w="27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Dónde se responde</w:t>
            </w:r>
          </w:p>
        </w:tc>
      </w:tr>
      <w:tr>
        <w:tc>
          <w:tcPr>
            <w:tcW w:type="dxa" w:w="7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5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¿Cómo ha evolucionado el ingreso de viajeros y cómo se recuperó tras la pandemia?</w:t>
            </w:r>
          </w:p>
        </w:tc>
        <w:tc>
          <w:tcPr>
            <w:tcW w:type="dxa" w:w="27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Página 1: barras por año</w:t>
            </w:r>
          </w:p>
        </w:tc>
      </w:tr>
      <w:tr>
        <w:tc>
          <w:tcPr>
            <w:tcW w:type="dxa" w:w="7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5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¿Qué ocurrió en un año concreto: en qué meses y por qué vías ingresaron?</w:t>
            </w:r>
          </w:p>
        </w:tc>
        <w:tc>
          <w:tcPr>
            <w:tcW w:type="dxa" w:w="27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Página 1: detalle enlazado</w:t>
            </w:r>
          </w:p>
        </w:tc>
      </w:tr>
      <w:tr>
        <w:tc>
          <w:tcPr>
            <w:tcW w:type="dxa" w:w="7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P3</w:t>
            </w:r>
          </w:p>
        </w:tc>
        <w:tc>
          <w:tcPr>
            <w:tcW w:type="dxa" w:w="5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¿En qué meses hay temporada alta y baja?</w:t>
            </w:r>
          </w:p>
        </w:tc>
        <w:tc>
          <w:tcPr>
            <w:tcW w:type="dxa" w:w="27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Página 2: mapa de calor</w:t>
            </w:r>
          </w:p>
        </w:tc>
      </w:tr>
      <w:tr>
        <w:tc>
          <w:tcPr>
            <w:tcW w:type="dxa" w:w="7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P4</w:t>
            </w:r>
          </w:p>
        </w:tc>
        <w:tc>
          <w:tcPr>
            <w:tcW w:type="dxa" w:w="5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¿De qué regiones y países provienen los viajeros y por qué fronteras ingresan?</w:t>
            </w:r>
          </w:p>
        </w:tc>
        <w:tc>
          <w:tcPr>
            <w:tcW w:type="dxa" w:w="27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Página 2: treemap y barras</w:t>
            </w:r>
          </w:p>
        </w:tc>
      </w:tr>
      <w:tr>
        <w:tc>
          <w:tcPr>
            <w:tcW w:type="dxa" w:w="7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P5</w:t>
            </w:r>
          </w:p>
        </w:tc>
        <w:tc>
          <w:tcPr>
            <w:tcW w:type="dxa" w:w="5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¿Qué se espera a futuro y qué tan confiable es esa estimación?</w:t>
            </w:r>
          </w:p>
        </w:tc>
        <w:tc>
          <w:tcPr>
            <w:tcW w:type="dxa" w:w="27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Página 3: real frente a estimado</w:t>
            </w:r>
          </w:p>
        </w:tc>
      </w:tr>
      <w:tr>
        <w:tc>
          <w:tcPr>
            <w:tcW w:type="dxa" w:w="7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P6</w:t>
            </w:r>
          </w:p>
        </w:tc>
        <w:tc>
          <w:tcPr>
            <w:tcW w:type="dxa" w:w="5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¿Qué modelo se equivoca menos y en qué series?</w:t>
            </w:r>
          </w:p>
        </w:tc>
        <w:tc>
          <w:tcPr>
            <w:tcW w:type="dxa" w:w="27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Página 3: comparación de modelos</w:t>
            </w:r>
          </w:p>
        </w:tc>
      </w:tr>
    </w:tbl>
    <w:p>
      <w:pPr>
        <w:spacing w:after="40"/>
      </w:pPr>
    </w:p>
    <w:p>
      <w:pPr>
        <w:pStyle w:val="Heading1"/>
      </w:pPr>
      <w:r>
        <w:t>3. Alcance del tablero</w:t>
      </w:r>
    </w:p>
    <w:p w14:paraId="262ACD9B" w14:textId="77777777" w:rsidR="00CC333D" w:rsidRPr="00DE4DE0" w:rsidRDefault="00CC333D" w:rsidP="00CC333D">
      <w:pPr>
        <w:spacing w:before="180" w:after="180"/>
        <w:jc w:val="both"/>
        <w:rPr>
          <w:rFonts w:ascii="Calibri" w:eastAsia="Cambria" w:hAnsi="Calibri" w:cs="Calibri"/>
          <w:color w:val="auto"/>
          <w:lang w:val="es" w:eastAsia="en-US"/>
        </w:rPr>
      </w:pPr>
      <w:r w:rsidRPr="00DE4DE0">
        <w:rPr>
          <w:rFonts w:ascii="Calibri" w:eastAsia="Cambria" w:hAnsi="Calibri" w:cs="Calibri"/>
          <w:b/>
          <w:color w:val="auto"/>
          <w:lang w:val="es" w:eastAsia="en-US"/>
        </w:rPr>
        <w:t xml:space="preserve">Incluye:</w:t>
      </w:r>
      <w:r w:rsidRPr="00DE4DE0">
        <w:rPr>
          <w:rFonts w:ascii="Calibri" w:eastAsia="Cambria" w:hAnsi="Calibri" w:cs="Calibri"/>
          <w:color w:val="auto"/>
          <w:lang w:val="es" w:eastAsia="en-US"/>
        </w:rPr>
        <w:t xml:space="preserve"> exploración de datos observados (2009 a junio 2026), 8 visualizaciones interactivas con al menos dos enlazadas, control del nivel de detalle, selección de los gráficos a ver, resultados de al menos 3 modelos ya construidos (SARIMA, Holt-Winters, Prophet y seasonal naive del Laboratorio 1; LSTM del Laboratorio 2 en la entrega final) y una tabla comparativa de errores.</w:t>
      </w:r>
    </w:p>
    <w:p w14:paraId="262ACD9B" w14:textId="77777777" w:rsidR="00CC333D" w:rsidRPr="00DE4DE0" w:rsidRDefault="00CC333D" w:rsidP="00CC333D">
      <w:pPr>
        <w:spacing w:before="180" w:after="180"/>
        <w:jc w:val="both"/>
        <w:rPr>
          <w:rFonts w:ascii="Calibri" w:eastAsia="Cambria" w:hAnsi="Calibri" w:cs="Calibri"/>
          <w:color w:val="auto"/>
          <w:lang w:val="es" w:eastAsia="en-US"/>
        </w:rPr>
      </w:pPr>
      <w:r w:rsidRPr="00DE4DE0">
        <w:rPr>
          <w:rFonts w:ascii="Calibri" w:eastAsia="Cambria" w:hAnsi="Calibri" w:cs="Calibri"/>
          <w:b/>
          <w:color w:val="auto"/>
          <w:lang w:val="es" w:eastAsia="en-US"/>
        </w:rPr>
        <w:t xml:space="preserve">No incluye:</w:t>
      </w:r>
      <w:r w:rsidRPr="00DE4DE0">
        <w:rPr>
          <w:rFonts w:ascii="Calibri" w:eastAsia="Cambria" w:hAnsi="Calibri" w:cs="Calibri"/>
          <w:color w:val="auto"/>
          <w:lang w:val="es" w:eastAsia="en-US"/>
        </w:rPr>
        <w:t xml:space="preserve"> modelos nuevos (el laboratorio lo prohíbe), explicaciones causales de las variaciones, datos ambientales de sostenibilidad (no están en las fuentes disponibles) y predicciones más allá del periodo de prueba.</w:t>
      </w:r>
    </w:p>
    <w:p w14:paraId="262ACD9B" w14:textId="77777777" w:rsidR="00CC333D" w:rsidRPr="00DE4DE0" w:rsidRDefault="00CC333D" w:rsidP="00CC333D">
      <w:pPr>
        <w:spacing w:before="180" w:after="180"/>
        <w:jc w:val="both"/>
        <w:rPr>
          <w:rFonts w:ascii="Calibri" w:eastAsia="Cambria" w:hAnsi="Calibri" w:cs="Calibri"/>
          <w:color w:val="auto"/>
          <w:lang w:val="es" w:eastAsia="en-US"/>
        </w:rPr>
      </w:pPr>
      <w:r w:rsidRPr="00DE4DE0">
        <w:rPr>
          <w:rFonts w:ascii="Calibri" w:eastAsia="Cambria" w:hAnsi="Calibri" w:cs="Calibri"/>
          <w:b/>
          <w:color w:val="auto"/>
          <w:lang w:val="es" w:eastAsia="en-US"/>
        </w:rPr>
        <w:t xml:space="preserve">Limitaciones:</w:t>
      </w:r>
      <w:r w:rsidRPr="00DE4DE0">
        <w:rPr>
          <w:rFonts w:ascii="Calibri" w:eastAsia="Cambria" w:hAnsi="Calibri" w:cs="Calibri"/>
          <w:color w:val="auto"/>
          <w:lang w:val="es" w:eastAsia="en-US"/>
        </w:rPr>
        <w:t xml:space="preserve"> la categoría «Viajero» cambió de definición entre 2022 y 2023 y «Cruceristas» deja de reportarse desde 2023, por lo que la medida comparable es Turista + Excursionista; 2026 llega solo hasta junio; los modelos se entrenaron con datos hasta marzo de 2021, afectados por la pandemia, y tienden a subestimar la recuperación posterior. El tablero comunica estos límites junto a los gráficos.</w:t>
      </w:r>
    </w:p>
    <w:p>
      <w:pPr>
        <w:pStyle w:val="Heading1"/>
      </w:pPr>
      <w:r>
        <w:t>4. Herramienta seleccionada y justificación</w:t>
      </w:r>
    </w:p>
    <w:p w14:paraId="262ACD9B" w14:textId="77777777" w:rsidR="00CC333D" w:rsidRPr="00DE4DE0" w:rsidRDefault="00CC333D" w:rsidP="00CC333D">
      <w:pPr>
        <w:spacing w:before="180" w:after="180"/>
        <w:jc w:val="both"/>
        <w:rPr>
          <w:rFonts w:ascii="Calibri" w:eastAsia="Cambria" w:hAnsi="Calibri" w:cs="Calibri"/>
          <w:color w:val="auto"/>
          <w:lang w:val="es" w:eastAsia="en-US"/>
        </w:rPr>
      </w:pPr>
      <w:r w:rsidRPr="00DE4DE0">
        <w:rPr>
          <w:rFonts w:ascii="Calibri" w:eastAsia="Cambria" w:hAnsi="Calibri" w:cs="Calibri"/>
          <w:color w:val="auto"/>
          <w:lang w:val="es" w:eastAsia="en-US"/>
        </w:rPr>
        <w:t xml:space="preserve">Se eligió Streamlit con Plotly (Python), ambas herramientas gratuitas y de código abierto.</w:t>
      </w:r>
    </w:p>
    <w:tbl>
      <w:tblPr>
        <w:tblStyle w:val="GridTable1Light3"/>
        <w:tblW w:w="5000" w:type="pct"/>
        <w:tblLook w:val="0020" w:firstRow="1"/>
      </w:tblPr>
      <w:tblGrid>
        <w:gridCol w:w="2000"/>
        <w:gridCol w:w="5000"/>
        <w:gridCol w:w="2350"/>
      </w:tblGrid>
      <w:tr>
        <w:tc>
          <w:tcPr>
            <w:tcW w:type="dxa" w:w="20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Criterio</w:t>
            </w:r>
          </w:p>
        </w:tc>
        <w:tc>
          <w:tcPr>
            <w:tcW w:type="dxa" w:w="50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Streamlit + Plotly</w:t>
            </w:r>
          </w:p>
        </w:tc>
        <w:tc>
          <w:tcPr>
            <w:tcW w:type="dxa" w:w="23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Alternativas</w:t>
            </w:r>
          </w:p>
        </w:tc>
      </w:tr>
      <w:tr>
        <w:tc>
          <w:tcPr>
            <w:tcW w:type="dxa" w:w="20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Lenguaje del equipo</w:t>
            </w:r>
          </w:p>
        </w:tc>
        <w:tc>
          <w:tcPr>
            <w:tcW w:type="dxa" w:w="50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Python, el mismo de los Laboratorios 1 y 2: se reutilizan pandas y los resultados sin traducir código.</w:t>
            </w:r>
          </w:p>
        </w:tc>
        <w:tc>
          <w:tcPr>
            <w:tcW w:type="dxa" w:w="23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R Shiny obligaría a reescribir el flujo.</w:t>
            </w:r>
          </w:p>
        </w:tc>
      </w:tr>
      <w:tr>
        <w:tc>
          <w:tcPr>
            <w:tcW w:type="dxa" w:w="20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Gráficos enlazados</w:t>
            </w:r>
          </w:p>
        </w:tc>
        <w:tc>
          <w:tcPr>
            <w:tcW w:type="dxa" w:w="50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Plotly permite seleccionar con clic y Streamlit actualiza el gráfico relacionado.</w:t>
            </w:r>
          </w:p>
        </w:tc>
        <w:tc>
          <w:tcPr>
            <w:tcW w:type="dxa" w:w="23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Dash lo logra con callbacks, con más código.</w:t>
            </w:r>
          </w:p>
        </w:tc>
      </w:tr>
      <w:tr>
        <w:tc>
          <w:tcPr>
            <w:tcW w:type="dxa" w:w="20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Velocidad de desarrollo</w:t>
            </w:r>
          </w:p>
        </w:tc>
        <w:tc>
          <w:tcPr>
            <w:tcW w:type="dxa" w:w="50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Un solo archivo y pocas líneas por gráfico; adecuado para tres integrantes y pocos días.</w:t>
            </w:r>
          </w:p>
        </w:tc>
        <w:tc>
          <w:tcPr>
            <w:tcW w:type="dxa" w:w="23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Panel y Voilà tienen menos documentación.</w:t>
            </w:r>
          </w:p>
        </w:tc>
      </w:tr>
      <w:tr>
        <w:tc>
          <w:tcPr>
            <w:tcW w:type="dxa" w:w="20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Interactividad</w:t>
            </w:r>
          </w:p>
        </w:tc>
        <w:tc>
          <w:tcPr>
            <w:tcW w:type="dxa" w:w="50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Zoom, información al pasar el cursor, filtros, selección de gráficos y nivel de detalle sin recargar.</w:t>
            </w:r>
          </w:p>
        </w:tc>
        <w:tc>
          <w:tcPr>
            <w:tcW w:type="dxa" w:w="23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No aplica</w:t>
            </w:r>
          </w:p>
        </w:tc>
      </w:tr>
      <w:tr>
        <w:tc>
          <w:tcPr>
            <w:tcW w:type="dxa" w:w="20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Costo y despliegue</w:t>
            </w:r>
          </w:p>
        </w:tc>
        <w:tc>
          <w:tcPr>
            <w:tcW w:type="dxa" w:w="50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Gratuito; se ejecuta con «streamlit run» o en Streamlit Community Cloud.</w:t>
            </w:r>
          </w:p>
        </w:tc>
        <w:tc>
          <w:tcPr>
            <w:tcW w:type="dxa" w:w="23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No aplica</w:t>
            </w:r>
          </w:p>
        </w:tc>
      </w:tr>
    </w:tbl>
    <w:p>
      <w:pPr>
        <w:spacing w:after="40"/>
      </w:pPr>
    </w:p>
    <w:p>
      <w:pPr>
        <w:pStyle w:val="Heading1"/>
      </w:pPr>
      <w:r>
        <w:t>5. Diseño de la interfaz</w:t>
      </w:r>
    </w:p>
    <w:p>
      <w:pPr>
        <w:pStyle w:val="Heading2"/>
      </w:pPr>
      <w:r>
        <w:t>5.1 Paleta de colores</w:t>
      </w:r>
    </w:p>
    <w:p w14:paraId="262ACD9B" w14:textId="77777777" w:rsidR="00CC333D" w:rsidRPr="00DE4DE0" w:rsidRDefault="00CC333D" w:rsidP="00CC333D">
      <w:pPr>
        <w:spacing w:before="180" w:after="180"/>
        <w:jc w:val="both"/>
        <w:rPr>
          <w:rFonts w:ascii="Calibri" w:eastAsia="Cambria" w:hAnsi="Calibri" w:cs="Calibri"/>
          <w:color w:val="auto"/>
          <w:lang w:val="es" w:eastAsia="en-US"/>
        </w:rPr>
      </w:pPr>
      <w:r w:rsidRPr="00DE4DE0">
        <w:rPr>
          <w:rFonts w:ascii="Calibri" w:eastAsia="Cambria" w:hAnsi="Calibri" w:cs="Calibri"/>
          <w:color w:val="auto"/>
          <w:lang w:val="es" w:eastAsia="en-US"/>
        </w:rPr>
        <w:t xml:space="preserve">Cada color conserva su significado en toda la aplicación. La paleta se basa en Okabe-Ito, segura para personas con daltonismo, y el texto oscuro sobre fondo blanco ofrece alto contraste.</w:t>
      </w:r>
    </w:p>
    <w:tbl>
      <w:tblPr>
        <w:tblStyle w:val="GridTable1Light3"/>
        <w:tblW w:w="5000" w:type="pct"/>
        <w:tblLook w:val="0020" w:firstRow="1"/>
      </w:tblPr>
      <w:tblGrid>
        <w:gridCol w:w="2700"/>
        <w:gridCol w:w="2900"/>
        <w:gridCol w:w="3750"/>
      </w:tblGrid>
      <w:tr>
        <w:tc>
          <w:tcPr>
            <w:tcW w:type="dxa" w:w="27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Color</w:t>
            </w:r>
          </w:p>
        </w:tc>
        <w:tc>
          <w:tcPr>
            <w:tcW w:type="dxa" w:w="2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Significado fijo</w:t>
            </w:r>
          </w:p>
        </w:tc>
        <w:tc>
          <w:tcPr>
            <w:tcW w:type="dxa" w:w="37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Justificación</w:t>
            </w:r>
          </w:p>
        </w:tc>
      </w:tr>
      <w:tr>
        <w:tc>
          <w:tcPr>
            <w:tcW w:type="dxa" w:w="27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Azul oscuro (#1B4F72)</w:t>
            </w:r>
          </w:p>
        </w:tc>
        <w:tc>
          <w:tcPr>
            <w:tcW w:type="dxa" w:w="2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Dato observado: lo que ocurrió</w:t>
            </w:r>
          </w:p>
        </w:tc>
        <w:tc>
          <w:tcPr>
            <w:tcW w:type="dxa" w:w="37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El azul transmite confianza e institucionalidad y distingue lo medido de lo estimado.</w:t>
            </w:r>
          </w:p>
        </w:tc>
      </w:tr>
      <w:tr>
        <w:tc>
          <w:tcPr>
            <w:tcW w:type="dxa" w:w="27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Azul medio (#0072B2)</w:t>
            </w:r>
          </w:p>
        </w:tc>
        <w:tc>
          <w:tcPr>
            <w:tcW w:type="dxa" w:w="2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Selección del usuario y detalle enlazado</w:t>
            </w:r>
          </w:p>
        </w:tc>
        <w:tc>
          <w:tcPr>
            <w:tcW w:type="dxa" w:w="37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Mismo matiz que lo observado: indica «la misma información, con más detalle».</w:t>
            </w:r>
          </w:p>
        </w:tc>
      </w:tr>
      <w:tr>
        <w:tc>
          <w:tcPr>
            <w:tcW w:type="dxa" w:w="27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Naranja (#D55E00)</w:t>
            </w:r>
          </w:p>
        </w:tc>
        <w:tc>
          <w:tcPr>
            <w:tcW w:type="dxa" w:w="2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Estimación de un modelo y avisos</w:t>
            </w:r>
          </w:p>
        </w:tc>
        <w:tc>
          <w:tcPr>
            <w:tcW w:type="dxa" w:w="37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Contrasta con el azul y alerta que es una estimación, no un hecho.</w:t>
            </w:r>
          </w:p>
        </w:tc>
      </w:tr>
      <w:tr>
        <w:tc>
          <w:tcPr>
            <w:tcW w:type="dxa" w:w="27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Verde, rosa y gris (#009E73, #CC79A7, #7F7F7F)</w:t>
            </w:r>
          </w:p>
        </w:tc>
        <w:tc>
          <w:tcPr>
            <w:tcW w:type="dxa" w:w="2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Un color fijo por modelo</w:t>
            </w:r>
          </w:p>
        </w:tc>
        <w:tc>
          <w:tcPr>
            <w:tcW w:type="dxa" w:w="37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Distinguibles entre sí y de la serie real, también en escala de grises.</w:t>
            </w:r>
          </w:p>
        </w:tc>
      </w:tr>
      <w:tr>
        <w:tc>
          <w:tcPr>
            <w:tcW w:type="dxa" w:w="27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Escala azul secuencial</w:t>
            </w:r>
          </w:p>
        </w:tc>
        <w:tc>
          <w:tcPr>
            <w:tcW w:type="dxa" w:w="2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Intensidad (mapa de calor y treemap)</w:t>
            </w:r>
          </w:p>
        </w:tc>
        <w:tc>
          <w:tcPr>
            <w:tcW w:type="dxa" w:w="37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Un solo matiz: más oscuro significa más viajeros.</w:t>
            </w:r>
          </w:p>
        </w:tc>
      </w:tr>
    </w:tbl>
    <w:p>
      <w:pPr>
        <w:spacing w:after="40"/>
      </w:pPr>
    </w:p>
    <w:p>
      <w:pPr>
        <w:pStyle w:val="Heading2"/>
      </w:pPr>
      <w:r>
        <w:t>5.2 Tipografía y comunicación</w:t>
      </w:r>
    </w:p>
    <w:p w14:paraId="262ACD9B" w14:textId="77777777" w:rsidR="00CC333D" w:rsidRPr="00DE4DE0" w:rsidRDefault="00CC333D" w:rsidP="00CC333D">
      <w:pPr>
        <w:spacing w:before="180" w:after="180"/>
        <w:jc w:val="both"/>
        <w:rPr>
          <w:rFonts w:ascii="Calibri" w:eastAsia="Cambria" w:hAnsi="Calibri" w:cs="Calibri"/>
          <w:color w:val="auto"/>
          <w:lang w:val="es" w:eastAsia="en-US"/>
        </w:rPr>
      </w:pPr>
      <w:r w:rsidRPr="00DE4DE0">
        <w:rPr>
          <w:rFonts w:ascii="Calibri" w:eastAsia="Cambria" w:hAnsi="Calibri" w:cs="Calibri"/>
          <w:color w:val="auto"/>
          <w:lang w:val="es" w:eastAsia="en-US"/>
        </w:rPr>
        <w:t xml:space="preserve">Se usa fuente sans-serif a 16 px como base, legible en pantalla y proyector. Cada gráfico lleva una etiqueta «Dato observado» o «Estimación de modelo» para separar hallazgos de estimaciones, una pregunta guía bajo el título y un texto «Cómo leerlo». Las selecciones sin datos muestran un mensaje claro en lugar de un gráfico vacío.</w:t>
      </w:r>
    </w:p>
    <w:p>
      <w:pPr>
        <w:pStyle w:val="Heading2"/>
      </w:pPr>
      <w:r>
        <w:t>5.3 Bosquejo y navegación</w:t>
      </w:r>
    </w:p>
    <w:p w14:paraId="262ACD9B" w14:textId="77777777" w:rsidR="00CC333D" w:rsidRPr="00DE4DE0" w:rsidRDefault="00CC333D" w:rsidP="00CC333D">
      <w:pPr>
        <w:spacing w:before="180" w:after="180"/>
        <w:jc w:val="both"/>
        <w:rPr>
          <w:rFonts w:ascii="Calibri" w:eastAsia="Cambria" w:hAnsi="Calibri" w:cs="Calibri"/>
          <w:color w:val="auto"/>
          <w:lang w:val="es" w:eastAsia="en-US"/>
        </w:rPr>
      </w:pPr>
      <w:r w:rsidRPr="00DE4DE0">
        <w:rPr>
          <w:rFonts w:ascii="Calibri" w:eastAsia="Cambria" w:hAnsi="Calibri" w:cs="Calibri"/>
          <w:color w:val="auto"/>
          <w:lang w:val="es" w:eastAsia="en-US"/>
        </w:rPr>
        <w:t xml:space="preserve">La navegación es un menú lateral con tres páginas y filtros globales siempre visibles. La estructura de la página 1 es:</w:t>
      </w:r>
    </w:p>
    <w:tbl>
      <w:tblPr>
        <w:tblStyle w:val="GridTable1Light3"/>
        <w:tblW w:w="5000" w:type="pct"/>
        <w:tblLook w:val="0020" w:firstRow="1"/>
      </w:tblPr>
      <w:tblGrid>
        <w:gridCol w:w="2400"/>
        <w:gridCol w:w="6950"/>
      </w:tblGrid>
      <w:tr>
        <w:tc>
          <w:tcPr>
            <w:tcW w:type="dxa" w:w="24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Zona</w:t>
            </w:r>
          </w:p>
        </w:tc>
        <w:tc>
          <w:tcPr>
            <w:tcW w:type="dxa" w:w="69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Contenido</w:t>
            </w:r>
          </w:p>
        </w:tc>
      </w:tr>
      <w:tr>
        <w:tc>
          <w:tcPr>
            <w:tcW w:type="dxa" w:w="24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Barra lateral</w:t>
            </w:r>
          </w:p>
        </w:tc>
        <w:tc>
          <w:tcPr>
            <w:tcW w:type="dxa" w:w="69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Menú de 3 páginas (Panorama general, Explorar a detalle, Predicciones y modelos) y filtros: rango de años, tipo de viajero y vía de ingreso.</w:t>
            </w:r>
          </w:p>
        </w:tc>
      </w:tr>
      <w:tr>
        <w:tc>
          <w:tcPr>
            <w:tcW w:type="dxa" w:w="24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Encabezado</w:t>
            </w:r>
          </w:p>
        </w:tc>
        <w:tc>
          <w:tcPr>
            <w:tcW w:type="dxa" w:w="69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Título de la página y pregunta guía que explica qué se puede decidir con ella.</w:t>
            </w:r>
          </w:p>
        </w:tc>
      </w:tr>
      <w:tr>
        <w:tc>
          <w:tcPr>
            <w:tcW w:type="dxa" w:w="24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Tarjetas</w:t>
            </w:r>
          </w:p>
        </w:tc>
        <w:tc>
          <w:tcPr>
            <w:tcW w:type="dxa" w:w="69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Tres indicadores: total de viajeros, año con más viajeros y variación del último año.</w:t>
            </w:r>
          </w:p>
        </w:tc>
      </w:tr>
      <w:tr>
        <w:tc>
          <w:tcPr>
            <w:tcW w:type="dxa" w:w="24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Gráfico A (izquierda)</w:t>
            </w:r>
          </w:p>
        </w:tc>
        <w:tc>
          <w:tcPr>
            <w:tcW w:type="dxa" w:w="69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Barras de viajeros por año. Un clic en una barra selecciona el año.</w:t>
            </w:r>
          </w:p>
        </w:tc>
      </w:tr>
      <w:tr>
        <w:tc>
          <w:tcPr>
            <w:tcW w:type="dxa" w:w="24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Gráfico B (derecha)</w:t>
            </w:r>
          </w:p>
        </w:tc>
        <w:tc>
          <w:tcPr>
            <w:tcW w:type="dxa" w:w="69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Detalle del año seleccionado, enlazado al gráfico A, con control de nivel de detalle (mes, trimestre o vía).</w:t>
            </w:r>
          </w:p>
        </w:tc>
      </w:tr>
      <w:tr>
        <w:tc>
          <w:tcPr>
            <w:tcW w:type="dxa" w:w="24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Pie</w:t>
            </w:r>
          </w:p>
        </w:tc>
        <w:tc>
          <w:tcPr>
            <w:tcW w:type="dxa" w:w="69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Texto «Cómo leerlo» y avisos de límites de los datos.</w:t>
            </w:r>
          </w:p>
        </w:tc>
      </w:tr>
    </w:tbl>
    <w:p>
      <w:pPr>
        <w:spacing w:after="40"/>
      </w:pPr>
    </w:p>
    <w:p>
      <w:pPr>
        <w:pStyle w:val="Heading1"/>
      </w:pPr>
      <w:r>
        <w:t>6. Visualizaciones y elección del tipo de gráfica</w:t>
      </w:r>
    </w:p>
    <w:tbl>
      <w:tblPr>
        <w:tblStyle w:val="GridTable1Light3"/>
        <w:tblW w:w="5000" w:type="pct"/>
        <w:tblLook w:val="0020" w:firstRow="1"/>
      </w:tblPr>
      <w:tblGrid>
        <w:gridCol w:w="500"/>
        <w:gridCol w:w="2500"/>
        <w:gridCol w:w="2100"/>
        <w:gridCol w:w="4250"/>
      </w:tblGrid>
      <w:tr>
        <w:tc>
          <w:tcPr>
            <w:tcW w:type="dxa" w:w="5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#</w:t>
            </w:r>
          </w:p>
        </w:tc>
        <w:tc>
          <w:tcPr>
            <w:tcW w:type="dxa" w:w="25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Visualización</w:t>
            </w:r>
          </w:p>
        </w:tc>
        <w:tc>
          <w:tcPr>
            <w:tcW w:type="dxa" w:w="21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Tipo de gráfica</w:t>
            </w:r>
          </w:p>
        </w:tc>
        <w:tc>
          <w:tcPr>
            <w:tcW w:type="dxa" w:w="42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Por qué este tipo</w:t>
            </w:r>
          </w:p>
        </w:tc>
      </w:tr>
      <w:tr>
        <w:tc>
          <w:tcPr>
            <w:tcW w:type="dxa" w:w="5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5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Viajeros por año</w:t>
            </w:r>
          </w:p>
        </w:tc>
        <w:tc>
          <w:tcPr>
            <w:tcW w:type="dxa" w:w="21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Barras verticales</w:t>
            </w:r>
          </w:p>
        </w:tc>
        <w:tc>
          <w:tcPr>
            <w:tcW w:type="dxa" w:w="42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Compara totales entre categorías discretas (años). Un clic selecciona el año y actualiza la visualización 2.</w:t>
            </w:r>
          </w:p>
        </w:tc>
      </w:tr>
      <w:tr>
        <w:tc>
          <w:tcPr>
            <w:tcW w:type="dxa" w:w="5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5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Detalle del año (mes, trimestre o vía)</w:t>
            </w:r>
          </w:p>
        </w:tc>
        <w:tc>
          <w:tcPr>
            <w:tcW w:type="dxa" w:w="21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Línea o barras</w:t>
            </w:r>
          </w:p>
        </w:tc>
        <w:tc>
          <w:tcPr>
            <w:tcW w:type="dxa" w:w="42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La línea muestra la secuencia mensual; las barras comparan trimestres o vías. Enlazada a la 1.</w:t>
            </w:r>
          </w:p>
        </w:tc>
      </w:tr>
      <w:tr>
        <w:tc>
          <w:tcPr>
            <w:tcW w:type="dxa" w:w="5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5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Estacionalidad año por mes</w:t>
            </w:r>
          </w:p>
        </w:tc>
        <w:tc>
          <w:tcPr>
            <w:tcW w:type="dxa" w:w="21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Mapa de calor</w:t>
            </w:r>
          </w:p>
        </w:tc>
        <w:tc>
          <w:tcPr>
            <w:tcW w:type="dxa" w:w="42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Muestra dos dimensiones a la vez; revela temporadas altas y la caída de 2020.</w:t>
            </w:r>
          </w:p>
        </w:tc>
      </w:tr>
      <w:tr>
        <w:tc>
          <w:tcPr>
            <w:tcW w:type="dxa" w:w="5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5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Origen: región y país</w:t>
            </w:r>
          </w:p>
        </w:tc>
        <w:tc>
          <w:tcPr>
            <w:tcW w:type="dxa" w:w="21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Treemap</w:t>
            </w:r>
          </w:p>
        </w:tc>
        <w:tc>
          <w:tcPr>
            <w:tcW w:type="dxa" w:w="42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Representa jerarquías con área proporcional y permite acercarse de región a país.</w:t>
            </w:r>
          </w:p>
        </w:tc>
      </w:tr>
      <w:tr>
        <w:tc>
          <w:tcPr>
            <w:tcW w:type="dxa" w:w="5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5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Principales países</w:t>
            </w:r>
          </w:p>
        </w:tc>
        <w:tc>
          <w:tcPr>
            <w:tcW w:type="dxa" w:w="21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Barras horizontales</w:t>
            </w:r>
          </w:p>
        </w:tc>
        <w:tc>
          <w:tcPr>
            <w:tcW w:type="dxa" w:w="42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Ranking con etiquetas largas legibles.</w:t>
            </w:r>
          </w:p>
        </w:tc>
      </w:tr>
      <w:tr>
        <w:tc>
          <w:tcPr>
            <w:tcW w:type="dxa" w:w="5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5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Principales fronteras</w:t>
            </w:r>
          </w:p>
        </w:tc>
        <w:tc>
          <w:tcPr>
            <w:tcW w:type="dxa" w:w="21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Barras horizontales</w:t>
            </w:r>
          </w:p>
        </w:tc>
        <w:tc>
          <w:tcPr>
            <w:tcW w:type="dxa" w:w="42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Identifica los puntos de ingreso clave.</w:t>
            </w:r>
          </w:p>
        </w:tc>
      </w:tr>
      <w:tr>
        <w:tc>
          <w:tcPr>
            <w:tcW w:type="dxa" w:w="5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5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Real frente a estimado</w:t>
            </w:r>
          </w:p>
        </w:tc>
        <w:tc>
          <w:tcPr>
            <w:tcW w:type="dxa" w:w="21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Líneas (real continua, modelos punteados)</w:t>
            </w:r>
          </w:p>
        </w:tc>
        <w:tc>
          <w:tcPr>
            <w:tcW w:type="dxa" w:w="42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Compara series en el tiempo; lo estimado se distingue por color y trazo.</w:t>
            </w:r>
          </w:p>
        </w:tc>
      </w:tr>
      <w:tr>
        <w:tc>
          <w:tcPr>
            <w:tcW w:type="dxa" w:w="5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5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Error por modelo</w:t>
            </w:r>
          </w:p>
        </w:tc>
        <w:tc>
          <w:tcPr>
            <w:tcW w:type="dxa" w:w="21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Barras horizontales</w:t>
            </w:r>
          </w:p>
        </w:tc>
        <w:tc>
          <w:tcPr>
            <w:tcW w:type="dxa" w:w="42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Ordena los modelos por error (MAE o RMSE) para ver cuál se acerca más.</w:t>
            </w:r>
          </w:p>
        </w:tc>
      </w:tr>
    </w:tbl>
    <w:p>
      <w:pPr>
        <w:spacing w:after="40"/>
      </w:pPr>
    </w:p>
    <w:p w14:paraId="262ACD9B" w14:textId="77777777" w:rsidR="00CC333D" w:rsidRPr="00DE4DE0" w:rsidRDefault="00CC333D" w:rsidP="00CC333D">
      <w:pPr>
        <w:spacing w:before="180" w:after="180"/>
        <w:jc w:val="both"/>
        <w:rPr>
          <w:rFonts w:ascii="Calibri" w:eastAsia="Cambria" w:hAnsi="Calibri" w:cs="Calibri"/>
          <w:color w:val="auto"/>
          <w:lang w:val="es" w:eastAsia="en-US"/>
        </w:rPr>
      </w:pPr>
      <w:r w:rsidRPr="00DE4DE0">
        <w:rPr>
          <w:rFonts w:ascii="Calibri" w:eastAsia="Cambria" w:hAnsi="Calibri" w:cs="Calibri"/>
          <w:color w:val="auto"/>
          <w:lang w:val="es" w:eastAsia="en-US"/>
        </w:rPr>
        <w:t xml:space="preserve">Gráficos enlazados: 1 con 2 (implementado). Para la entrega final se enlazará el modelo seleccionado con una gráfica de error por mes y se incorporarán los LSTM del Laboratorio 2. Las tarjetas, los filtros y la tabla comparativa son elementos complementarios y no se cuentan como visualizaciones.</w:t>
      </w:r>
    </w:p>
    <w:p>
      <w:pPr>
        <w:pStyle w:val="Heading1"/>
      </w:pPr>
      <w:r>
        <w:t>7. Modelos incluidos</w:t>
      </w:r>
    </w:p>
    <w:p w14:paraId="262ACD9B" w14:textId="77777777" w:rsidR="00CC333D" w:rsidRPr="00DE4DE0" w:rsidRDefault="00CC333D" w:rsidP="00CC333D">
      <w:pPr>
        <w:spacing w:before="180" w:after="180"/>
        <w:jc w:val="both"/>
        <w:rPr>
          <w:rFonts w:ascii="Calibri" w:eastAsia="Cambria" w:hAnsi="Calibri" w:cs="Calibri"/>
          <w:color w:val="auto"/>
          <w:lang w:val="es" w:eastAsia="en-US"/>
        </w:rPr>
      </w:pPr>
      <w:r w:rsidRPr="00DE4DE0">
        <w:rPr>
          <w:rFonts w:ascii="Calibri" w:eastAsia="Cambria" w:hAnsi="Calibri" w:cs="Calibri"/>
          <w:color w:val="auto"/>
          <w:lang w:val="es" w:eastAsia="en-US"/>
        </w:rPr>
        <w:t xml:space="preserve">Los modelos se reutilizan del Laboratorio 1 mediante el script scripts/exportar_resultados.py, que guarda las predicciones en data/predicciones.csv y los errores en data/metricas.csv; el tablero solo lee esos archivos. El entrenamiento cubre de enero 2009 a marzo 2021 (147 meses) y la prueba de abril 2021 a junio 2026 (63 meses). Las series son el total (Turista + Excursionista), tres vías de ingreso y cuatro tipos de viajero.</w:t>
      </w:r>
    </w:p>
    <w:p w14:paraId="262ACD9B" w14:textId="77777777" w:rsidR="00CC333D" w:rsidRPr="00DE4DE0" w:rsidRDefault="00CC333D" w:rsidP="00CC333D">
      <w:pPr>
        <w:spacing w:before="180" w:after="180"/>
        <w:jc w:val="both"/>
        <w:rPr>
          <w:rFonts w:ascii="Calibri" w:eastAsia="Cambria" w:hAnsi="Calibri" w:cs="Calibri"/>
          <w:color w:val="auto"/>
          <w:lang w:val="es" w:eastAsia="en-US"/>
        </w:rPr>
      </w:pPr>
      <w:r w:rsidRPr="00DE4DE0">
        <w:rPr>
          <w:rFonts w:ascii="Calibri" w:eastAsia="Cambria" w:hAnsi="Calibri" w:cs="Calibri"/>
          <w:b/>
          <w:color w:val="auto"/>
          <w:lang w:val="es" w:eastAsia="en-US"/>
        </w:rPr>
        <w:t xml:space="preserve">Nota:</w:t>
      </w:r>
      <w:r w:rsidRPr="00DE4DE0">
        <w:rPr>
          <w:rFonts w:ascii="Calibri" w:eastAsia="Cambria" w:hAnsi="Calibri" w:cs="Calibri"/>
          <w:color w:val="auto"/>
          <w:lang w:val="es" w:eastAsia="en-US"/>
        </w:rPr>
        <w:t xml:space="preserve"> La selección automática auto_arima del notebook no se volvió a ejecutar; se usan los dos SARIMA manuales del Laboratorio 1 (se elige el de menor AIC), por lo que el error de SARIMA puede diferir del notebook. La entrega final incorporará los LSTM del Laboratorio 2.</w:t>
      </w:r>
    </w:p>
    <w:p>
      <w:pPr>
        <w:pStyle w:val="Heading1"/>
      </w:pPr>
      <w:r>
        <w:t>8. Planificación de tareas</w:t>
      </w:r>
    </w:p>
    <w:tbl>
      <w:tblPr>
        <w:tblStyle w:val="GridTable1Light3"/>
        <w:tblW w:w="5000" w:type="pct"/>
        <w:tblLook w:val="0020" w:firstRow="1"/>
      </w:tblPr>
      <w:tblGrid>
        <w:gridCol w:w="5200"/>
        <w:gridCol w:w="1900"/>
        <w:gridCol w:w="2250"/>
      </w:tblGrid>
      <w:tr>
        <w:tc>
          <w:tcPr>
            <w:tcW w:type="dxa" w:w="52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Tarea</w:t>
            </w:r>
          </w:p>
        </w:tc>
        <w:tc>
          <w:tcPr>
            <w:tcW w:type="dxa" w:w="1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Responsable</w:t>
            </w:r>
          </w:p>
        </w:tc>
        <w:tc>
          <w:tcPr>
            <w:tcW w:type="dxa" w:w="22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Fecha de término</w:t>
            </w:r>
          </w:p>
        </w:tc>
      </w:tr>
      <w:tr>
        <w:tc>
          <w:tcPr>
            <w:tcW w:type="dxa" w:w="52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Preguntas de gestión, alcance y paleta</w:t>
            </w:r>
          </w:p>
        </w:tc>
        <w:tc>
          <w:tcPr>
            <w:tcW w:type="dxa" w:w="1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Gabriel Bran</w:t>
            </w:r>
          </w:p>
        </w:tc>
        <w:tc>
          <w:tcPr>
            <w:tcW w:type="dxa" w:w="22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22 de octubre (avance)</w:t>
            </w:r>
          </w:p>
        </w:tc>
      </w:tr>
      <w:tr>
        <w:tc>
          <w:tcPr>
            <w:tcW w:type="dxa" w:w="52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Exportación de predicciones y métricas del Laboratorio 1</w:t>
            </w:r>
          </w:p>
        </w:tc>
        <w:tc>
          <w:tcPr>
            <w:tcW w:type="dxa" w:w="1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Gabriel Bran</w:t>
            </w:r>
          </w:p>
        </w:tc>
        <w:tc>
          <w:tcPr>
            <w:tcW w:type="dxa" w:w="22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22 de octubre (avance)</w:t>
            </w:r>
          </w:p>
        </w:tc>
      </w:tr>
      <w:tr>
        <w:tc>
          <w:tcPr>
            <w:tcW w:type="dxa" w:w="52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Páginas 1 y 2 del tablero (barras enlazadas, mapa de calor, treemap)</w:t>
            </w:r>
          </w:p>
        </w:tc>
        <w:tc>
          <w:tcPr>
            <w:tcW w:type="dxa" w:w="1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David Domínguez</w:t>
            </w:r>
          </w:p>
        </w:tc>
        <w:tc>
          <w:tcPr>
            <w:tcW w:type="dxa" w:w="22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22 de octubre (avance)</w:t>
            </w:r>
          </w:p>
        </w:tc>
      </w:tr>
      <w:tr>
        <w:tc>
          <w:tcPr>
            <w:tcW w:type="dxa" w:w="52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Documento de diseño (avance)</w:t>
            </w:r>
          </w:p>
        </w:tc>
        <w:tc>
          <w:tcPr>
            <w:tcW w:type="dxa" w:w="1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Luis Padilla</w:t>
            </w:r>
          </w:p>
        </w:tc>
        <w:tc>
          <w:tcPr>
            <w:tcW w:type="dxa" w:w="22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22 de octubre (avance)</w:t>
            </w:r>
          </w:p>
        </w:tc>
      </w:tr>
      <w:tr>
        <w:tc>
          <w:tcPr>
            <w:tcW w:type="dxa" w:w="52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Exportar predicciones LSTM y catch22 del Laboratorio 2</w:t>
            </w:r>
          </w:p>
        </w:tc>
        <w:tc>
          <w:tcPr>
            <w:tcW w:type="dxa" w:w="1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Luis Padilla</w:t>
            </w:r>
          </w:p>
        </w:tc>
        <w:tc>
          <w:tcPr>
            <w:tcW w:type="dxa" w:w="22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23 de octubre</w:t>
            </w:r>
          </w:p>
        </w:tc>
      </w:tr>
      <w:tr>
        <w:tc>
          <w:tcPr>
            <w:tcW w:type="dxa" w:w="52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Página 3: comparación de al menos 3 modelos, error por mes y mensajes de límites</w:t>
            </w:r>
          </w:p>
        </w:tc>
        <w:tc>
          <w:tcPr>
            <w:tcW w:type="dxa" w:w="1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Gabriel Bran</w:t>
            </w:r>
          </w:p>
        </w:tc>
        <w:tc>
          <w:tcPr>
            <w:tcW w:type="dxa" w:w="22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24 de octubre</w:t>
            </w:r>
          </w:p>
        </w:tc>
      </w:tr>
      <w:tr>
        <w:tc>
          <w:tcPr>
            <w:tcW w:type="dxa" w:w="52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Usabilidad, accesibilidad y prueba con un usuario no técnico</w:t>
            </w:r>
          </w:p>
        </w:tc>
        <w:tc>
          <w:tcPr>
            <w:tcW w:type="dxa" w:w="1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David Domínguez</w:t>
            </w:r>
          </w:p>
        </w:tc>
        <w:tc>
          <w:tcPr>
            <w:tcW w:type="dxa" w:w="22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24 de octubre</w:t>
            </w:r>
          </w:p>
        </w:tc>
      </w:tr>
      <w:tr>
        <w:tc>
          <w:tcPr>
            <w:tcW w:type="dxa" w:w="52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Documento de diseño final (PDF), despliegue y enlace del repositorio</w:t>
            </w:r>
          </w:p>
        </w:tc>
        <w:tc>
          <w:tcPr>
            <w:tcW w:type="dxa" w:w="190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Todos</w:t>
            </w:r>
          </w:p>
        </w:tc>
        <w:tc>
          <w:tcPr>
            <w:tcW w:type="dxa" w:w="2250"/>
          </w:tcPr>
          <w:p>
            <w:pPr>
              <w:spacing w:before="36" w:after="36"/>
            </w:pPr>
            <w:r>
              <w:rPr>
                <w:rFonts w:ascii="Calibri" w:hAnsi="Calibri"/>
                <w:sz w:val="19"/>
              </w:rPr>
              <w:t>25 de octubre (entrega final)</w:t>
            </w:r>
          </w:p>
        </w:tc>
      </w:tr>
    </w:tbl>
    <w:p>
      <w:pPr>
        <w:spacing w:after="40"/>
      </w:pPr>
    </w:p>
    <w:p>
      <w:pPr>
        <w:pStyle w:val="Heading1"/>
      </w:pPr>
      <w:r>
        <w:t>9. Cómo ejecutar el tablero</w:t>
      </w:r>
    </w:p>
    <w:p w14:paraId="262ACD9B" w14:textId="77777777" w:rsidR="00CC333D" w:rsidRPr="00DE4DE0" w:rsidRDefault="00CC333D" w:rsidP="00CC333D">
      <w:pPr>
        <w:spacing w:before="180" w:after="180"/>
        <w:jc w:val="both"/>
        <w:rPr>
          <w:rFonts w:ascii="Calibri" w:eastAsia="Cambria" w:hAnsi="Calibri" w:cs="Calibri"/>
          <w:color w:val="auto"/>
          <w:lang w:val="es" w:eastAsia="en-US"/>
        </w:rPr>
      </w:pPr>
      <w:r w:rsidRPr="00DE4DE0">
        <w:rPr>
          <w:rFonts w:ascii="Calibri" w:eastAsia="Cambria" w:hAnsi="Calibri" w:cs="Calibri"/>
          <w:color w:val="auto"/>
          <w:lang w:val="es" w:eastAsia="en-US"/>
        </w:rPr>
        <w:t xml:space="preserve">Instalar dependencias con «pip install -r requirements_tablero.txt» y ejecutar «streamlit run tablero/app.py».</w:t>
      </w:r>
    </w:p>
    <w:sectPr w:rsidR="00CC333D" w:rsidRPr="00CC3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3D"/>
    <w:rsid w:val="008A4B49"/>
    <w:rsid w:val="00C074C2"/>
    <w:rsid w:val="00C97122"/>
    <w:rsid w:val="00CC333D"/>
    <w:rsid w:val="00CF5AFC"/>
    <w:rsid w:val="00FE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AC6D"/>
  <w15:chartTrackingRefBased/>
  <w15:docId w15:val="{222AE448-D5FC-4D2D-AE61-3D0D1B0C7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33D"/>
    <w:pPr>
      <w:spacing w:after="0" w:line="240" w:lineRule="auto"/>
    </w:pPr>
    <w:rPr>
      <w:rFonts w:ascii="Arial" w:eastAsia="Arial" w:hAnsi="Arial" w:cs="Arial"/>
      <w:color w:val="404040"/>
      <w:kern w:val="0"/>
      <w:sz w:val="22"/>
      <w:szCs w:val="22"/>
      <w:lang w:val="es-GT" w:eastAsia="es-G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33D"/>
    <w:pPr>
      <w:keepNext/>
      <w:keepLines/>
      <w:spacing w:before="200"/>
      <w:jc w:val="both"/>
      <w:outlineLvl w:val="0"/>
    </w:pPr>
    <w:rPr>
      <w:rFonts w:ascii="Calibri" w:eastAsia="Times New Roman" w:hAnsi="Calibri" w:cs="Calibri"/>
      <w:b/>
      <w:bCs/>
      <w:color w:val="auto"/>
      <w:sz w:val="24"/>
      <w:szCs w:val="24"/>
      <w:lang w:val="e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33D"/>
    <w:pPr>
      <w:keepNext/>
      <w:keepLines/>
      <w:spacing w:before="200"/>
      <w:jc w:val="both"/>
      <w:outlineLvl w:val="1"/>
    </w:pPr>
    <w:rPr>
      <w:rFonts w:ascii="Calibri" w:eastAsia="Times New Roman" w:hAnsi="Calibri" w:cs="Calibri"/>
      <w:b/>
      <w:bCs/>
      <w:color w:val="auto"/>
      <w:lang w:val="e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3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3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3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3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33D"/>
    <w:rPr>
      <w:rFonts w:ascii="Calibri" w:eastAsia="Times New Roman" w:hAnsi="Calibri" w:cs="Calibri"/>
      <w:b/>
      <w:bCs/>
      <w:kern w:val="0"/>
      <w:lang w:val="e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C333D"/>
    <w:rPr>
      <w:rFonts w:ascii="Calibri" w:eastAsia="Times New Roman" w:hAnsi="Calibri" w:cs="Calibri"/>
      <w:b/>
      <w:bCs/>
      <w:kern w:val="0"/>
      <w:sz w:val="22"/>
      <w:szCs w:val="22"/>
      <w:lang w:val="e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3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3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CC333D"/>
    <w:rPr>
      <w:color w:val="0563C1"/>
      <w:u w:val="single"/>
    </w:rPr>
  </w:style>
  <w:style w:type="table" w:customStyle="1" w:styleId="GridTable1Light3">
    <w:name w:val="Grid Table 1 Light3"/>
    <w:basedOn w:val="TableNormal"/>
    <w:next w:val="GridTable1Light"/>
    <w:rsid w:val="00CC333D"/>
    <w:pPr>
      <w:spacing w:after="0" w:line="240" w:lineRule="auto"/>
    </w:pPr>
    <w:rPr>
      <w:rFonts w:ascii="Cambria" w:eastAsia="Cambria" w:hAnsi="Cambria" w:cs="Times New Roman"/>
      <w:kern w:val="0"/>
      <w:lang w:val="es"/>
      <w14:ligatures w14:val="none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CC333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 BOLANOS, GABRIEL</dc:creator>
  <cp:keywords/>
  <dc:description/>
  <cp:lastModifiedBy>BRAN BOLANOS, GABRIEL</cp:lastModifiedBy>
  <cp:revision>3</cp:revision>
  <dcterms:created xsi:type="dcterms:W3CDTF">2026-09-25T04:10:00Z</dcterms:created>
  <dcterms:modified xsi:type="dcterms:W3CDTF">2026-10-16T04:00:00Z</dcterms:modified>
</cp:coreProperties>
</file>